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64ab" w14:textId="81f64ab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МІНІСТЕРСТВО ОХОРОНИ ЗДОРОВ'Я УКРАЇНИ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НАКАЗ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26 лютого 2021 року N 365</w:t>
      </w:r>
    </w:p>
    <w:bookmarkEnd w:id="3"/>
    <w:bookmarkStart w:name="5" w:id="4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утворення та затвердження складу робочої групи з впровадження оцінки медичних технологій (Health technology assessment)</w:t>
      </w:r>
    </w:p>
    <w:bookmarkEnd w:id="4"/>
    <w:bookmarkStart w:name="6" w:id="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Відповідно до </w:t>
      </w:r>
      <w:r>
        <w:rPr>
          <w:rFonts w:ascii="Arial"/>
          <w:b w:val="false"/>
          <w:i w:val="false"/>
          <w:color w:val="000000"/>
          <w:sz w:val="18"/>
        </w:rPr>
        <w:t>підпункту 3 пункту 6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пункту 8 Положення про Міністерство охорони здоров'я України</w:t>
      </w:r>
      <w:r>
        <w:rPr>
          <w:rFonts w:ascii="Arial"/>
          <w:b w:val="false"/>
          <w:i w:val="false"/>
          <w:color w:val="000000"/>
          <w:sz w:val="18"/>
        </w:rPr>
        <w:t xml:space="preserve">, затвердженого постановою Кабінету Міністрів України від 25 березня 2015 року N 267 (в редакції </w:t>
      </w:r>
      <w:r>
        <w:rPr>
          <w:rFonts w:ascii="Arial"/>
          <w:b w:val="false"/>
          <w:i w:val="false"/>
          <w:color w:val="000000"/>
          <w:sz w:val="18"/>
        </w:rPr>
        <w:t>постанови Кабінету Міністрів України від 24 січня 2020 року N 90</w:t>
      </w:r>
      <w:r>
        <w:rPr>
          <w:rFonts w:ascii="Arial"/>
          <w:b w:val="false"/>
          <w:i w:val="false"/>
          <w:color w:val="000000"/>
          <w:sz w:val="18"/>
        </w:rPr>
        <w:t xml:space="preserve">), та з метою впровадження оцінки медичних технологій </w:t>
      </w:r>
      <w:r>
        <w:rPr>
          <w:rFonts w:ascii="Arial"/>
          <w:b/>
          <w:i w:val="false"/>
          <w:color w:val="000000"/>
          <w:sz w:val="18"/>
        </w:rPr>
        <w:t>наказую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Утворити та затвердити склад робочої групи з впровадження оцінки медичних технологій (Health technology assessment), що додається.</w:t>
      </w:r>
    </w:p>
    <w:bookmarkEnd w:id="6"/>
    <w:bookmarkStart w:name="8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Затвердити Положення про робочу групу з впровадження оцінки медичних технологій (Health technology assessment), що додається.</w:t>
      </w:r>
    </w:p>
    <w:bookmarkEnd w:id="7"/>
    <w:bookmarkStart w:name="9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Підпункт 6 пункту 1 наказу Міністерства охорони здоров'я від 18 грудня 2019 року N 2524 "Про утворення та затвердження складів міжвідомчих мультидисциплінарних робочих груп" визнати таким, що втратив чинність.</w:t>
      </w:r>
    </w:p>
    <w:bookmarkEnd w:id="8"/>
    <w:bookmarkStart w:name="10" w:id="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Контроль за виконанням цього наказу покласти на заступника Міністра з питань європейської інтеграції І. Іващенка.</w:t>
      </w:r>
    </w:p>
    <w:bookmarkEnd w:id="9"/>
    <w:bookmarkStart w:name="11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bottom"/>
          </w:tcPr>
          <w:bookmarkStart w:name="12" w:id="1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Міністр</w:t>
            </w:r>
          </w:p>
          <w:bookmarkEnd w:id="11"/>
        </w:tc>
        <w:tc>
          <w:tcPr>
            <w:tcW w:w="4845" w:type="dxa"/>
            <w:tcBorders/>
            <w:vAlign w:val="bottom"/>
          </w:tcPr>
          <w:bookmarkStart w:name="13" w:id="1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Максим СТЕПАНОВ</w:t>
            </w:r>
          </w:p>
          <w:bookmarkEnd w:id="12"/>
        </w:tc>
      </w:tr>
    </w:tbl>
    <w:p>
      <w:pPr>
        <w:spacing/>
        <w:ind w:left="0"/>
        <w:jc w:val="left"/>
      </w:pPr>
      <w:r>
        <w:br/>
      </w:r>
    </w:p>
    <w:bookmarkStart w:name="14" w:id="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3"/>
    <w:bookmarkStart w:name="15" w:id="14"/>
    <w:p>
      <w:pPr>
        <w:spacing w:after="0"/>
        <w:ind w:firstLine="240"/>
        <w:jc w:val="right"/>
      </w:pPr>
      <w:r>
        <w:rPr>
          <w:rFonts w:ascii="Arial"/>
          <w:b w:val="false"/>
          <w:i w:val="false"/>
          <w:color w:val="000000"/>
          <w:sz w:val="18"/>
        </w:rPr>
        <w:t>ЗАТВЕРДЖЕНО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26 лютого 2021 року N 365</w:t>
      </w:r>
    </w:p>
    <w:bookmarkEnd w:id="14"/>
    <w:bookmarkStart w:name="16" w:id="15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Склад</w:t>
      </w:r>
      <w:r>
        <w:br/>
      </w:r>
      <w:r>
        <w:rPr>
          <w:rFonts w:ascii="Arial"/>
          <w:color w:val="000000"/>
          <w:sz w:val="27"/>
        </w:rPr>
        <w:t>робочої групи з впровадження оцінки медичних технологій (Health technology assessment)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7"/>
        <w:gridCol w:w="6783"/>
      </w:tblGrid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17" w:id="1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Іващенко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Ігор Анатолійович</w:t>
            </w:r>
          </w:p>
          <w:bookmarkEnd w:id="16"/>
        </w:tc>
        <w:tc>
          <w:tcPr>
            <w:tcW w:w="6783" w:type="dxa"/>
            <w:tcBorders/>
            <w:vAlign w:val="top"/>
          </w:tcPr>
          <w:bookmarkStart w:name="18" w:id="1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заступник Міністра охорони здоров'я України з питань європейської інтеграції, голова робочої групи;</w:t>
            </w:r>
          </w:p>
          <w:bookmarkEnd w:id="17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19" w:id="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Піняжко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Ореста Богданівна</w:t>
            </w:r>
          </w:p>
          <w:bookmarkEnd w:id="18"/>
        </w:tc>
        <w:tc>
          <w:tcPr>
            <w:tcW w:w="6783" w:type="dxa"/>
            <w:tcBorders/>
            <w:vAlign w:val="top"/>
          </w:tcPr>
          <w:bookmarkStart w:name="20" w:id="1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директор Департаменту оцінки медичних технологій ДП "Державний експертний центр МОЗ України", заступник голови робочої групи;</w:t>
            </w:r>
          </w:p>
          <w:bookmarkEnd w:id="19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21" w:id="2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Комаріда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Олександр Олегович</w:t>
            </w:r>
          </w:p>
          <w:bookmarkEnd w:id="20"/>
        </w:tc>
        <w:tc>
          <w:tcPr>
            <w:tcW w:w="6783" w:type="dxa"/>
            <w:tcBorders/>
            <w:vAlign w:val="top"/>
          </w:tcPr>
          <w:bookmarkStart w:name="22" w:id="2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генеральний директор Директорату фармацевтичного забезпечення МОЗ України;</w:t>
            </w:r>
          </w:p>
          <w:bookmarkEnd w:id="21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23" w:id="2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Косяченко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Костянтин Леонідович</w:t>
            </w:r>
          </w:p>
          <w:bookmarkEnd w:id="22"/>
        </w:tc>
        <w:tc>
          <w:tcPr>
            <w:tcW w:w="6783" w:type="dxa"/>
            <w:tcBorders/>
            <w:vAlign w:val="top"/>
          </w:tcPr>
          <w:bookmarkStart w:name="24" w:id="2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завідувач Кафедри організації та економіки фармації Національного медичного університету ім. О. О. Богомольця, радник Міністра охорони здоров'я України на громадських засадах;</w:t>
            </w:r>
          </w:p>
          <w:bookmarkEnd w:id="23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25" w:id="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Орабіна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Тетяна Миколаївна</w:t>
            </w:r>
          </w:p>
          <w:bookmarkEnd w:id="24"/>
        </w:tc>
        <w:tc>
          <w:tcPr>
            <w:tcW w:w="6783" w:type="dxa"/>
            <w:tcBorders/>
            <w:vAlign w:val="top"/>
          </w:tcPr>
          <w:bookmarkStart w:name="26" w:id="2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в. о. генерального директора Директорату медичних кадрів, освіти і науки МОЗ України;</w:t>
            </w:r>
          </w:p>
          <w:bookmarkEnd w:id="25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27" w:id="2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Ідоятова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Євгенія Жумагаліївна</w:t>
            </w:r>
          </w:p>
          <w:bookmarkEnd w:id="26"/>
        </w:tc>
        <w:tc>
          <w:tcPr>
            <w:tcW w:w="6783" w:type="dxa"/>
            <w:tcBorders/>
            <w:vAlign w:val="top"/>
          </w:tcPr>
          <w:bookmarkStart w:name="28" w:id="2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в. о. генерального директора Директорату медичного забезпечення МОЗ України;</w:t>
            </w:r>
          </w:p>
          <w:bookmarkEnd w:id="27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29" w:id="2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Гріценко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Олександр Володимирович</w:t>
            </w:r>
          </w:p>
          <w:bookmarkEnd w:id="28"/>
        </w:tc>
        <w:tc>
          <w:tcPr>
            <w:tcW w:w="6783" w:type="dxa"/>
            <w:tcBorders/>
            <w:vAlign w:val="top"/>
          </w:tcPr>
          <w:bookmarkStart w:name="30" w:id="2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керівник експертної групи з питань раціонального застосування лікарських засобів Директорату фармацевтичного забезпечення МОЗ України;</w:t>
            </w:r>
          </w:p>
          <w:bookmarkEnd w:id="29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31" w:id="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Правило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Олександр Іванович</w:t>
            </w:r>
          </w:p>
          <w:bookmarkEnd w:id="30"/>
        </w:tc>
        <w:tc>
          <w:tcPr>
            <w:tcW w:w="6783" w:type="dxa"/>
            <w:tcBorders/>
            <w:vAlign w:val="top"/>
          </w:tcPr>
          <w:bookmarkStart w:name="32" w:id="3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заступник директора Департаменту - начальник відділу юридичної експертизи Юридичного департаменту МОЗ України;</w:t>
            </w:r>
          </w:p>
          <w:bookmarkEnd w:id="31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33" w:id="3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Гончар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Євгеній В'ячеславович</w:t>
            </w:r>
          </w:p>
          <w:bookmarkEnd w:id="32"/>
        </w:tc>
        <w:tc>
          <w:tcPr>
            <w:tcW w:w="6783" w:type="dxa"/>
            <w:tcBorders/>
            <w:vAlign w:val="top"/>
          </w:tcPr>
          <w:bookmarkStart w:name="34" w:id="3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державний експерт експертної групи з питань спеціалізованої медичної допомоги Директорату медичного забезпечення МОЗ України;</w:t>
            </w:r>
          </w:p>
          <w:bookmarkEnd w:id="33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35" w:id="3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Мельник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Євгенія Олександрівна</w:t>
            </w:r>
          </w:p>
          <w:bookmarkEnd w:id="34"/>
        </w:tc>
        <w:tc>
          <w:tcPr>
            <w:tcW w:w="6783" w:type="dxa"/>
            <w:tcBorders/>
            <w:vAlign w:val="top"/>
          </w:tcPr>
          <w:bookmarkStart w:name="36" w:id="3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заступник начальника відділу взаємодії із зовнішніми експертами управління фінансових гарантій медичного обслуговування Департаменту замовлення медичних послуг та лікарських засобів НСЗУ (за згодою);</w:t>
            </w:r>
          </w:p>
          <w:bookmarkEnd w:id="35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37" w:id="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Олещук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Олександра Михайлівна</w:t>
            </w:r>
          </w:p>
          <w:bookmarkEnd w:id="36"/>
        </w:tc>
        <w:tc>
          <w:tcPr>
            <w:tcW w:w="6783" w:type="dxa"/>
            <w:tcBorders/>
            <w:vAlign w:val="top"/>
          </w:tcPr>
          <w:bookmarkStart w:name="38" w:id="3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завідувач кафедри фармакології з клінічною фармакологією Державного вищого навчального закладу "Тернопільський державний медичний університет імені І. Я. Горбачевського МОЗ України;</w:t>
            </w:r>
          </w:p>
          <w:bookmarkEnd w:id="37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39" w:id="3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Топачевський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Олександр Андрійович</w:t>
            </w:r>
          </w:p>
          <w:bookmarkEnd w:id="38"/>
        </w:tc>
        <w:tc>
          <w:tcPr>
            <w:tcW w:w="6783" w:type="dxa"/>
            <w:tcBorders/>
            <w:vAlign w:val="top"/>
          </w:tcPr>
          <w:bookmarkStart w:name="40" w:id="3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виконавчий директор "Digital Health Outcomes" (за згодою);</w:t>
            </w:r>
          </w:p>
          <w:bookmarkEnd w:id="39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41" w:id="4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Заліська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Ольга Миколаївна</w:t>
            </w:r>
          </w:p>
          <w:bookmarkEnd w:id="40"/>
        </w:tc>
        <w:tc>
          <w:tcPr>
            <w:tcW w:w="6783" w:type="dxa"/>
            <w:tcBorders/>
            <w:vAlign w:val="top"/>
          </w:tcPr>
          <w:bookmarkStart w:name="42" w:id="4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завідувач кафедри організації і економіки фармації, технології ліків та фармакоекономіки ФПДО, Львівський національний медичний університет ім. Данила Галицького;</w:t>
            </w:r>
          </w:p>
          <w:bookmarkEnd w:id="41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43" w:id="4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Немченко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Алла Семенівна</w:t>
            </w:r>
          </w:p>
          <w:bookmarkEnd w:id="42"/>
        </w:tc>
        <w:tc>
          <w:tcPr>
            <w:tcW w:w="6783" w:type="dxa"/>
            <w:tcBorders/>
            <w:vAlign w:val="top"/>
          </w:tcPr>
          <w:bookmarkStart w:name="44" w:id="4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завідувач кафедри організації та економіки фармації Національного фармацевтичного університету;</w:t>
            </w:r>
          </w:p>
          <w:bookmarkEnd w:id="43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45" w:id="4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Морозова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Марія Анатоліївна</w:t>
            </w:r>
          </w:p>
          <w:bookmarkEnd w:id="44"/>
        </w:tc>
        <w:tc>
          <w:tcPr>
            <w:tcW w:w="6783" w:type="dxa"/>
            <w:tcBorders/>
            <w:vAlign w:val="top"/>
          </w:tcPr>
          <w:bookmarkStart w:name="46" w:id="4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начальник відділу категорійного менеджменту ДП "Медичні закупівлі України";</w:t>
            </w:r>
          </w:p>
          <w:bookmarkEnd w:id="45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47" w:id="4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Кахведжі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Рабія</w:t>
            </w:r>
          </w:p>
          <w:bookmarkEnd w:id="46"/>
        </w:tc>
        <w:tc>
          <w:tcPr>
            <w:tcW w:w="6783" w:type="dxa"/>
            <w:tcBorders/>
            <w:vAlign w:val="top"/>
          </w:tcPr>
          <w:bookmarkStart w:name="48" w:id="4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старший технічний радник, проєкт "Безпечні, доступні та ефективні ліки для українців" (SAFEMed) (за згодою);</w:t>
            </w:r>
          </w:p>
          <w:bookmarkEnd w:id="47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49" w:id="4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Заморська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Тетяна Іванівна</w:t>
            </w:r>
          </w:p>
          <w:bookmarkEnd w:id="48"/>
        </w:tc>
        <w:tc>
          <w:tcPr>
            <w:tcW w:w="6783" w:type="dxa"/>
            <w:tcBorders/>
            <w:vAlign w:val="top"/>
          </w:tcPr>
          <w:bookmarkStart w:name="50" w:id="4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член ради Громадської спілки "Орфанні захворювання України" (за згодою);</w:t>
            </w:r>
          </w:p>
          <w:bookmarkEnd w:id="49"/>
        </w:tc>
      </w:tr>
      <w:tr>
        <w:trPr>
          <w:trHeight w:val="120" w:hRule="atLeast"/>
        </w:trPr>
        <w:tc>
          <w:tcPr>
            <w:tcW w:w="2907" w:type="dxa"/>
            <w:tcBorders/>
            <w:vAlign w:val="top"/>
          </w:tcPr>
          <w:bookmarkStart w:name="51" w:id="5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Машейко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Альона Миколаївна</w:t>
            </w:r>
          </w:p>
          <w:bookmarkEnd w:id="50"/>
        </w:tc>
        <w:tc>
          <w:tcPr>
            <w:tcW w:w="6783" w:type="dxa"/>
            <w:tcBorders/>
            <w:vAlign w:val="top"/>
          </w:tcPr>
          <w:bookmarkStart w:name="52" w:id="5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начальник відділу оцінки економічної ефективності лікарських засобів Департаменту оцінки медичних технологій ДП "Державний експертний центр МОЗ України", секретар робочої групи.</w:t>
            </w:r>
          </w:p>
          <w:bookmarkEnd w:id="51"/>
        </w:tc>
      </w:tr>
    </w:tbl>
    <w:p>
      <w:pPr>
        <w:spacing/>
        <w:ind w:left="0"/>
        <w:jc w:val="left"/>
      </w:pPr>
      <w:r>
        <w:br/>
      </w:r>
    </w:p>
    <w:bookmarkStart w:name="53" w:id="52"/>
    <w:p>
      <w:pPr>
        <w:spacing w:after="0"/>
        <w:ind w:firstLine="240"/>
        <w:jc w:val="left"/>
      </w:pPr>
      <w:r>
        <w:rPr>
          <w:rFonts w:ascii="Arial"/>
          <w:b/>
          <w:i w:val="false"/>
          <w:color w:val="000000"/>
          <w:sz w:val="18"/>
        </w:rPr>
        <w:t xml:space="preserve">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bottom"/>
          </w:tcPr>
          <w:bookmarkStart w:name="54" w:id="5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Генеральний директор Директорату</w:t>
            </w:r>
            <w:r>
              <w:br/>
            </w:r>
            <w:r>
              <w:rPr>
                <w:rFonts w:ascii="Arial"/>
                <w:b/>
                <w:i w:val="false"/>
                <w:color w:val="000000"/>
                <w:sz w:val="15"/>
              </w:rPr>
              <w:t>фармацевтичного забезпечення</w:t>
            </w:r>
          </w:p>
          <w:bookmarkEnd w:id="53"/>
        </w:tc>
        <w:tc>
          <w:tcPr>
            <w:tcW w:w="4845" w:type="dxa"/>
            <w:tcBorders/>
            <w:vAlign w:val="bottom"/>
          </w:tcPr>
          <w:bookmarkStart w:name="55" w:id="5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Олександр КОМАРІДА</w:t>
            </w:r>
          </w:p>
          <w:bookmarkEnd w:id="54"/>
        </w:tc>
      </w:tr>
    </w:tbl>
    <w:p>
      <w:pPr>
        <w:spacing/>
        <w:ind w:left="0"/>
        <w:jc w:val="left"/>
      </w:pPr>
      <w:r>
        <w:br/>
      </w:r>
    </w:p>
    <w:bookmarkStart w:name="56" w:id="5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55"/>
    <w:bookmarkStart w:name="57" w:id="56"/>
    <w:p>
      <w:pPr>
        <w:spacing w:after="0"/>
        <w:ind w:firstLine="240"/>
        <w:jc w:val="right"/>
      </w:pPr>
      <w:r>
        <w:rPr>
          <w:rFonts w:ascii="Arial"/>
          <w:b w:val="false"/>
          <w:i w:val="false"/>
          <w:color w:val="000000"/>
          <w:sz w:val="18"/>
        </w:rPr>
        <w:t>ЗАТВЕРДЖЕНО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26 лютого 2021 року N 365</w:t>
      </w:r>
    </w:p>
    <w:bookmarkEnd w:id="56"/>
    <w:bookmarkStart w:name="58" w:id="57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ПОЛОЖЕННЯ</w:t>
      </w:r>
      <w:r>
        <w:br/>
      </w:r>
      <w:r>
        <w:rPr>
          <w:rFonts w:ascii="Arial"/>
          <w:color w:val="000000"/>
          <w:sz w:val="27"/>
        </w:rPr>
        <w:t>про робочу групу з впровадження оцінки медичних технологій (Health technology assessment)</w:t>
      </w:r>
    </w:p>
    <w:bookmarkEnd w:id="57"/>
    <w:bookmarkStart w:name="59" w:id="58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I. Загальні положення</w:t>
      </w:r>
    </w:p>
    <w:bookmarkEnd w:id="58"/>
    <w:bookmarkStart w:name="60" w:id="5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Робоча група з впровадження оцінки медичних технологій (Health technology assessment) (далі - Робоча група) є консультативно-дорадчим органом Міністерства охорони здоров'я України, який утворюється з метою узгодження позицій сторін щодо оцінки медичних технологій.</w:t>
      </w:r>
    </w:p>
    <w:bookmarkEnd w:id="59"/>
    <w:bookmarkStart w:name="61" w:id="6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2. Робоча група у своїй діяльності керується </w:t>
      </w:r>
      <w:r>
        <w:rPr>
          <w:rFonts w:ascii="Arial"/>
          <w:b w:val="false"/>
          <w:i w:val="false"/>
          <w:color w:val="000000"/>
          <w:sz w:val="18"/>
        </w:rPr>
        <w:t>Конституцією</w:t>
      </w:r>
      <w:r>
        <w:rPr>
          <w:rFonts w:ascii="Arial"/>
          <w:b w:val="false"/>
          <w:i w:val="false"/>
          <w:color w:val="000000"/>
          <w:sz w:val="18"/>
        </w:rPr>
        <w:t xml:space="preserve"> та законами України, актами Президента України та Кабінету Міністрів України, наказами Міністерства охорони здоров'я України, іншими нормативно-правовими актами, а також цим Положенням.</w:t>
      </w:r>
    </w:p>
    <w:bookmarkEnd w:id="60"/>
    <w:bookmarkStart w:name="62" w:id="61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II. Основні завдання та функції Робочої групи</w:t>
      </w:r>
    </w:p>
    <w:bookmarkEnd w:id="61"/>
    <w:bookmarkStart w:name="63" w:id="6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Основним завданням Робочої групи є надання обґрунтованих пропозицій щодо удосконалення та впровадження оцінки медичних технологій.</w:t>
      </w:r>
    </w:p>
    <w:bookmarkEnd w:id="62"/>
    <w:bookmarkStart w:name="64" w:id="6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Робоча група відповідно до покладених на неї завдань надає пропозиції щодо:</w:t>
      </w:r>
    </w:p>
    <w:bookmarkEnd w:id="63"/>
    <w:bookmarkStart w:name="65" w:id="6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внесення змін до чинних та розроблення нових нормативно-правових актів щодо оцінки медичних технологій;</w:t>
      </w:r>
    </w:p>
    <w:bookmarkEnd w:id="64"/>
    <w:bookmarkStart w:name="66" w:id="6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розробки та впровадження оцінки медичних технологій;</w:t>
      </w:r>
    </w:p>
    <w:bookmarkEnd w:id="65"/>
    <w:bookmarkStart w:name="67" w:id="6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комунікативних планів заходів щодо висвітлення питань за напрямками.</w:t>
      </w:r>
    </w:p>
    <w:bookmarkEnd w:id="66"/>
    <w:bookmarkStart w:name="68" w:id="67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III. Формування Робочої групи</w:t>
      </w:r>
    </w:p>
    <w:bookmarkEnd w:id="67"/>
    <w:bookmarkStart w:name="69" w:id="6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Склад Робочої групи затверджується наказом Міністерства охорони здоров'я України.</w:t>
      </w:r>
    </w:p>
    <w:bookmarkEnd w:id="68"/>
    <w:bookmarkStart w:name="70" w:id="6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До складу Робочої групи входять: голова, заступник голови, секретар, члени групи.</w:t>
      </w:r>
    </w:p>
    <w:bookmarkEnd w:id="69"/>
    <w:bookmarkStart w:name="71" w:id="7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Робоча група формується з представників Міністерства охорони здоров'я України та підприємств, установ та організацій, що належать до сфери управління Міністерства охорони здоров'я України.</w:t>
      </w:r>
    </w:p>
    <w:bookmarkEnd w:id="70"/>
    <w:bookmarkStart w:name="72" w:id="7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До роботи Робочої групи можуть залучатись представники інших центральних органів виконавчої влади, експерти, представники громадських об'єднань та народні депутати України (за згодою).</w:t>
      </w:r>
    </w:p>
    <w:bookmarkEnd w:id="71"/>
    <w:bookmarkStart w:name="73" w:id="72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IV. Права та обов'язки голови, секретаря та членів Робочої групи</w:t>
      </w:r>
    </w:p>
    <w:bookmarkEnd w:id="72"/>
    <w:bookmarkStart w:name="74" w:id="7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Голова Робочої групи здійснює загальне керівництво роботою Робочої групи.</w:t>
      </w:r>
    </w:p>
    <w:bookmarkEnd w:id="73"/>
    <w:bookmarkStart w:name="75" w:id="7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У разі відсутності голови його обов'язки виконує заступник голови Робочої групи.</w:t>
      </w:r>
    </w:p>
    <w:bookmarkEnd w:id="74"/>
    <w:bookmarkStart w:name="76" w:id="7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Голова Робочої групи:</w:t>
      </w:r>
    </w:p>
    <w:bookmarkEnd w:id="75"/>
    <w:bookmarkStart w:name="77" w:id="7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формує та затверджує порядок денний засідання Робочої групи;</w:t>
      </w:r>
    </w:p>
    <w:bookmarkEnd w:id="76"/>
    <w:bookmarkStart w:name="78" w:id="7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взаємодіє в установленому порядку з органами державної влади та місцевого самоврядування, підприємствами, установами та організаціями незалежно від форм власності;</w:t>
      </w:r>
    </w:p>
    <w:bookmarkEnd w:id="77"/>
    <w:bookmarkStart w:name="79" w:id="7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забезпечує отримання в установленому порядку від державних органів та органів місцевого самоврядування, науково-дослідних установ, закладів охорони здоров'я необхідну інформацію;</w:t>
      </w:r>
    </w:p>
    <w:bookmarkEnd w:id="78"/>
    <w:bookmarkStart w:name="80" w:id="7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має право запрошувати на засідання експертів з питань, що розглядаються, зокрема, представників інших органів виконавчої влади та місцевого самоврядування, підприємств, установ та організацій незалежно від форм власності, громадських та інших організацій тощо;</w:t>
      </w:r>
    </w:p>
    <w:bookmarkEnd w:id="79"/>
    <w:bookmarkStart w:name="81" w:id="8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співпрацює з міжнародними та національними недержавними організаціями та об'єднаннями громадян з відповідних питань;</w:t>
      </w:r>
    </w:p>
    <w:bookmarkEnd w:id="80"/>
    <w:bookmarkStart w:name="82" w:id="8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підписує документи;</w:t>
      </w:r>
    </w:p>
    <w:bookmarkEnd w:id="81"/>
    <w:bookmarkStart w:name="83" w:id="8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подає в установленому порядку МОЗ України пропозицій з питань за напрямками;</w:t>
      </w:r>
    </w:p>
    <w:bookmarkEnd w:id="82"/>
    <w:bookmarkStart w:name="84" w:id="8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здійснює інші права, пов'язані із виконанням завдань Робочої групи, передбачені цим положенням.</w:t>
      </w:r>
    </w:p>
    <w:bookmarkEnd w:id="83"/>
    <w:bookmarkStart w:name="85" w:id="8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Секретар Робочої групи має право надавати голові Робочої групи та його заступнику пропозиції щодо організації проведення засідання Робочої групи.</w:t>
      </w:r>
    </w:p>
    <w:bookmarkEnd w:id="84"/>
    <w:bookmarkStart w:name="86" w:id="8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Секретар Робочої групи:</w:t>
      </w:r>
    </w:p>
    <w:bookmarkEnd w:id="85"/>
    <w:bookmarkStart w:name="87" w:id="8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бере участь у формуванні порядку денного засідання Робочої групи;</w:t>
      </w:r>
    </w:p>
    <w:bookmarkEnd w:id="86"/>
    <w:bookmarkStart w:name="88" w:id="8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здійснює інформаційне забезпечення голови Робочої групи та її членів з питань діяльності Робочої групи;</w:t>
      </w:r>
    </w:p>
    <w:bookmarkEnd w:id="87"/>
    <w:bookmarkStart w:name="89" w:id="8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організовує підготовку і проведення засідань Робочої групи;</w:t>
      </w:r>
    </w:p>
    <w:bookmarkEnd w:id="88"/>
    <w:bookmarkStart w:name="90" w:id="8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веде та подає на підпис голові Робочої групи протоколи засідань та іншу документацію, що стосується роботи Робочої групи.</w:t>
      </w:r>
    </w:p>
    <w:bookmarkEnd w:id="89"/>
    <w:bookmarkStart w:name="91" w:id="9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 Члени Робочої групи:</w:t>
      </w:r>
    </w:p>
    <w:bookmarkEnd w:id="90"/>
    <w:bookmarkStart w:name="92" w:id="9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беруть участь у засіданнях Робочої групи;</w:t>
      </w:r>
    </w:p>
    <w:bookmarkEnd w:id="91"/>
    <w:bookmarkStart w:name="93" w:id="9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беруть участь у обговоренні питань, що розглядаються на засіданні та мають право вносити свої пропозиції;</w:t>
      </w:r>
    </w:p>
    <w:bookmarkEnd w:id="92"/>
    <w:bookmarkStart w:name="94" w:id="9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беруть участь в опрацюванні матеріалів, поданих до розгляду на засідання Робочої групи;</w:t>
      </w:r>
    </w:p>
    <w:bookmarkEnd w:id="93"/>
    <w:bookmarkStart w:name="95" w:id="9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забезпечують об'єктивність та неупередженість у наданні рекомендацій за напрямками;</w:t>
      </w:r>
    </w:p>
    <w:bookmarkEnd w:id="94"/>
    <w:bookmarkStart w:name="96" w:id="9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мають право взаємодіяти в установленому порядку з органами державної влади та місцевого самоврядування, підприємствами, установами та організаціями незалежно від форм власності, отримувати від них в установленому порядку інформацію в межах своєї компетенції;</w:t>
      </w:r>
    </w:p>
    <w:bookmarkEnd w:id="95"/>
    <w:bookmarkStart w:name="97" w:id="9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виконують доручення голови Робочої групи та його заступника щодо підготовки окремих питань, які виносяться на розгляд засідання Робочої групи.</w:t>
      </w:r>
    </w:p>
    <w:bookmarkEnd w:id="96"/>
    <w:bookmarkStart w:name="98" w:id="9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6. Члени Робочої групи з метою виконання завдань зобов'язані:</w:t>
      </w:r>
    </w:p>
    <w:bookmarkEnd w:id="97"/>
    <w:bookmarkStart w:name="99" w:id="9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брати активну участь у роботі Робочої групи;</w:t>
      </w:r>
    </w:p>
    <w:bookmarkEnd w:id="98"/>
    <w:bookmarkStart w:name="100" w:id="9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голосувати на засіданнях;</w:t>
      </w:r>
    </w:p>
    <w:bookmarkEnd w:id="99"/>
    <w:bookmarkStart w:name="101" w:id="10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повідомляти секретаря Робочої групи про неможливість участі в засіданні в порядку, визначеному цим положенням;</w:t>
      </w:r>
    </w:p>
    <w:bookmarkEnd w:id="100"/>
    <w:bookmarkStart w:name="102" w:id="10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виконувати протокольні рішення;</w:t>
      </w:r>
    </w:p>
    <w:bookmarkEnd w:id="101"/>
    <w:bookmarkStart w:name="103" w:id="10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не передавати матеріали, отримані на засіданні Робочої групи без рішення Робочої групи;</w:t>
      </w:r>
    </w:p>
    <w:bookmarkEnd w:id="102"/>
    <w:bookmarkStart w:name="104" w:id="10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приймати до розгляду питання та надавати рекомендації щодо питань за напрямками;</w:t>
      </w:r>
    </w:p>
    <w:bookmarkEnd w:id="103"/>
    <w:bookmarkStart w:name="105" w:id="10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здійснювати експертно-аналітичну роботу та надавати науково-методичну допомогу за напрямками;</w:t>
      </w:r>
    </w:p>
    <w:bookmarkEnd w:id="104"/>
    <w:bookmarkStart w:name="106" w:id="10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запобігти та здійснювати заходи щодо врегулювання конфлікту інтересів у діяльності членів Робочої групи.</w:t>
      </w:r>
    </w:p>
    <w:bookmarkEnd w:id="105"/>
    <w:bookmarkStart w:name="107" w:id="10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7. Голова, заступник голови, секретар та члени Робочої групи зобов'язані не розголошувати інформацію, яка стала їм відома у зв'язку з роботою у Робочій групі.</w:t>
      </w:r>
    </w:p>
    <w:bookmarkEnd w:id="106"/>
    <w:bookmarkStart w:name="108" w:id="107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V. Організація діяльності Робочої групи</w:t>
      </w:r>
    </w:p>
    <w:bookmarkEnd w:id="107"/>
    <w:bookmarkStart w:name="109" w:id="10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Організаційною формою роботи Робочої групи є засідання. Засідання можуть проводитися у відкритій або закритій формі. У разі необхідності, засідання Робочої групи можуть проводитися в закритому режимі, без участі сторонніх осіб та ЗМІ.</w:t>
      </w:r>
    </w:p>
    <w:bookmarkEnd w:id="108"/>
    <w:bookmarkStart w:name="110" w:id="10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Дата, час, місце проведення та порядок денний засідання Робочої групи визначаються її головою (у разі його відсутності - заступником голови). Про проведення засідання членів Робочої групи та запрошених осіб повідомляє секретар Робочої групи за дорученням голови Робочої групи завчасно, але не пізніше ніж за 5 днів до засідання.</w:t>
      </w:r>
    </w:p>
    <w:bookmarkEnd w:id="109"/>
    <w:bookmarkStart w:name="111" w:id="1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Засідання Робочої групи проводить голова, у разі його відсутності засідання проводить його заступник.</w:t>
      </w:r>
    </w:p>
    <w:bookmarkEnd w:id="110"/>
    <w:bookmarkStart w:name="112" w:id="1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Члени Робочої групи беруть участь у засіданнях особисто. Якщо член Робочої групи не може бути присутнім на засіданні, він зобов'язаний повідомити про це електронною поштою або телефоном секретаря Робочої групи не пізніше, ніж за 2 дні до дати проведення засідання.</w:t>
      </w:r>
    </w:p>
    <w:bookmarkEnd w:id="111"/>
    <w:bookmarkStart w:name="113" w:id="1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 Засідання Робочої групи вважається правомочним за присутності не менше половини від затвердженої кількості членів Робочої групи.</w:t>
      </w:r>
    </w:p>
    <w:bookmarkEnd w:id="112"/>
    <w:bookmarkStart w:name="114" w:id="1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6. Рішення Робочої групи мають рекомендаційний характер, приймаються шляхом голосування і вважаються прийнятими, якщо за нього проголосувала більшість присутніх на засіданні членів Робочої групи. При рівності голосів "за" і "проти" вирішальний голос належить голові Робочої групи, а у разі його відсутності - головуючому на засіданні. Член Робочої групи може висловити окрему думку з приводу порядку денного та протягом 2 робочих днів надати їх у письмовому вигляді секретарю Робочої групи для приєднання до протоколу.</w:t>
      </w:r>
    </w:p>
    <w:bookmarkEnd w:id="113"/>
    <w:bookmarkStart w:name="115" w:id="11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7. Рішення Робочої групи оформлюються у вигляді протоколу, який містить інформацію про назву групи, дату засідання, її учасників, перелік питань, що були розглянуті, пропозиції учасників щодо обговорених питань та рішення, що були прийняті з цих питань.</w:t>
      </w:r>
    </w:p>
    <w:bookmarkEnd w:id="114"/>
    <w:bookmarkStart w:name="116" w:id="11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8. Протокол підписується головою Робочої групи і секретарем Робочої групи та доводиться до відома усіх членів Робочої групи.</w:t>
      </w:r>
    </w:p>
    <w:bookmarkEnd w:id="115"/>
    <w:bookmarkStart w:name="117" w:id="11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9. У разі виникнення реального чи потенційного конфлікту інтересів у членів Робочої групи або інших учасників засідання та неможливості через це брати участь у роботі Робочої групи, вони зобов'язані письмово повідомити про це голову Робочої групи. У разі ненадання зазначеної інформації відповідні особи несуть відповідальність згідно з нормами діючого законодавства. Про конфлікт інтересів членів Робочої групи, голови або інших учасників засідання може заявити будь-який учасник засідання. Заява про конфлікт інтересів члена Робочої групи, голови або інших учасників засідання заноситься в протокол засідання Робочої групи. У разі неподання інформації щодо існування конфлікту інтересів, якщо про нього стає відомо після прийняття рішення Робочою групою, - таке рішення підлягає перегляду.</w:t>
      </w:r>
    </w:p>
    <w:bookmarkEnd w:id="116"/>
    <w:bookmarkStart w:name="118" w:id="11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10. Питання, що стосуються організації роботи Робочої групи і не врегульовані розділом V цього Положення, залишаються на розсуд членів Робочої групи, про що ухвалюється відповідне рішення Робочої групи.</w:t>
      </w:r>
    </w:p>
    <w:bookmarkEnd w:id="117"/>
    <w:bookmarkStart w:name="119" w:id="11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11. Моніторинг за виконанням рішень Робочої групи здійснює голова Робочої групи.</w:t>
      </w:r>
    </w:p>
    <w:bookmarkEnd w:id="118"/>
    <w:bookmarkStart w:name="120" w:id="119"/>
    <w:p>
      <w:pPr>
        <w:spacing w:after="0"/>
        <w:ind w:firstLine="240"/>
        <w:jc w:val="left"/>
      </w:pPr>
      <w:r>
        <w:rPr>
          <w:rFonts w:ascii="Arial"/>
          <w:b/>
          <w:i w:val="false"/>
          <w:color w:val="000000"/>
          <w:sz w:val="18"/>
        </w:rPr>
        <w:t xml:space="preserve"> 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bottom"/>
          </w:tcPr>
          <w:bookmarkStart w:name="121" w:id="12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Заступник Міністра з питань</w:t>
            </w:r>
            <w:r>
              <w:br/>
            </w:r>
            <w:r>
              <w:rPr>
                <w:rFonts w:ascii="Arial"/>
                <w:b/>
                <w:i w:val="false"/>
                <w:color w:val="000000"/>
                <w:sz w:val="15"/>
              </w:rPr>
              <w:t>європейської інтеграції</w:t>
            </w:r>
          </w:p>
          <w:bookmarkEnd w:id="120"/>
        </w:tc>
        <w:tc>
          <w:tcPr>
            <w:tcW w:w="4845" w:type="dxa"/>
            <w:tcBorders/>
            <w:vAlign w:val="bottom"/>
          </w:tcPr>
          <w:bookmarkStart w:name="122" w:id="12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Ігор ІВАЩЕНКО</w:t>
            </w:r>
          </w:p>
          <w:bookmarkEnd w:id="121"/>
        </w:tc>
      </w:tr>
    </w:tbl>
    <w:p>
      <w:pPr>
        <w:spacing/>
        <w:ind w:left="0"/>
        <w:jc w:val="left"/>
      </w:pPr>
      <w:r>
        <w:br/>
      </w:r>
    </w:p>
    <w:bookmarkStart w:name="123" w:id="122"/>
    <w:p>
      <w:pPr>
        <w:spacing w:after="0"/>
        <w:ind w:firstLine="240"/>
        <w:jc w:val="left"/>
      </w:pPr>
    </w:p>
    <w:bookmarkEnd w:id="122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2021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