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6E" w:rsidRPr="00EA531C" w:rsidRDefault="00E56B6E" w:rsidP="00E56B6E">
      <w:pPr>
        <w:jc w:val="right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</w:t>
      </w:r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                         </w:t>
      </w:r>
      <w:proofErr w:type="spellStart"/>
      <w:r w:rsidRPr="00EA531C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Додаток</w:t>
      </w:r>
      <w:proofErr w:type="spellEnd"/>
      <w:r w:rsidRPr="00EA531C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2</w:t>
      </w:r>
    </w:p>
    <w:p w:rsidR="00E56B6E" w:rsidRPr="00EA531C" w:rsidRDefault="00E56B6E" w:rsidP="00E56B6E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E56B6E" w:rsidRPr="00EA531C" w:rsidRDefault="00E56B6E" w:rsidP="00E56B6E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EA531C">
        <w:rPr>
          <w:rFonts w:asciiTheme="minorHAnsi" w:hAnsiTheme="minorHAnsi" w:cstheme="minorHAnsi"/>
          <w:b/>
          <w:bCs/>
          <w:sz w:val="20"/>
          <w:szCs w:val="20"/>
          <w:lang w:val="ru-RU"/>
        </w:rPr>
        <w:t>«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Перелік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протоколів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клінічних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випробувань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лікарських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 w:eastAsia="ru-RU"/>
        </w:rPr>
        <w:t>засобів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,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розглянутих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на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засіданні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НЕР </w:t>
      </w:r>
      <w:r w:rsid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  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№ 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1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від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1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4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.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0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1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.2021</w:t>
      </w:r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,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знято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з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розгляду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за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бажанням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proofErr w:type="spellStart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заявника</w:t>
      </w:r>
      <w:proofErr w:type="spellEnd"/>
      <w:r w:rsidRPr="00EA531C">
        <w:rPr>
          <w:rFonts w:asciiTheme="minorHAnsi" w:hAnsiTheme="minorHAnsi" w:cstheme="minorHAnsi"/>
          <w:b/>
          <w:sz w:val="20"/>
          <w:szCs w:val="20"/>
          <w:lang w:val="ru-RU"/>
        </w:rPr>
        <w:t>.»</w:t>
      </w:r>
    </w:p>
    <w:p w:rsidR="00E56B6E" w:rsidRPr="005C5A1C" w:rsidRDefault="00E56B6E" w:rsidP="00E56B6E">
      <w:pPr>
        <w:pStyle w:val="a7"/>
        <w:ind w:right="-5"/>
        <w:jc w:val="both"/>
        <w:rPr>
          <w:rFonts w:ascii="Arial" w:hAnsi="Arial" w:cs="Arial"/>
          <w:bCs/>
          <w:sz w:val="18"/>
          <w:szCs w:val="18"/>
          <w:lang w:val="ru-RU"/>
        </w:rPr>
      </w:pPr>
    </w:p>
    <w:p w:rsidR="00B7614E" w:rsidRPr="00293BA2" w:rsidRDefault="00E56B6E" w:rsidP="00293BA2">
      <w:pPr>
        <w:jc w:val="both"/>
        <w:rPr>
          <w:rStyle w:val="cs80d9435b5"/>
          <w:rFonts w:asciiTheme="minorHAnsi" w:hAnsiTheme="minorHAnsi" w:cstheme="minorHAnsi"/>
          <w:sz w:val="20"/>
          <w:szCs w:val="20"/>
          <w:lang w:val="uk-UA"/>
        </w:rPr>
      </w:pPr>
      <w:r w:rsidRPr="00293BA2">
        <w:rPr>
          <w:rStyle w:val="cs9f0a40405"/>
          <w:rFonts w:asciiTheme="minorHAnsi" w:hAnsiTheme="minorHAnsi" w:cstheme="minorHAnsi"/>
          <w:b/>
          <w:lang w:val="ru-RU"/>
        </w:rPr>
        <w:t xml:space="preserve">1. </w:t>
      </w:r>
      <w:r w:rsidR="00070978" w:rsidRPr="00293BA2">
        <w:rPr>
          <w:rStyle w:val="cs9f0a40405"/>
          <w:rFonts w:asciiTheme="minorHAnsi" w:hAnsiTheme="minorHAnsi" w:cstheme="minorHAnsi"/>
          <w:lang w:val="uk-UA"/>
        </w:rPr>
        <w:t>«</w:t>
      </w:r>
      <w:proofErr w:type="spellStart"/>
      <w:r w:rsidR="00070978" w:rsidRPr="00293BA2">
        <w:rPr>
          <w:rStyle w:val="cs9f0a40405"/>
          <w:rFonts w:asciiTheme="minorHAnsi" w:hAnsiTheme="minorHAnsi" w:cstheme="minorHAnsi"/>
          <w:lang w:val="uk-UA"/>
        </w:rPr>
        <w:t>Багатоцентрове</w:t>
      </w:r>
      <w:proofErr w:type="spellEnd"/>
      <w:r w:rsidR="00070978" w:rsidRPr="00293BA2">
        <w:rPr>
          <w:rStyle w:val="cs9f0a40405"/>
          <w:rFonts w:asciiTheme="minorHAnsi" w:hAnsiTheme="minorHAnsi" w:cstheme="minorHAnsi"/>
          <w:lang w:val="uk-UA"/>
        </w:rPr>
        <w:t xml:space="preserve"> </w:t>
      </w:r>
      <w:proofErr w:type="spellStart"/>
      <w:r w:rsidR="00070978" w:rsidRPr="00293BA2">
        <w:rPr>
          <w:rStyle w:val="cs9f0a40405"/>
          <w:rFonts w:asciiTheme="minorHAnsi" w:hAnsiTheme="minorHAnsi" w:cstheme="minorHAnsi"/>
          <w:lang w:val="uk-UA"/>
        </w:rPr>
        <w:t>рандомізоване</w:t>
      </w:r>
      <w:proofErr w:type="spellEnd"/>
      <w:r w:rsidR="00070978" w:rsidRPr="00293BA2">
        <w:rPr>
          <w:rStyle w:val="cs9f0a40405"/>
          <w:rFonts w:asciiTheme="minorHAnsi" w:hAnsiTheme="minorHAnsi" w:cstheme="minorHAnsi"/>
          <w:lang w:val="uk-UA"/>
        </w:rPr>
        <w:t xml:space="preserve"> подвійно сліпе плацебо-контрольоване дослідження, що проводиться з метою оцінки ефективності та безпечності </w:t>
      </w:r>
      <w:proofErr w:type="spellStart"/>
      <w:r w:rsidR="00070978" w:rsidRPr="00293BA2">
        <w:rPr>
          <w:rStyle w:val="cs9b006265"/>
          <w:rFonts w:asciiTheme="minorHAnsi" w:hAnsiTheme="minorHAnsi" w:cstheme="minorHAnsi"/>
          <w:lang w:val="uk-UA"/>
        </w:rPr>
        <w:t>апраглутиду</w:t>
      </w:r>
      <w:proofErr w:type="spellEnd"/>
      <w:r w:rsidR="00070978" w:rsidRPr="00293BA2">
        <w:rPr>
          <w:rStyle w:val="cs9f0a40405"/>
          <w:rFonts w:asciiTheme="minorHAnsi" w:hAnsiTheme="minorHAnsi" w:cstheme="minorHAnsi"/>
          <w:lang w:val="uk-UA"/>
        </w:rPr>
        <w:t xml:space="preserve"> при застосуванні в дорослих пацієнтів із синдромом короткої кишки та синдромом кишкової недостатності (СКК-КН)», код дослідження </w:t>
      </w:r>
      <w:r w:rsidR="00070978" w:rsidRPr="00293BA2">
        <w:rPr>
          <w:rStyle w:val="cs9b006265"/>
          <w:rFonts w:asciiTheme="minorHAnsi" w:hAnsiTheme="minorHAnsi" w:cstheme="minorHAnsi"/>
          <w:lang w:val="uk-UA"/>
        </w:rPr>
        <w:t>TA799-007</w:t>
      </w:r>
      <w:r w:rsidR="00070978" w:rsidRPr="00293BA2">
        <w:rPr>
          <w:rStyle w:val="cs9f0a40405"/>
          <w:rFonts w:asciiTheme="minorHAnsi" w:hAnsiTheme="minorHAnsi" w:cstheme="minorHAnsi"/>
          <w:lang w:val="uk-UA"/>
        </w:rPr>
        <w:t>, редакція 3.0 від 16 липня 2020 р., спонсор - «</w:t>
      </w:r>
      <w:proofErr w:type="spellStart"/>
      <w:r w:rsidR="00070978" w:rsidRPr="00293BA2">
        <w:rPr>
          <w:rStyle w:val="cs9f0a40405"/>
          <w:rFonts w:asciiTheme="minorHAnsi" w:hAnsiTheme="minorHAnsi" w:cstheme="minorHAnsi"/>
          <w:lang w:val="uk-UA"/>
        </w:rPr>
        <w:t>ВектівБіо</w:t>
      </w:r>
      <w:proofErr w:type="spellEnd"/>
      <w:r w:rsidR="00070978" w:rsidRPr="00293BA2">
        <w:rPr>
          <w:rStyle w:val="cs9f0a40405"/>
          <w:rFonts w:asciiTheme="minorHAnsi" w:hAnsiTheme="minorHAnsi" w:cstheme="minorHAnsi"/>
          <w:lang w:val="uk-UA"/>
        </w:rPr>
        <w:t xml:space="preserve"> АГ» [</w:t>
      </w:r>
      <w:proofErr w:type="spellStart"/>
      <w:r w:rsidR="00070978" w:rsidRPr="00293BA2">
        <w:rPr>
          <w:rStyle w:val="cs9f0a40405"/>
          <w:rFonts w:asciiTheme="minorHAnsi" w:hAnsiTheme="minorHAnsi" w:cstheme="minorHAnsi"/>
          <w:lang w:val="uk-UA"/>
        </w:rPr>
        <w:t>VectivBio</w:t>
      </w:r>
      <w:proofErr w:type="spellEnd"/>
      <w:r w:rsidR="00070978" w:rsidRPr="00293BA2">
        <w:rPr>
          <w:rStyle w:val="cs9f0a40405"/>
          <w:rFonts w:asciiTheme="minorHAnsi" w:hAnsiTheme="minorHAnsi" w:cstheme="minorHAnsi"/>
          <w:lang w:val="uk-UA"/>
        </w:rPr>
        <w:t xml:space="preserve"> AG], Швейцарія</w:t>
      </w:r>
    </w:p>
    <w:p w:rsidR="00B7614E" w:rsidRPr="00293BA2" w:rsidRDefault="00070978" w:rsidP="00293BA2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293BA2">
        <w:rPr>
          <w:rStyle w:val="cs9f0a40405"/>
          <w:rFonts w:asciiTheme="minorHAnsi" w:hAnsiTheme="minorHAnsi" w:cstheme="minorHAnsi"/>
          <w:lang w:val="uk-UA"/>
        </w:rPr>
        <w:t>Фаза - ІІІ</w:t>
      </w:r>
    </w:p>
    <w:p w:rsidR="00B7614E" w:rsidRPr="00293BA2" w:rsidRDefault="00070978" w:rsidP="00293BA2">
      <w:pPr>
        <w:pStyle w:val="cs80d9435b"/>
        <w:rPr>
          <w:rStyle w:val="cs9f0a40405"/>
          <w:rFonts w:asciiTheme="minorHAnsi" w:hAnsiTheme="minorHAnsi" w:cstheme="minorHAnsi"/>
          <w:lang w:val="uk-UA"/>
        </w:rPr>
      </w:pPr>
      <w:r w:rsidRPr="00293BA2">
        <w:rPr>
          <w:rStyle w:val="cs9f0a40405"/>
          <w:rFonts w:asciiTheme="minorHAnsi" w:hAnsiTheme="minorHAnsi" w:cstheme="minorHAnsi"/>
          <w:lang w:val="uk-UA"/>
        </w:rPr>
        <w:t>Заявник - ТОВАРИСТВО З ОБМЕЖЕНОЮ ВІДПОВІДАЛЬНІСТЮ «ПІ ЕС АЙ-УКРАЇНА»</w:t>
      </w:r>
    </w:p>
    <w:p w:rsidR="00B7614E" w:rsidRPr="00293BA2" w:rsidRDefault="00070978" w:rsidP="00293BA2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293BA2">
        <w:rPr>
          <w:rStyle w:val="cs9f0a40405"/>
          <w:rFonts w:asciiTheme="minorHAnsi" w:hAnsiTheme="minorHAnsi" w:cstheme="minorHAnsi"/>
          <w:lang w:val="uk-UA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869"/>
      </w:tblGrid>
      <w:tr w:rsidR="0003394E" w:rsidRPr="00293BA2" w:rsidTr="00293BA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8EE" w:rsidRPr="00293BA2" w:rsidRDefault="00070978" w:rsidP="00293BA2">
            <w:pPr>
              <w:pStyle w:val="cs2e86d3a6"/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№</w:t>
            </w:r>
          </w:p>
          <w:p w:rsidR="00B7614E" w:rsidRPr="00293BA2" w:rsidRDefault="00070978" w:rsidP="00293BA2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п/п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14E" w:rsidRPr="00293BA2" w:rsidRDefault="00070978" w:rsidP="00293BA2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B7614E" w:rsidRPr="00293BA2" w:rsidRDefault="00070978" w:rsidP="00293BA2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1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к.м.н. Даценко О.Г.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№2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імені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проф. </w:t>
            </w:r>
            <w:r w:rsidR="0003394E"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               </w:t>
            </w:r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  </w:t>
            </w: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О.О.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Шалімова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Харківської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проктологічне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2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Гуменчук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І.В.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. </w:t>
            </w:r>
            <w:r w:rsidR="0003394E"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 xml:space="preserve">                        </w:t>
            </w: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 xml:space="preserve">М.І. Пирогова Вінницької обласної ради», Клінічний високоспеціалізований хірургічний центр з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>малоінвазивними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 xml:space="preserve"> технологіями, м. Вінниця</w:t>
            </w:r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3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к.м.н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Кучма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Н.Г.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некомерційне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Сумської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Сумська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»,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гастроентерологічне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Сумський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державний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університет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Медичний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інститут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кафедра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внутрішньої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медицини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з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центром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респіраторної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медицини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Суми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4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Зборівський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Я.М.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некомерційне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Львівської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обласної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>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Льв</w:t>
            </w:r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івська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обласна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>»</w:t>
            </w: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хірургічне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№1,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Львів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5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зав.від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Товбін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Ю.В.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некомерційне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Міська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№9»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Запорізької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міської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загальної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хірургії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Запоріжжя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6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Ткачук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О.А.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Волинська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»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Волинської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обласної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хірургічне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(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ендокринної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та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абдомінальної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патології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 xml:space="preserve">),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</w:rPr>
              <w:t>Луцьк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7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Зубков О.О.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Державна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установа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інститут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хірургії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трансплантології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. О.О.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Шалімова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Національної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академії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медичних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наук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України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доопераційної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діагностики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і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відновлювального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лікування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03394E" w:rsidRPr="00293BA2" w:rsidTr="00293BA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95e872d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BA2">
              <w:rPr>
                <w:rStyle w:val="cs2494c3c62"/>
                <w:rFonts w:asciiTheme="minorHAnsi" w:hAnsiTheme="minorHAnsi" w:cstheme="minorHAnsi"/>
                <w:b w:val="0"/>
                <w:color w:val="000000" w:themeColor="text1"/>
              </w:rPr>
              <w:t>8</w:t>
            </w: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Косульников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С.О.</w:t>
            </w:r>
          </w:p>
          <w:p w:rsidR="00B7614E" w:rsidRPr="00293BA2" w:rsidRDefault="00070978" w:rsidP="00293BA2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Дніпропетровська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. І.І. Мечникова»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Дніпропетровської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хірургії</w:t>
            </w:r>
            <w:proofErr w:type="spellEnd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293BA2">
              <w:rPr>
                <w:rStyle w:val="csaecf586f2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Дніпро</w:t>
            </w:r>
            <w:proofErr w:type="spellEnd"/>
          </w:p>
        </w:tc>
      </w:tr>
    </w:tbl>
    <w:p w:rsidR="00B7614E" w:rsidRPr="00256A7D" w:rsidRDefault="00070978">
      <w:pPr>
        <w:pStyle w:val="cs80d9435b"/>
        <w:rPr>
          <w:lang w:val="ru-RU"/>
        </w:rPr>
      </w:pPr>
      <w:r>
        <w:rPr>
          <w:rStyle w:val="csafaf57415"/>
          <w:lang w:val="uk-UA"/>
        </w:rPr>
        <w:t> </w:t>
      </w:r>
      <w:bookmarkStart w:id="0" w:name="_GoBack"/>
      <w:bookmarkEnd w:id="0"/>
    </w:p>
    <w:sectPr w:rsidR="00B7614E" w:rsidRPr="00256A7D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4E" w:rsidRDefault="00070978">
      <w:pPr>
        <w:rPr>
          <w:lang w:val="ru-RU"/>
        </w:rPr>
      </w:pPr>
      <w:r>
        <w:rPr>
          <w:lang w:val="ru-RU"/>
        </w:rPr>
        <w:separator/>
      </w:r>
    </w:p>
    <w:p w:rsidR="00B7614E" w:rsidRDefault="00B7614E">
      <w:pPr>
        <w:rPr>
          <w:lang w:val="ru-RU"/>
        </w:rPr>
      </w:pPr>
    </w:p>
  </w:endnote>
  <w:endnote w:type="continuationSeparator" w:id="0">
    <w:p w:rsidR="00B7614E" w:rsidRDefault="00070978">
      <w:pPr>
        <w:rPr>
          <w:lang w:val="ru-RU"/>
        </w:rPr>
      </w:pPr>
      <w:r>
        <w:rPr>
          <w:lang w:val="ru-RU"/>
        </w:rPr>
        <w:continuationSeparator/>
      </w:r>
    </w:p>
    <w:p w:rsidR="00B7614E" w:rsidRDefault="00B7614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4E" w:rsidRDefault="00070978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42736" w:rsidRPr="0084273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4E" w:rsidRDefault="00070978">
      <w:pPr>
        <w:rPr>
          <w:lang w:val="ru-RU"/>
        </w:rPr>
      </w:pPr>
      <w:r>
        <w:rPr>
          <w:lang w:val="ru-RU"/>
        </w:rPr>
        <w:separator/>
      </w:r>
    </w:p>
    <w:p w:rsidR="00B7614E" w:rsidRDefault="00B7614E">
      <w:pPr>
        <w:rPr>
          <w:lang w:val="ru-RU"/>
        </w:rPr>
      </w:pPr>
    </w:p>
  </w:footnote>
  <w:footnote w:type="continuationSeparator" w:id="0">
    <w:p w:rsidR="00B7614E" w:rsidRDefault="00070978">
      <w:pPr>
        <w:rPr>
          <w:lang w:val="ru-RU"/>
        </w:rPr>
      </w:pPr>
      <w:r>
        <w:rPr>
          <w:lang w:val="ru-RU"/>
        </w:rPr>
        <w:continuationSeparator/>
      </w:r>
    </w:p>
    <w:p w:rsidR="00B7614E" w:rsidRDefault="00B7614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7D"/>
    <w:rsid w:val="0003394E"/>
    <w:rsid w:val="00070978"/>
    <w:rsid w:val="001E36D7"/>
    <w:rsid w:val="002403AA"/>
    <w:rsid w:val="00256A7D"/>
    <w:rsid w:val="00293BA2"/>
    <w:rsid w:val="00303FB4"/>
    <w:rsid w:val="005048EE"/>
    <w:rsid w:val="005D7E04"/>
    <w:rsid w:val="00703CF3"/>
    <w:rsid w:val="00842736"/>
    <w:rsid w:val="00B3496F"/>
    <w:rsid w:val="00B7614E"/>
    <w:rsid w:val="00E56B6E"/>
    <w:rsid w:val="00EA531C"/>
    <w:rsid w:val="00F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88617A7"/>
  <w15:chartTrackingRefBased/>
  <w15:docId w15:val="{E4341AEE-73AC-4105-8738-AC9E423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522bc7a0">
    <w:name w:val="cs522bc7a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957c05">
    <w:name w:val="cse9957c0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03e753c">
    <w:name w:val="cs303e75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7214a9f">
    <w:name w:val="csf7214a9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79A7-859D-44BE-A48B-6F1885D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16</cp:revision>
  <cp:lastPrinted>2014-04-25T09:08:00Z</cp:lastPrinted>
  <dcterms:created xsi:type="dcterms:W3CDTF">2021-01-11T14:31:00Z</dcterms:created>
  <dcterms:modified xsi:type="dcterms:W3CDTF">2021-01-13T12:43:00Z</dcterms:modified>
</cp:coreProperties>
</file>