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C6" w:rsidRPr="0054349C" w:rsidRDefault="0054349C" w:rsidP="0054349C">
      <w:pPr>
        <w:pStyle w:val="a7"/>
        <w:ind w:right="-5"/>
        <w:jc w:val="both"/>
        <w:rPr>
          <w:rFonts w:ascii="Arial" w:hAnsi="Arial" w:cs="Arial"/>
          <w:b/>
          <w:sz w:val="20"/>
          <w:szCs w:val="20"/>
          <w:lang w:val="uk-UA"/>
        </w:rPr>
      </w:pPr>
      <w:r>
        <w:rPr>
          <w:rFonts w:ascii="Arial" w:hAnsi="Arial" w:cs="Arial"/>
          <w:b/>
          <w:sz w:val="20"/>
          <w:szCs w:val="20"/>
        </w:rPr>
        <w:t xml:space="preserve">                                                                                                                                                           </w:t>
      </w:r>
      <w:r w:rsidR="009F34C6" w:rsidRPr="0054349C">
        <w:rPr>
          <w:rFonts w:ascii="Arial" w:hAnsi="Arial" w:cs="Arial"/>
          <w:b/>
          <w:sz w:val="20"/>
          <w:szCs w:val="20"/>
          <w:lang w:val="uk-UA"/>
        </w:rPr>
        <w:t>Додаток</w:t>
      </w:r>
      <w:r>
        <w:rPr>
          <w:rFonts w:ascii="Arial" w:hAnsi="Arial" w:cs="Arial"/>
          <w:b/>
          <w:sz w:val="20"/>
          <w:szCs w:val="20"/>
        </w:rPr>
        <w:t xml:space="preserve"> </w:t>
      </w:r>
      <w:r w:rsidR="009F34C6" w:rsidRPr="0054349C">
        <w:rPr>
          <w:rFonts w:ascii="Arial" w:hAnsi="Arial" w:cs="Arial"/>
          <w:b/>
          <w:sz w:val="20"/>
          <w:szCs w:val="20"/>
          <w:lang w:val="uk-UA"/>
        </w:rPr>
        <w:t>1</w:t>
      </w:r>
    </w:p>
    <w:p w:rsidR="009F34C6" w:rsidRPr="0054349C" w:rsidRDefault="009F34C6" w:rsidP="0054349C">
      <w:pPr>
        <w:pStyle w:val="a7"/>
        <w:ind w:right="-5"/>
        <w:jc w:val="both"/>
        <w:rPr>
          <w:rFonts w:ascii="Arial" w:hAnsi="Arial" w:cs="Arial"/>
          <w:b/>
          <w:sz w:val="20"/>
          <w:szCs w:val="20"/>
          <w:lang w:val="uk-UA"/>
        </w:rPr>
      </w:pPr>
    </w:p>
    <w:p w:rsidR="009F34C6" w:rsidRPr="0054349C" w:rsidRDefault="009F34C6" w:rsidP="0054349C">
      <w:pPr>
        <w:pStyle w:val="a7"/>
        <w:ind w:right="-5"/>
        <w:jc w:val="both"/>
        <w:rPr>
          <w:rFonts w:ascii="Arial" w:hAnsi="Arial" w:cs="Arial"/>
          <w:b/>
          <w:sz w:val="20"/>
          <w:szCs w:val="20"/>
          <w:lang w:val="uk-UA"/>
        </w:rPr>
      </w:pPr>
      <w:r w:rsidRPr="0054349C">
        <w:rPr>
          <w:rFonts w:ascii="Arial" w:hAnsi="Arial" w:cs="Arial"/>
          <w:b/>
          <w:sz w:val="20"/>
          <w:szCs w:val="20"/>
          <w:lang w:val="uk-UA"/>
        </w:rPr>
        <w:t xml:space="preserve">«Перелік суттєвих поправок до протоколів клінічних випробувань, розглянутих на засіданні </w:t>
      </w:r>
      <w:r w:rsidR="0054349C" w:rsidRPr="0054349C">
        <w:rPr>
          <w:rFonts w:ascii="Arial" w:hAnsi="Arial" w:cs="Arial"/>
          <w:b/>
          <w:sz w:val="20"/>
          <w:szCs w:val="20"/>
          <w:lang w:val="ru-RU"/>
        </w:rPr>
        <w:t xml:space="preserve">   </w:t>
      </w:r>
      <w:r w:rsidRPr="0054349C">
        <w:rPr>
          <w:rFonts w:ascii="Arial" w:hAnsi="Arial" w:cs="Arial"/>
          <w:b/>
          <w:sz w:val="20"/>
          <w:szCs w:val="20"/>
          <w:lang w:val="uk-UA"/>
        </w:rPr>
        <w:t>НТР № 24 від 04.07.24, на які були отрима</w:t>
      </w:r>
      <w:r w:rsidR="0054349C">
        <w:rPr>
          <w:rFonts w:ascii="Arial" w:hAnsi="Arial" w:cs="Arial"/>
          <w:b/>
          <w:sz w:val="20"/>
          <w:szCs w:val="20"/>
          <w:lang w:val="uk-UA"/>
        </w:rPr>
        <w:t>ні позитивні висновки експертів</w:t>
      </w:r>
      <w:r w:rsidRPr="0054349C">
        <w:rPr>
          <w:rFonts w:ascii="Arial" w:hAnsi="Arial" w:cs="Arial"/>
          <w:b/>
          <w:sz w:val="20"/>
          <w:szCs w:val="20"/>
          <w:lang w:val="uk-UA"/>
        </w:rPr>
        <w:t>»</w:t>
      </w:r>
    </w:p>
    <w:p w:rsidR="009F34C6" w:rsidRPr="0054349C" w:rsidRDefault="009F34C6" w:rsidP="0054349C">
      <w:pPr>
        <w:pStyle w:val="a7"/>
        <w:ind w:right="-5"/>
        <w:jc w:val="both"/>
        <w:rPr>
          <w:rFonts w:ascii="Arial" w:hAnsi="Arial" w:cs="Arial"/>
          <w:b/>
          <w:sz w:val="20"/>
          <w:szCs w:val="20"/>
          <w:lang w:val="uk-UA"/>
        </w:rPr>
      </w:pPr>
    </w:p>
    <w:p w:rsidR="001E104E" w:rsidRPr="0054349C" w:rsidRDefault="001E104E" w:rsidP="0054349C">
      <w:pPr>
        <w:pStyle w:val="a7"/>
        <w:ind w:right="-5"/>
        <w:jc w:val="both"/>
        <w:rPr>
          <w:rFonts w:ascii="Arial" w:hAnsi="Arial" w:cs="Arial"/>
          <w:sz w:val="20"/>
          <w:szCs w:val="20"/>
          <w:lang w:val="uk-UA"/>
        </w:rPr>
      </w:pPr>
    </w:p>
    <w:p w:rsidR="009F34C6" w:rsidRPr="0054349C" w:rsidRDefault="009F34C6" w:rsidP="0054349C">
      <w:pPr>
        <w:jc w:val="both"/>
        <w:rPr>
          <w:rFonts w:ascii="Arial" w:hAnsi="Arial" w:cs="Arial"/>
          <w:sz w:val="20"/>
          <w:lang w:val="uk-UA"/>
        </w:rPr>
      </w:pPr>
      <w:r w:rsidRPr="0054349C">
        <w:rPr>
          <w:rStyle w:val="cs80d9435b1"/>
          <w:rFonts w:ascii="Arial" w:hAnsi="Arial" w:cs="Arial"/>
          <w:b/>
          <w:sz w:val="20"/>
          <w:szCs w:val="20"/>
          <w:lang w:val="uk-UA"/>
        </w:rPr>
        <w:t xml:space="preserve">1. </w:t>
      </w:r>
      <w:r w:rsidR="00BE6BD7" w:rsidRPr="0054349C">
        <w:rPr>
          <w:rStyle w:val="cs5e98e9301"/>
          <w:lang w:val="uk-UA"/>
        </w:rPr>
        <w:t>Впровадження додаткової упаковки, блістери у картонних гаманцях, препарату порівняння Кризотиніб (Xalkori®), капсули тверді по 200 мг або по 250 мг; Зразки маркування додаткової упаковки препарату порівняння Кризотиніб (Xalkori®), капсули тверді по 200 мг або по 250 мг; Коротка характеристика лікарського засобу Кризотиніб (Xalkori®), капсули тверді по 200 мг або по 250 мг, версія від 28 жовтня 2022 р.; Зміна назви місця проведення клінічного випробування</w:t>
      </w:r>
      <w:r w:rsidR="00BE6BD7" w:rsidRPr="0054349C">
        <w:rPr>
          <w:rStyle w:val="csa16174ba1"/>
          <w:lang w:val="uk-UA"/>
        </w:rPr>
        <w:t xml:space="preserve"> до протоколу клінічного дослідження «Рандомізоване, багатоцентрове, фази 3, відкрите дослідження </w:t>
      </w:r>
      <w:r w:rsidR="00BE6BD7" w:rsidRPr="0054349C">
        <w:rPr>
          <w:rStyle w:val="cs5e98e9301"/>
          <w:lang w:val="uk-UA"/>
        </w:rPr>
        <w:t>алектинібу</w:t>
      </w:r>
      <w:r w:rsidR="00BE6BD7" w:rsidRPr="0054349C">
        <w:rPr>
          <w:rStyle w:val="csa16174ba1"/>
          <w:lang w:val="uk-UA"/>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BE6BD7" w:rsidRPr="0054349C">
        <w:rPr>
          <w:rStyle w:val="cs5e98e9301"/>
          <w:lang w:val="uk-UA"/>
        </w:rPr>
        <w:t>ВO28984</w:t>
      </w:r>
      <w:r w:rsidR="00BE6BD7" w:rsidRPr="0054349C">
        <w:rPr>
          <w:rStyle w:val="csa16174ba1"/>
          <w:lang w:val="uk-UA"/>
        </w:rPr>
        <w:t xml:space="preserve">, версія 9 від 15 жовтня 2023 р.; спонсор - «Ф. Хоффманн-Ля Рош Лтд» </w:t>
      </w:r>
      <w:r w:rsidR="0054349C" w:rsidRPr="0054349C">
        <w:rPr>
          <w:rStyle w:val="csa16174ba1"/>
          <w:lang w:val="uk-UA"/>
        </w:rPr>
        <w:t xml:space="preserve">                     </w:t>
      </w:r>
      <w:r w:rsidR="00BE6BD7" w:rsidRPr="0054349C">
        <w:rPr>
          <w:rStyle w:val="csa16174ba1"/>
          <w:lang w:val="uk-UA"/>
        </w:rPr>
        <w:t>(F. Hoffmann-La Roche Ltd), Швейцарія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w:t>
      </w:r>
      <w:r w:rsidR="00B41601" w:rsidRPr="0054349C">
        <w:rPr>
          <w:rFonts w:ascii="Arial" w:hAnsi="Arial" w:cs="Arial"/>
          <w:sz w:val="20"/>
          <w:szCs w:val="20"/>
          <w:lang w:val="uk-UA"/>
        </w:rPr>
        <w:t>о з обмеженою відповідальністю «Рош Україна»</w:t>
      </w:r>
    </w:p>
    <w:p w:rsidR="009F34C6" w:rsidRPr="0054349C" w:rsidRDefault="009F34C6" w:rsidP="0054349C">
      <w:pPr>
        <w:rPr>
          <w:rFonts w:ascii="Arial" w:hAnsi="Arial" w:cs="Arial"/>
          <w:sz w:val="20"/>
          <w:lang w:val="uk-UA"/>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9F34C6" w:rsidRPr="0054349C" w:rsidTr="00BE227E">
        <w:trPr>
          <w:trHeight w:val="213"/>
        </w:trPr>
        <w:tc>
          <w:tcPr>
            <w:tcW w:w="4794" w:type="dxa"/>
            <w:tcMar>
              <w:top w:w="0" w:type="dxa"/>
              <w:left w:w="108" w:type="dxa"/>
              <w:bottom w:w="0" w:type="dxa"/>
              <w:right w:w="108" w:type="dxa"/>
            </w:tcMar>
            <w:hideMark/>
          </w:tcPr>
          <w:p w:rsidR="009F34C6" w:rsidRPr="0054349C" w:rsidRDefault="009F34C6" w:rsidP="0054349C">
            <w:pPr>
              <w:pStyle w:val="cs2e86d3a6"/>
              <w:rPr>
                <w:rFonts w:ascii="Arial" w:hAnsi="Arial" w:cs="Arial"/>
                <w:sz w:val="20"/>
                <w:lang w:val="uk-UA"/>
              </w:rPr>
            </w:pPr>
            <w:r w:rsidRPr="0054349C">
              <w:rPr>
                <w:rStyle w:val="csa16174ba1"/>
                <w:lang w:val="uk-UA"/>
              </w:rPr>
              <w:t>БУЛО</w:t>
            </w:r>
          </w:p>
        </w:tc>
        <w:tc>
          <w:tcPr>
            <w:tcW w:w="4795" w:type="dxa"/>
            <w:tcMar>
              <w:top w:w="0" w:type="dxa"/>
              <w:left w:w="108" w:type="dxa"/>
              <w:bottom w:w="0" w:type="dxa"/>
              <w:right w:w="108" w:type="dxa"/>
            </w:tcMar>
            <w:hideMark/>
          </w:tcPr>
          <w:p w:rsidR="009F34C6" w:rsidRPr="0054349C" w:rsidRDefault="009F34C6" w:rsidP="0054349C">
            <w:pPr>
              <w:pStyle w:val="cs2e86d3a6"/>
              <w:rPr>
                <w:rFonts w:ascii="Arial" w:hAnsi="Arial" w:cs="Arial"/>
                <w:sz w:val="20"/>
                <w:lang w:val="uk-UA"/>
              </w:rPr>
            </w:pPr>
            <w:r w:rsidRPr="0054349C">
              <w:rPr>
                <w:rStyle w:val="csa16174ba1"/>
                <w:lang w:val="uk-UA"/>
              </w:rPr>
              <w:t>СТАЛО</w:t>
            </w:r>
          </w:p>
        </w:tc>
      </w:tr>
      <w:tr w:rsidR="009F34C6" w:rsidRPr="0054349C" w:rsidTr="00BE227E">
        <w:trPr>
          <w:trHeight w:val="213"/>
        </w:trPr>
        <w:tc>
          <w:tcPr>
            <w:tcW w:w="4794" w:type="dxa"/>
            <w:tcMar>
              <w:top w:w="0" w:type="dxa"/>
              <w:left w:w="108" w:type="dxa"/>
              <w:bottom w:w="0" w:type="dxa"/>
              <w:right w:w="108" w:type="dxa"/>
            </w:tcMar>
            <w:hideMark/>
          </w:tcPr>
          <w:p w:rsidR="009F34C6" w:rsidRPr="0054349C" w:rsidRDefault="009F34C6" w:rsidP="0054349C">
            <w:pPr>
              <w:pStyle w:val="cs80d9435b"/>
              <w:rPr>
                <w:rFonts w:ascii="Arial" w:hAnsi="Arial" w:cs="Arial"/>
                <w:sz w:val="20"/>
                <w:lang w:val="uk-UA"/>
              </w:rPr>
            </w:pPr>
            <w:r w:rsidRPr="0054349C">
              <w:rPr>
                <w:rStyle w:val="csa16174ba1"/>
                <w:lang w:val="uk-UA"/>
              </w:rPr>
              <w:t>к.м.н. Шпарик Я.В.</w:t>
            </w:r>
          </w:p>
          <w:p w:rsidR="009F34C6" w:rsidRPr="0054349C" w:rsidRDefault="009F34C6" w:rsidP="0054349C">
            <w:pPr>
              <w:pStyle w:val="cs80d9435b"/>
              <w:rPr>
                <w:rFonts w:ascii="Arial" w:hAnsi="Arial" w:cs="Arial"/>
                <w:sz w:val="20"/>
                <w:lang w:val="uk-UA"/>
              </w:rPr>
            </w:pPr>
            <w:r w:rsidRPr="0054349C">
              <w:rPr>
                <w:rStyle w:val="csa16174ba1"/>
                <w:b/>
                <w:lang w:val="uk-UA"/>
              </w:rPr>
              <w:t xml:space="preserve">Львівський </w:t>
            </w:r>
            <w:r w:rsidRPr="0054349C">
              <w:rPr>
                <w:rStyle w:val="cs5e98e9301"/>
                <w:lang w:val="uk-UA"/>
              </w:rPr>
              <w:t>державний</w:t>
            </w:r>
            <w:r w:rsidRPr="0054349C">
              <w:rPr>
                <w:rStyle w:val="csa16174ba1"/>
                <w:b/>
                <w:lang w:val="uk-UA"/>
              </w:rPr>
              <w:t xml:space="preserve"> онкологічний регіональний лікувально-діагностичний центр, відділ хіміотерапії</w:t>
            </w:r>
            <w:r w:rsidRPr="0054349C">
              <w:rPr>
                <w:rStyle w:val="csa16174ba1"/>
                <w:lang w:val="uk-UA"/>
              </w:rPr>
              <w:t>, м.Львів</w:t>
            </w:r>
          </w:p>
        </w:tc>
        <w:tc>
          <w:tcPr>
            <w:tcW w:w="4795" w:type="dxa"/>
            <w:tcMar>
              <w:top w:w="0" w:type="dxa"/>
              <w:left w:w="108" w:type="dxa"/>
              <w:bottom w:w="0" w:type="dxa"/>
              <w:right w:w="108" w:type="dxa"/>
            </w:tcMar>
            <w:hideMark/>
          </w:tcPr>
          <w:p w:rsidR="009F34C6" w:rsidRPr="0054349C" w:rsidRDefault="009F34C6" w:rsidP="0054349C">
            <w:pPr>
              <w:pStyle w:val="cs80d9435b"/>
              <w:rPr>
                <w:rFonts w:ascii="Arial" w:hAnsi="Arial" w:cs="Arial"/>
                <w:sz w:val="20"/>
                <w:lang w:val="uk-UA"/>
              </w:rPr>
            </w:pPr>
            <w:r w:rsidRPr="0054349C">
              <w:rPr>
                <w:rStyle w:val="csa16174ba1"/>
                <w:lang w:val="uk-UA"/>
              </w:rPr>
              <w:t>к.м.н. Шпарик Я.В.</w:t>
            </w:r>
          </w:p>
          <w:p w:rsidR="009F34C6" w:rsidRPr="0054349C" w:rsidRDefault="009F34C6" w:rsidP="0054349C">
            <w:pPr>
              <w:pStyle w:val="cs80d9435b"/>
              <w:rPr>
                <w:rFonts w:ascii="Arial" w:hAnsi="Arial" w:cs="Arial"/>
                <w:sz w:val="20"/>
                <w:lang w:val="uk-UA"/>
              </w:rPr>
            </w:pPr>
            <w:r w:rsidRPr="0054349C">
              <w:rPr>
                <w:rStyle w:val="cs5e98e9301"/>
                <w:lang w:val="uk-UA"/>
              </w:rPr>
              <w:t>Комунальне некомерційне підприємство Львівської обласної ради</w:t>
            </w:r>
            <w:r w:rsidRPr="0054349C">
              <w:rPr>
                <w:rStyle w:val="csa16174ba1"/>
                <w:lang w:val="uk-UA"/>
              </w:rPr>
              <w:t xml:space="preserve"> </w:t>
            </w:r>
            <w:r w:rsidRPr="0054349C">
              <w:rPr>
                <w:rStyle w:val="csa16174ba1"/>
                <w:b/>
                <w:lang w:val="uk-UA"/>
              </w:rPr>
              <w:t>«Львівський онкологічний регіональний лікувально-діагностичний центр»,</w:t>
            </w:r>
            <w:r w:rsidRPr="0054349C">
              <w:rPr>
                <w:rStyle w:val="csa16174ba1"/>
                <w:lang w:val="uk-UA"/>
              </w:rPr>
              <w:t xml:space="preserve"> </w:t>
            </w:r>
            <w:r w:rsidRPr="0054349C">
              <w:rPr>
                <w:rStyle w:val="cs5e98e9301"/>
                <w:lang w:val="uk-UA"/>
              </w:rPr>
              <w:t>відділення</w:t>
            </w:r>
            <w:r w:rsidRPr="0054349C">
              <w:rPr>
                <w:rStyle w:val="csa16174ba1"/>
                <w:lang w:val="uk-UA"/>
              </w:rPr>
              <w:t xml:space="preserve"> </w:t>
            </w:r>
            <w:r w:rsidRPr="0054349C">
              <w:rPr>
                <w:rStyle w:val="csa16174ba1"/>
                <w:b/>
                <w:lang w:val="uk-UA"/>
              </w:rPr>
              <w:t>хіміотерапії</w:t>
            </w:r>
            <w:r w:rsidRPr="0054349C">
              <w:rPr>
                <w:rStyle w:val="csa16174ba1"/>
                <w:lang w:val="uk-UA"/>
              </w:rPr>
              <w:t>, м. Львів</w:t>
            </w:r>
          </w:p>
        </w:tc>
      </w:tr>
    </w:tbl>
    <w:p w:rsidR="001E104E" w:rsidRPr="0054349C" w:rsidRDefault="001E104E" w:rsidP="0054349C">
      <w:pPr>
        <w:jc w:val="both"/>
        <w:rPr>
          <w:rFonts w:ascii="Arial" w:hAnsi="Arial" w:cs="Arial"/>
          <w:sz w:val="20"/>
          <w:szCs w:val="20"/>
          <w:lang w:val="uk-UA"/>
        </w:rPr>
      </w:pPr>
    </w:p>
    <w:p w:rsidR="009F34C6" w:rsidRPr="0054349C" w:rsidRDefault="009F34C6" w:rsidP="0054349C">
      <w:pPr>
        <w:jc w:val="both"/>
        <w:rPr>
          <w:rStyle w:val="cs80d9435b2"/>
          <w:rFonts w:ascii="Arial" w:hAnsi="Arial" w:cs="Arial"/>
          <w:b/>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2"/>
          <w:rFonts w:ascii="Arial" w:hAnsi="Arial" w:cs="Arial"/>
          <w:b/>
          <w:sz w:val="20"/>
          <w:szCs w:val="20"/>
          <w:lang w:val="uk-UA"/>
        </w:rPr>
        <w:t xml:space="preserve">2. </w:t>
      </w:r>
      <w:r w:rsidR="00BE6BD7" w:rsidRPr="0054349C">
        <w:rPr>
          <w:rStyle w:val="cs5e98e9302"/>
          <w:lang w:val="uk-UA"/>
        </w:rPr>
        <w:t>Скорочене Досьє досліджуваного лікарського засобу(SIMPD): Сомапацитан Sogroya® (Сомапацитан ) 5 мг/1,5 мл,10 мг/1,5 мл, 15 мг/1,5 мл розчин для ін'єкцій, в попередньо заповненій шприц-ручці версія 1.0 від 30 серпня 2023 року, англійською мовою</w:t>
      </w:r>
      <w:r w:rsidR="00B41601" w:rsidRPr="0054349C">
        <w:rPr>
          <w:rStyle w:val="csa16174ba2"/>
          <w:lang w:val="uk-UA"/>
        </w:rPr>
        <w:t xml:space="preserve"> до протоколів клінічн</w:t>
      </w:r>
      <w:r w:rsidR="00BE6BD7" w:rsidRPr="0054349C">
        <w:rPr>
          <w:rStyle w:val="csa16174ba2"/>
          <w:lang w:val="uk-UA"/>
        </w:rPr>
        <w:t xml:space="preserve">их досліджень: «Рандомізоване,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00BE6BD7" w:rsidRPr="0054349C">
        <w:rPr>
          <w:rStyle w:val="cs5e98e9302"/>
          <w:lang w:val="uk-UA"/>
        </w:rPr>
        <w:t>NNC0195-0092</w:t>
      </w:r>
      <w:r w:rsidR="00BE6BD7" w:rsidRPr="0054349C">
        <w:rPr>
          <w:rStyle w:val="csa16174ba2"/>
          <w:lang w:val="uk-UA"/>
        </w:rPr>
        <w:t xml:space="preserve">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код дослідження </w:t>
      </w:r>
      <w:r w:rsidR="00BE6BD7" w:rsidRPr="0054349C">
        <w:rPr>
          <w:rStyle w:val="cs5e98e9302"/>
          <w:lang w:val="uk-UA"/>
        </w:rPr>
        <w:t>NN8640-4172</w:t>
      </w:r>
      <w:r w:rsidR="00BE6BD7" w:rsidRPr="0054349C">
        <w:rPr>
          <w:rStyle w:val="csa16174ba2"/>
          <w:lang w:val="uk-UA"/>
        </w:rPr>
        <w:t xml:space="preserve">, остаточна версія 7.0 від 12 вересня 2022 р.; «Дослідження ефективності та безпеки застосування препарату </w:t>
      </w:r>
      <w:r w:rsidR="00BE6BD7" w:rsidRPr="0054349C">
        <w:rPr>
          <w:rStyle w:val="cs5e98e9302"/>
          <w:lang w:val="uk-UA"/>
        </w:rPr>
        <w:t>Сомапацитан (Somapacitan)</w:t>
      </w:r>
      <w:r w:rsidR="00BE6BD7" w:rsidRPr="0054349C">
        <w:rPr>
          <w:rStyle w:val="csa16174ba2"/>
          <w:lang w:val="uk-UA"/>
        </w:rPr>
        <w:t xml:space="preserve"> один раз на тиждень у порівнянні з щоденним застосуванням препарату Нордітропін® (Norditropin®) у дітей з дефіцитом гормону росту», код дослідження </w:t>
      </w:r>
      <w:r w:rsidR="00BE6BD7" w:rsidRPr="0054349C">
        <w:rPr>
          <w:rStyle w:val="cs5e98e9302"/>
          <w:lang w:val="uk-UA"/>
        </w:rPr>
        <w:t>NN8640-4263</w:t>
      </w:r>
      <w:r w:rsidR="00BE6BD7" w:rsidRPr="0054349C">
        <w:rPr>
          <w:rStyle w:val="csa16174ba2"/>
          <w:lang w:val="uk-UA"/>
        </w:rPr>
        <w:t xml:space="preserve">, фінальна версія 9.0 від 19 грудня 2022 р.; «Дослідження з підбору дози для оцінки ефективності і безпеки застосування препарату </w:t>
      </w:r>
      <w:r w:rsidR="00BE6BD7" w:rsidRPr="0054349C">
        <w:rPr>
          <w:rStyle w:val="cs5e98e9302"/>
          <w:lang w:val="uk-UA"/>
        </w:rPr>
        <w:t>Сомапацитан (somapacitan)</w:t>
      </w:r>
      <w:r w:rsidR="00BE6BD7" w:rsidRPr="0054349C">
        <w:rPr>
          <w:rStyle w:val="csa16174ba2"/>
          <w:lang w:val="uk-UA"/>
        </w:rPr>
        <w:t xml:space="preserve">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BE6BD7" w:rsidRPr="0054349C">
        <w:rPr>
          <w:rStyle w:val="cs5e98e9302"/>
          <w:lang w:val="uk-UA"/>
        </w:rPr>
        <w:t>NN8640-4245</w:t>
      </w:r>
      <w:r w:rsidR="00BE6BD7" w:rsidRPr="0054349C">
        <w:rPr>
          <w:rStyle w:val="csa16174ba2"/>
          <w:lang w:val="uk-UA"/>
        </w:rPr>
        <w:t>, фінальна версія 12.0 від 21 березня 2024 р.; спонсор - Novo Nordisk A/S, Denmark</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 «Ново Нордіск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3"/>
          <w:rFonts w:ascii="Arial" w:hAnsi="Arial" w:cs="Arial"/>
          <w:b/>
          <w:sz w:val="20"/>
          <w:szCs w:val="20"/>
          <w:lang w:val="uk-UA"/>
        </w:rPr>
        <w:t xml:space="preserve">3. </w:t>
      </w:r>
      <w:r w:rsidR="00BE6BD7" w:rsidRPr="0054349C">
        <w:rPr>
          <w:rStyle w:val="cs5e98e9303"/>
          <w:lang w:val="uk-UA"/>
        </w:rPr>
        <w:t>Оновлена секція Досьє досліджуваного лікарського засобу MK-7339 P DRUG PRODUCT, версія 08D6LW, від 20 серпня 2023 року, англійською мовою; Оновлена секція Досьє досліджуваного лікарського засобу MK-7339 P DRUG PRODUCT, версія 08JTPR, від 18 березня 2024 року, англійською мовою</w:t>
      </w:r>
      <w:r w:rsidR="00BE6BD7" w:rsidRPr="0054349C">
        <w:rPr>
          <w:rStyle w:val="csa16174ba3"/>
          <w:lang w:val="uk-UA"/>
        </w:rPr>
        <w:t xml:space="preserve"> до протоколу клінічного дослідження «Рандомізоване, подвійне сліпе, плацебо-контрольоване дослідження III фази для оцінки </w:t>
      </w:r>
      <w:r w:rsidR="00BE6BD7" w:rsidRPr="0054349C">
        <w:rPr>
          <w:rStyle w:val="cs5e98e9303"/>
          <w:lang w:val="uk-UA"/>
        </w:rPr>
        <w:t>пембролізумабу (MK-3475)</w:t>
      </w:r>
      <w:r w:rsidR="00BE6BD7" w:rsidRPr="0054349C">
        <w:rPr>
          <w:rStyle w:val="csa16174ba3"/>
          <w:lang w:val="uk-UA"/>
        </w:rPr>
        <w:t xml:space="preserve">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BE6BD7" w:rsidRPr="0054349C">
        <w:rPr>
          <w:rStyle w:val="cs5e98e9303"/>
          <w:lang w:val="uk-UA"/>
        </w:rPr>
        <w:t>MK-7339-013</w:t>
      </w:r>
      <w:r w:rsidR="00BE6BD7" w:rsidRPr="0054349C">
        <w:rPr>
          <w:rStyle w:val="csa16174ba3"/>
          <w:lang w:val="uk-UA"/>
        </w:rPr>
        <w:t>, з інкорпорованою поправкою 05 від 04 квітня 2024 року; спонсор - ТОВ Мерк Шарп енд Доум, США (Merck Sh</w:t>
      </w:r>
      <w:bookmarkStart w:id="0" w:name="_GoBack"/>
      <w:bookmarkEnd w:id="0"/>
      <w:r w:rsidR="00BE6BD7" w:rsidRPr="0054349C">
        <w:rPr>
          <w:rStyle w:val="csa16174ba3"/>
          <w:lang w:val="uk-UA"/>
        </w:rPr>
        <w:t>arp &amp; Dohme LLC, USA)</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Товариство з обмеженою відповідальністю «МСД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4"/>
          <w:rFonts w:ascii="Arial" w:hAnsi="Arial" w:cs="Arial"/>
          <w:b/>
          <w:sz w:val="20"/>
          <w:szCs w:val="20"/>
          <w:lang w:val="uk-UA"/>
        </w:rPr>
        <w:t xml:space="preserve">4. </w:t>
      </w:r>
      <w:r w:rsidR="00BE6BD7" w:rsidRPr="0054349C">
        <w:rPr>
          <w:rStyle w:val="cs5e98e9304"/>
          <w:lang w:val="uk-UA"/>
        </w:rPr>
        <w:t>Оновлене Досьє досліджуваного лікарського засобу JNJ-17000139 (Гемцітабін (Gemcitabine) 225 мг, система інтравезикальної доставки (TA</w:t>
      </w:r>
      <w:r w:rsidR="0054349C">
        <w:rPr>
          <w:rStyle w:val="cs5e98e9304"/>
          <w:lang w:val="uk-UA"/>
        </w:rPr>
        <w:t xml:space="preserve">R-200)), версія 13.0 від квітня </w:t>
      </w:r>
      <w:r w:rsidR="00BE6BD7" w:rsidRPr="0054349C">
        <w:rPr>
          <w:rStyle w:val="cs5e98e9304"/>
          <w:lang w:val="uk-UA"/>
        </w:rPr>
        <w:t xml:space="preserve">2024 року англійською мовою; Брошура дослідника досліджуваного лікарського засобу JNJ-17000139 </w:t>
      </w:r>
      <w:r w:rsidR="00BE6BD7" w:rsidRPr="0054349C">
        <w:rPr>
          <w:rStyle w:val="cs5e98e9304"/>
          <w:lang w:val="uk-UA"/>
        </w:rPr>
        <w:lastRenderedPageBreak/>
        <w:t xml:space="preserve">(Гемцітабін (Gemcitabine) 225 мг, система інтравезикальної доставки (TAR-200)), версія 9.0 від </w:t>
      </w:r>
      <w:r w:rsidR="0054349C" w:rsidRPr="0054349C">
        <w:rPr>
          <w:rStyle w:val="cs5e98e9304"/>
          <w:lang w:val="uk-UA"/>
        </w:rPr>
        <w:t xml:space="preserve">    </w:t>
      </w:r>
      <w:r w:rsidR="00BE6BD7" w:rsidRPr="0054349C">
        <w:rPr>
          <w:rStyle w:val="cs5e98e9304"/>
          <w:lang w:val="uk-UA"/>
        </w:rPr>
        <w:t>15 квітня 2024 року англійською мовою; Інформаційний листок пацієнта та форма інформованої згоди для України, версія 6.0 від 15 травня 2024 року українською та російською мовами</w:t>
      </w:r>
      <w:r w:rsidR="00BE6BD7" w:rsidRPr="0054349C">
        <w:rPr>
          <w:rStyle w:val="csa16174ba4"/>
          <w:lang w:val="uk-UA"/>
        </w:rPr>
        <w:t xml:space="preserve"> до протоколу клінічного дослідження «Багатоцентрове рандомізоване дослідження фази 3 для оцінки ефективності препарату </w:t>
      </w:r>
      <w:r w:rsidR="00BE6BD7" w:rsidRPr="0054349C">
        <w:rPr>
          <w:rStyle w:val="cs5e98e9304"/>
          <w:lang w:val="uk-UA"/>
        </w:rPr>
        <w:t>TAR-200</w:t>
      </w:r>
      <w:r w:rsidR="00BE6BD7" w:rsidRPr="0054349C">
        <w:rPr>
          <w:rStyle w:val="csa16174ba4"/>
          <w:lang w:val="uk-UA"/>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BE6BD7" w:rsidRPr="0054349C">
        <w:rPr>
          <w:rStyle w:val="cs5e98e9304"/>
          <w:lang w:val="uk-UA"/>
        </w:rPr>
        <w:t>17000139BLC3001</w:t>
      </w:r>
      <w:r w:rsidR="00BE6BD7" w:rsidRPr="0054349C">
        <w:rPr>
          <w:rStyle w:val="csa16174ba4"/>
          <w:lang w:val="uk-UA"/>
        </w:rPr>
        <w:t xml:space="preserve">, з поправкою 4 від </w:t>
      </w:r>
      <w:r w:rsidR="00CE5B2A" w:rsidRPr="0054349C">
        <w:rPr>
          <w:rStyle w:val="csa16174ba4"/>
          <w:lang w:val="uk-UA"/>
        </w:rPr>
        <w:t xml:space="preserve">                       </w:t>
      </w:r>
      <w:r w:rsidR="00BE6BD7" w:rsidRPr="0054349C">
        <w:rPr>
          <w:rStyle w:val="csa16174ba4"/>
          <w:lang w:val="uk-UA"/>
        </w:rPr>
        <w:t>05 жовтня 2023 року; спонсор - Janssen Pharmaceutica NV («Янссен Фармацевтика НВ»), Бельгія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ТОВАРИСТВО З ОБМЕЖЕНОЮ ВІДПОВІДАЛЬНІСТЮ «ФАРМАСЬЮТІКАЛ РІСЕРЧ АССОУШИЕЙТС УКРАЇНА» (ТОВ «ФРА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5"/>
          <w:rFonts w:ascii="Arial" w:hAnsi="Arial" w:cs="Arial"/>
          <w:b/>
          <w:sz w:val="20"/>
          <w:szCs w:val="20"/>
          <w:lang w:val="uk-UA"/>
        </w:rPr>
        <w:t xml:space="preserve">5. </w:t>
      </w:r>
      <w:r w:rsidR="00BE6BD7" w:rsidRPr="0054349C">
        <w:rPr>
          <w:rStyle w:val="cs5e98e9305"/>
          <w:lang w:val="uk-UA"/>
        </w:rPr>
        <w:t xml:space="preserve">Оновлена Брошура дослідника для Гіредестранту (RO7197597, GDC-9545), версія 8 від травня 2024 р.; Подовження терміну придатності досліджуваного лікарського засобу Летрозол, тверді капсули по 2,5 мг до 36 місяців; Оновлені розділи S.2.1 «Виробник(и)» (S.2.1 - RIM-REGQUAL-102310 v4.0), S.3.1 «Доказ структури та інші характеристики» (S.3.1 - RIM-REGQUAL-145148 v1.0), S.3.2 «Домішки» (S.3.2 - RIM-REGQUAL-121937 v1.0), S.6 «Система контейнер-закупорювальний елемент» (S.6 - RIM-REGQUAL-118553 v1.0), S.7.1 «Резюме щодо стабільності та висновки», (S.7.1 - RIM-REGQUAL-121708 v2.0), S.7.3 «Дані про стабільність» (S.7.3 - RIM-REGQUAL-122094 v2.0), P.3.1 «Виробник(и)» (P.3.1 - RIM-REGQUAL-077296 v3.0) досьє досліджуваного лікарського засобу Гіредестрант, тверді капсули по 30 мг; Оновлені розділи P.3.1 «Виробник(и)» (P.3.1 - RIM-REGQUAL-077350 v3.0), P.8.1 «Резюме щодо стабільності та висновки» (P.8.1 - RIM-REGQUAL-091188 v5.0), P.8.3 «Дані про стабільність» (P.8.3 - RIM-REGQUAL-093408 v5.0) досьє досліджуваного лікарського засобу Летрозол, тверді капсули по 2,5 мг; Оновлений розділ P.3.1 «Виробник(и)» (P.3.1 - RIM-REGQUAL-077349 v3.0) досьє досліджуваного лікарського засобу Плацебо до Летрозолу тверді капсули; Оновлені розділи P.3.1 «Виробник(и)» (P.3.1 - RIM-REGQUAL-077351 v5.0), P.5.1 «Специфікації» (P.5.1 - RIM-REGQUAL-146150 v1.0) досьє досліджуваного лікарського засобу Плацебо до Гіредестранту, тверді капсули; Оновлена коротка характеристика лікарського засобу палбоцикліб (Ibrance), тверді капсули по 75 мг, </w:t>
      </w:r>
      <w:r w:rsidR="00B41601" w:rsidRPr="0054349C">
        <w:rPr>
          <w:rStyle w:val="cs5e98e9305"/>
          <w:lang w:val="uk-UA"/>
        </w:rPr>
        <w:t xml:space="preserve">                   </w:t>
      </w:r>
      <w:r w:rsidR="00BE6BD7" w:rsidRPr="0054349C">
        <w:rPr>
          <w:rStyle w:val="cs5e98e9305"/>
          <w:lang w:val="uk-UA"/>
        </w:rPr>
        <w:t xml:space="preserve">100 мг або 125 мг та таблетки, вкриті плівковою оболонкою по 75 мг, 100 мг або 125 мг від </w:t>
      </w:r>
      <w:r w:rsidR="00B41601" w:rsidRPr="0054349C">
        <w:rPr>
          <w:rStyle w:val="cs5e98e9305"/>
          <w:lang w:val="uk-UA"/>
        </w:rPr>
        <w:t xml:space="preserve">                        </w:t>
      </w:r>
      <w:r w:rsidR="00BE6BD7" w:rsidRPr="0054349C">
        <w:rPr>
          <w:rStyle w:val="cs5e98e9305"/>
          <w:lang w:val="uk-UA"/>
        </w:rPr>
        <w:t xml:space="preserve">26 травня 2023 р. </w:t>
      </w:r>
      <w:r w:rsidR="00BE6BD7" w:rsidRPr="0054349C">
        <w:rPr>
          <w:rStyle w:val="csa16174ba5"/>
          <w:lang w:val="uk-UA"/>
        </w:rPr>
        <w:t xml:space="preserve">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BE6BD7" w:rsidRPr="0054349C">
        <w:rPr>
          <w:rStyle w:val="cs5e98e9305"/>
          <w:lang w:val="uk-UA"/>
        </w:rPr>
        <w:t>GDC-9545</w:t>
      </w:r>
      <w:r w:rsidR="00BE6BD7" w:rsidRPr="0054349C">
        <w:rPr>
          <w:rStyle w:val="csa16174ba5"/>
          <w:lang w:val="uk-UA"/>
        </w:rPr>
        <w:t xml:space="preserve">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код дослідження </w:t>
      </w:r>
      <w:r w:rsidR="00BE6BD7" w:rsidRPr="0054349C">
        <w:rPr>
          <w:rStyle w:val="cs5e98e9305"/>
          <w:lang w:val="uk-UA"/>
        </w:rPr>
        <w:t>BO41843</w:t>
      </w:r>
      <w:r w:rsidR="00BE6BD7" w:rsidRPr="0054349C">
        <w:rPr>
          <w:rStyle w:val="csa16174ba5"/>
          <w:lang w:val="uk-UA"/>
        </w:rPr>
        <w:t>, версія 3 від 20 грудня 2022 р.; спонсор - Ф.Хоффманн-Ля Рош Лтд, Швейцарія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Товариство з обмеженою відповідальністю «Рош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6"/>
          <w:rFonts w:ascii="Arial" w:hAnsi="Arial" w:cs="Arial"/>
          <w:b/>
          <w:sz w:val="20"/>
          <w:szCs w:val="20"/>
          <w:lang w:val="uk-UA"/>
        </w:rPr>
        <w:t xml:space="preserve">6. </w:t>
      </w:r>
      <w:r w:rsidR="00BE6BD7" w:rsidRPr="0054349C">
        <w:rPr>
          <w:rStyle w:val="cs5e98e9306"/>
          <w:lang w:val="uk-UA"/>
        </w:rPr>
        <w:t>Брошура дослідника Ердафітініб (JNJ-42756493), видання 14 від 23.05.2024 р.; Продовження терміну проведення клінічного випробування до 01.11.2026 в Україні та світі</w:t>
      </w:r>
      <w:r w:rsidR="00BE6BD7" w:rsidRPr="0054349C">
        <w:rPr>
          <w:rStyle w:val="csa16174ba6"/>
          <w:lang w:val="uk-UA"/>
        </w:rPr>
        <w:t xml:space="preserve"> до </w:t>
      </w:r>
      <w:r w:rsidR="00B41601" w:rsidRPr="0054349C">
        <w:rPr>
          <w:rStyle w:val="csa16174ba6"/>
          <w:lang w:val="uk-UA"/>
        </w:rPr>
        <w:t>протоколу клінічного випробування</w:t>
      </w:r>
      <w:r w:rsidR="00BE6BD7" w:rsidRPr="0054349C">
        <w:rPr>
          <w:rStyle w:val="csa16174ba6"/>
          <w:lang w:val="uk-UA"/>
        </w:rPr>
        <w:t xml:space="preserve"> «Дослідження 3 фази для оцінки </w:t>
      </w:r>
      <w:r w:rsidR="00BE6BD7" w:rsidRPr="0054349C">
        <w:rPr>
          <w:rStyle w:val="cs5e98e9306"/>
          <w:lang w:val="uk-UA"/>
        </w:rPr>
        <w:t>ердафітінібу</w:t>
      </w:r>
      <w:r w:rsidR="00BE6BD7" w:rsidRPr="0054349C">
        <w:rPr>
          <w:rStyle w:val="csa16174ba6"/>
          <w:lang w:val="uk-UA"/>
        </w:rPr>
        <w:t xml:space="preserve"> у порівнянні з вінфлуніном або доцетакселом чи пембролізумабом у пацієнтів з поширеною уротеліальною карциномою та окремими генетичними абераціями рецепторів фактору росту фібробластів», код дослідження </w:t>
      </w:r>
      <w:r w:rsidR="00BE6BD7" w:rsidRPr="0054349C">
        <w:rPr>
          <w:rStyle w:val="cs5e98e9306"/>
          <w:lang w:val="uk-UA"/>
        </w:rPr>
        <w:t>42756493BLC3001</w:t>
      </w:r>
      <w:r w:rsidR="00BE6BD7" w:rsidRPr="0054349C">
        <w:rPr>
          <w:rStyle w:val="csa16174ba6"/>
          <w:lang w:val="uk-UA"/>
        </w:rPr>
        <w:t>, з поправкою 6 від 20.01.2023 р.; спонсор - Янссен Фармацевтика НВ, Бельгія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«ЯНССЕН ФАРМАЦЕВТИКА НВ», Бельгія</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7"/>
          <w:rFonts w:ascii="Arial" w:hAnsi="Arial" w:cs="Arial"/>
          <w:b/>
          <w:sz w:val="20"/>
          <w:szCs w:val="20"/>
          <w:lang w:val="uk-UA"/>
        </w:rPr>
        <w:t xml:space="preserve">7. </w:t>
      </w:r>
      <w:r w:rsidR="00BE6BD7" w:rsidRPr="0054349C">
        <w:rPr>
          <w:rStyle w:val="cs5e98e9307"/>
          <w:lang w:val="uk-UA"/>
        </w:rPr>
        <w:t>Додаток 1, версія 1.0 від 29 травня 2024 року, до Загальної брошури дослідника XEN1101, версія 7.0 від 20 грудня 2023 року, англійською мовою</w:t>
      </w:r>
      <w:r w:rsidR="00BE6BD7" w:rsidRPr="0054349C">
        <w:rPr>
          <w:rStyle w:val="csa16174ba7"/>
          <w:lang w:val="uk-UA"/>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BE6BD7" w:rsidRPr="0054349C">
        <w:rPr>
          <w:rStyle w:val="cs5e98e9307"/>
          <w:lang w:val="uk-UA"/>
        </w:rPr>
        <w:t>XEN1101</w:t>
      </w:r>
      <w:r w:rsidR="00BE6BD7" w:rsidRPr="0054349C">
        <w:rPr>
          <w:rStyle w:val="csa16174ba7"/>
          <w:lang w:val="uk-UA"/>
        </w:rPr>
        <w:t xml:space="preserve"> в якості допоміжної терапії при епілепсії з фокальним дебютом, з відкритою подовженою фазою», код дослідження </w:t>
      </w:r>
      <w:r w:rsidR="00BE6BD7" w:rsidRPr="0054349C">
        <w:rPr>
          <w:rStyle w:val="cs5e98e9307"/>
          <w:lang w:val="uk-UA"/>
        </w:rPr>
        <w:t>XPF-008-201</w:t>
      </w:r>
      <w:r w:rsidR="00BE6BD7" w:rsidRPr="0054349C">
        <w:rPr>
          <w:rStyle w:val="csa16174ba7"/>
          <w:lang w:val="uk-UA"/>
        </w:rPr>
        <w:t xml:space="preserve">, версія 7.0 від </w:t>
      </w:r>
      <w:r w:rsidR="00B41601" w:rsidRPr="0054349C">
        <w:rPr>
          <w:rStyle w:val="csa16174ba7"/>
          <w:lang w:val="uk-UA"/>
        </w:rPr>
        <w:t xml:space="preserve">           </w:t>
      </w:r>
      <w:r w:rsidR="00BE6BD7" w:rsidRPr="0054349C">
        <w:rPr>
          <w:rStyle w:val="csa16174ba7"/>
          <w:lang w:val="uk-UA"/>
        </w:rPr>
        <w:t>23 січня 2024 року; спонсор - Ксенон Фармас'ютікалз Інк., Канада/ Xenon Pharmaceuticals Inc., Canada</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 «АРЕНСІЯ ЕКСПЛОРАТОРІ МЕДІСІН»,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8"/>
          <w:rFonts w:ascii="Arial" w:hAnsi="Arial" w:cs="Arial"/>
          <w:b/>
          <w:sz w:val="20"/>
          <w:szCs w:val="20"/>
          <w:lang w:val="uk-UA"/>
        </w:rPr>
        <w:t xml:space="preserve">8. </w:t>
      </w:r>
      <w:r w:rsidR="00BE6BD7" w:rsidRPr="0054349C">
        <w:rPr>
          <w:rStyle w:val="cs5e98e9308"/>
          <w:lang w:val="uk-UA"/>
        </w:rPr>
        <w:t>Оновлені розділи досьє досліджуваних лікарських засобів Фенебрутиніб ( S.1.1, S.1.3, S.2.1, S.2.2, S.2.3, S.2.4, S.2.6, S.3.2, S.4.1, S.4.3, S.4.4, S.4.5, S.7.1, S.7.3, P.1, P.2, P.3.1, P.5.4, P.7, P.8.1., P.8.3, A.2) та плацебо до Фенебрутинібу (P.3.1, P.7, P.8.1, P.8.3); Терифлуномід (P.3.1, P.8.1, P.8.3, A.2) та плацебо до Терифлуноміду (P.3.1, A.2) версія від 04 квітня 2024 р.</w:t>
      </w:r>
      <w:r w:rsidR="00BE6BD7" w:rsidRPr="0054349C">
        <w:rPr>
          <w:rStyle w:val="csa16174ba8"/>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w:t>
      </w:r>
      <w:r w:rsidR="00BE6BD7" w:rsidRPr="0054349C">
        <w:rPr>
          <w:rStyle w:val="csa16174ba8"/>
          <w:lang w:val="uk-UA"/>
        </w:rPr>
        <w:lastRenderedPageBreak/>
        <w:t xml:space="preserve">БЕЗПЕЧНОСТІ </w:t>
      </w:r>
      <w:r w:rsidR="00BE6BD7" w:rsidRPr="0054349C">
        <w:rPr>
          <w:rStyle w:val="cs5e98e9308"/>
          <w:lang w:val="uk-UA"/>
        </w:rPr>
        <w:t>ФЕНЕБРУТИНІБУ</w:t>
      </w:r>
      <w:r w:rsidR="00BE6BD7" w:rsidRPr="0054349C">
        <w:rPr>
          <w:rStyle w:val="csa16174ba8"/>
          <w:lang w:val="uk-UA"/>
        </w:rPr>
        <w:t xml:space="preserve"> ПОРІВНЯНО З ТЕРИФЛУНОМІДОМ У ДОРОСЛИХ ПАЦІЄНТІВ З РЕЦИДИВУЮЧИМ РОЗСІЯНИМ СКЛЕРОЗОМ», код дослідження </w:t>
      </w:r>
      <w:r w:rsidR="00BE6BD7" w:rsidRPr="0054349C">
        <w:rPr>
          <w:rStyle w:val="cs5e98e9308"/>
          <w:lang w:val="uk-UA"/>
        </w:rPr>
        <w:t>GN41851</w:t>
      </w:r>
      <w:r w:rsidR="00BE6BD7" w:rsidRPr="0054349C">
        <w:rPr>
          <w:rStyle w:val="csa16174ba8"/>
          <w:lang w:val="uk-UA"/>
        </w:rPr>
        <w:t xml:space="preserve">, версія 7 від 15 лютого </w:t>
      </w:r>
      <w:r w:rsidR="0054349C" w:rsidRPr="0054349C">
        <w:rPr>
          <w:rStyle w:val="csa16174ba8"/>
          <w:lang w:val="uk-UA"/>
        </w:rPr>
        <w:t xml:space="preserve">     </w:t>
      </w:r>
      <w:r w:rsidR="00BE6BD7" w:rsidRPr="0054349C">
        <w:rPr>
          <w:rStyle w:val="csa16174ba8"/>
          <w:lang w:val="uk-UA"/>
        </w:rPr>
        <w:t>2024 р.; спонсор - Ф.Хоффманн-Ля Рош Лтд, Швейцарія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Товариство з обмеженою відповідальністю «Рош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9"/>
          <w:rFonts w:ascii="Arial" w:hAnsi="Arial" w:cs="Arial"/>
          <w:b/>
          <w:sz w:val="20"/>
          <w:szCs w:val="20"/>
          <w:lang w:val="uk-UA"/>
        </w:rPr>
        <w:t xml:space="preserve">9. </w:t>
      </w:r>
      <w:r w:rsidR="00BE6BD7" w:rsidRPr="0054349C">
        <w:rPr>
          <w:rStyle w:val="cs5e98e9309"/>
          <w:lang w:val="uk-UA"/>
        </w:rPr>
        <w:t>Оновлена Брошура дослідника по препарату AZD9291 (Osimertinib, TAGRISSO™), версія номер 18.0 від 29 січня 2024 року; Інформація про дослідження та форма згоди для дорослих, локальна версія номер 8.1 для України українською мовою, дата версії 07 червня 2024 року, на основі Мастер версії номер 10 від 12 травня 2023 року</w:t>
      </w:r>
      <w:r w:rsidR="00BE6BD7" w:rsidRPr="0054349C">
        <w:rPr>
          <w:rStyle w:val="csa16174ba9"/>
          <w:lang w:val="uk-UA"/>
        </w:rPr>
        <w:t xml:space="preserve"> до протоколу клінічного дослідження «Багатоцентрове рандомізоване подвійне сліпе плацебо контрольоване дослідження 3 фази для оцінки ефективності та безпечності препарату </w:t>
      </w:r>
      <w:r w:rsidR="00BE6BD7" w:rsidRPr="0054349C">
        <w:rPr>
          <w:rStyle w:val="cs5e98e9309"/>
          <w:lang w:val="uk-UA"/>
        </w:rPr>
        <w:t>AZD9291</w:t>
      </w:r>
      <w:r w:rsidR="00BE6BD7" w:rsidRPr="0054349C">
        <w:rPr>
          <w:rStyle w:val="csa16174ba9"/>
          <w:lang w:val="uk-UA"/>
        </w:rPr>
        <w:t xml:space="preserve"> у порівнянні з плацебо у пацієнтів з недрібноклітинним раком легень IБ-IIIA стадії та мутацією рецептора епідермального фактора росту при застосуванні після повної резекції пухлини незалежно від проведення ад’ювантної хіміотерапії (ADAURA)», код дослідження </w:t>
      </w:r>
      <w:r w:rsidR="00BE6BD7" w:rsidRPr="0054349C">
        <w:rPr>
          <w:rStyle w:val="cs5e98e9309"/>
          <w:lang w:val="uk-UA"/>
        </w:rPr>
        <w:t>D5164С00001</w:t>
      </w:r>
      <w:r w:rsidR="00BE6BD7" w:rsidRPr="0054349C">
        <w:rPr>
          <w:rStyle w:val="csa16174ba9"/>
          <w:lang w:val="uk-UA"/>
        </w:rPr>
        <w:t>, версія номер 6.0 від 09 серпня 2023 року; спонсор - «АстраЗенека АБ», Швеція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 «АСТРАЗЕНЕКА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10"/>
          <w:rFonts w:ascii="Arial" w:hAnsi="Arial" w:cs="Arial"/>
          <w:b/>
          <w:sz w:val="20"/>
          <w:szCs w:val="20"/>
          <w:lang w:val="uk-UA"/>
        </w:rPr>
        <w:t xml:space="preserve">10. </w:t>
      </w:r>
      <w:r w:rsidR="00BE6BD7" w:rsidRPr="0054349C">
        <w:rPr>
          <w:rStyle w:val="cs5e98e93010"/>
          <w:lang w:val="uk-UA"/>
        </w:rPr>
        <w:t>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14, фінальна версія 1.0 від 27 травня 2024 р., англійською мовою</w:t>
      </w:r>
      <w:r w:rsidR="00BE6BD7" w:rsidRPr="0054349C">
        <w:rPr>
          <w:rStyle w:val="csa16174ba10"/>
          <w:lang w:val="uk-UA"/>
        </w:rPr>
        <w:t xml:space="preserve"> до протоколів клінічних досліджень: «Ефективність та безпека профілактичного застосування </w:t>
      </w:r>
      <w:r w:rsidR="00BE6BD7" w:rsidRPr="0054349C">
        <w:rPr>
          <w:rStyle w:val="cs5e98e93010"/>
          <w:lang w:val="uk-UA"/>
        </w:rPr>
        <w:t>Концизумабу</w:t>
      </w:r>
      <w:r w:rsidR="00BE6BD7" w:rsidRPr="0054349C">
        <w:rPr>
          <w:rStyle w:val="csa16174ba10"/>
          <w:lang w:val="uk-UA"/>
        </w:rPr>
        <w:t xml:space="preserve"> у пацієнтів з гемофілією А чи Б, не ускладненою інгібіторами», код дослідження </w:t>
      </w:r>
      <w:r w:rsidR="00BE6BD7" w:rsidRPr="0054349C">
        <w:rPr>
          <w:rStyle w:val="cs5e98e93010"/>
          <w:lang w:val="uk-UA"/>
        </w:rPr>
        <w:t>NN7415-4307</w:t>
      </w:r>
      <w:r w:rsidR="00BE6BD7" w:rsidRPr="0054349C">
        <w:rPr>
          <w:rStyle w:val="csa16174ba10"/>
          <w:lang w:val="uk-UA"/>
        </w:rPr>
        <w:t>, фінальн</w:t>
      </w:r>
      <w:r w:rsidR="00B41601" w:rsidRPr="0054349C">
        <w:rPr>
          <w:rStyle w:val="csa16174ba10"/>
          <w:lang w:val="uk-UA"/>
        </w:rPr>
        <w:t>а версія 6.0 від 22 червня 2023</w:t>
      </w:r>
      <w:r w:rsidR="00BE6BD7" w:rsidRPr="0054349C">
        <w:rPr>
          <w:rStyle w:val="csa16174ba10"/>
          <w:lang w:val="uk-UA"/>
        </w:rPr>
        <w:t xml:space="preserve">; «Ефективність та безпека профілактичного застосування </w:t>
      </w:r>
      <w:r w:rsidR="00BE6BD7" w:rsidRPr="0054349C">
        <w:rPr>
          <w:rStyle w:val="cs5e98e93010"/>
          <w:lang w:val="uk-UA"/>
        </w:rPr>
        <w:t>Концизумабу</w:t>
      </w:r>
      <w:r w:rsidR="00BE6BD7" w:rsidRPr="0054349C">
        <w:rPr>
          <w:rStyle w:val="csa16174ba10"/>
          <w:lang w:val="uk-UA"/>
        </w:rPr>
        <w:t xml:space="preserve"> у пацієнтів з гемофілією А чи Б, ускладненою інгібіторами», код дослідження </w:t>
      </w:r>
      <w:r w:rsidR="00BE6BD7" w:rsidRPr="0054349C">
        <w:rPr>
          <w:rStyle w:val="cs5e98e93010"/>
          <w:lang w:val="uk-UA"/>
        </w:rPr>
        <w:t>NN7415-4311</w:t>
      </w:r>
      <w:r w:rsidR="00BE6BD7" w:rsidRPr="0054349C">
        <w:rPr>
          <w:rStyle w:val="csa16174ba10"/>
          <w:lang w:val="uk-UA"/>
        </w:rPr>
        <w:t>, фінальна версія 9.0 від 27 Березня 2023; спонсор - Novo Nordisk A/S (Данія)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 «Ново Нордіск Україна»</w:t>
      </w:r>
    </w:p>
    <w:p w:rsidR="009F34C6" w:rsidRPr="0054349C" w:rsidRDefault="009F34C6" w:rsidP="0054349C">
      <w:pPr>
        <w:jc w:val="both"/>
        <w:rPr>
          <w:rFonts w:ascii="Arial" w:hAnsi="Arial" w:cs="Arial"/>
          <w:sz w:val="20"/>
          <w:szCs w:val="20"/>
          <w:lang w:val="uk-UA"/>
        </w:rPr>
      </w:pPr>
    </w:p>
    <w:p w:rsidR="001E104E" w:rsidRPr="0054349C" w:rsidRDefault="001E104E" w:rsidP="0054349C">
      <w:pPr>
        <w:jc w:val="both"/>
        <w:rPr>
          <w:rFonts w:ascii="Arial" w:hAnsi="Arial" w:cs="Arial"/>
          <w:sz w:val="20"/>
          <w:szCs w:val="20"/>
          <w:lang w:val="uk-UA"/>
        </w:rPr>
      </w:pPr>
    </w:p>
    <w:p w:rsidR="001E104E" w:rsidRPr="0054349C" w:rsidRDefault="009F34C6" w:rsidP="0054349C">
      <w:pPr>
        <w:jc w:val="both"/>
        <w:rPr>
          <w:rFonts w:ascii="Arial" w:hAnsi="Arial" w:cs="Arial"/>
          <w:sz w:val="20"/>
          <w:szCs w:val="20"/>
          <w:lang w:val="uk-UA"/>
        </w:rPr>
      </w:pPr>
      <w:r w:rsidRPr="0054349C">
        <w:rPr>
          <w:rStyle w:val="cs80d9435b11"/>
          <w:rFonts w:ascii="Arial" w:hAnsi="Arial" w:cs="Arial"/>
          <w:b/>
          <w:sz w:val="20"/>
          <w:szCs w:val="20"/>
          <w:lang w:val="uk-UA"/>
        </w:rPr>
        <w:t xml:space="preserve">11. </w:t>
      </w:r>
      <w:r w:rsidR="00BE6BD7" w:rsidRPr="0054349C">
        <w:rPr>
          <w:rStyle w:val="cs5e98e93011"/>
          <w:lang w:val="uk-UA"/>
        </w:rPr>
        <w:t>Оновлена Брошура дослідника для Гіредестранту (RO7197597, GDC-9545), версія 8 від травня 2024 р.; Оновлена коротка характеристика (SmPC) Фазлодекс (Faslodex, Fulvestrant), розчин для інє’кцій 250 мг/5 мл, від серпня 2022 року; Залучення додаткової організації, якій спонсор або його офіційний представник делегував свої обов’язки та функції, пов’язані з проведенням клінічного випробування (ввезення досліджуваних лікарських засобів та супутніх матеріалів) – ТОВ «СанаКліс», Україна</w:t>
      </w:r>
      <w:r w:rsidR="00BE6BD7" w:rsidRPr="0054349C">
        <w:rPr>
          <w:rStyle w:val="csa16174ba11"/>
          <w:lang w:val="uk-UA"/>
        </w:rPr>
        <w:t xml:space="preserve"> до протоколу клінічного дослідження «РАНДОМІЗОВАНЕ, ВІДКРИТЕ, БАГАТОЦЕНТРОВЕ ДОСЛІДЖЕННЯ ФАЗИ II ДЛЯ ОЦІНКИ ЕФЕКТИВНОСТІ ТА БЕЗПЕЧНОСТІ </w:t>
      </w:r>
      <w:r w:rsidR="00BE6BD7" w:rsidRPr="0054349C">
        <w:rPr>
          <w:rStyle w:val="cs5e98e93011"/>
          <w:lang w:val="uk-UA"/>
        </w:rPr>
        <w:t>GDC-9545</w:t>
      </w:r>
      <w:r w:rsidR="00BE6BD7" w:rsidRPr="0054349C">
        <w:rPr>
          <w:rStyle w:val="csa16174ba11"/>
          <w:lang w:val="uk-UA"/>
        </w:rPr>
        <w:t xml:space="preserve"> У ПОРІВНЯННІ З ВИБРАНОЮ ЛІКАРЕМ ЕНДОКРИННОЮ МОНОТЕРАПІЄЮ У ПАЦІЄНТІВ ІЗ РАНІШЕ ЛІКОВАНИМ ЕСТРОГЕН-РЕЦЕПТОР-ПОЗИТИВНИМ, HER2-НЕГАТИВНИМ МІСЦЕВО-ПОШИРЕНИМ АБО МЕТАСТАТИЧНИМ РАКОМ МОЛОЧНОЇ ЗАЛОЗИ», код дослідження </w:t>
      </w:r>
      <w:r w:rsidR="00BE6BD7" w:rsidRPr="0054349C">
        <w:rPr>
          <w:rStyle w:val="cs5e98e93011"/>
          <w:lang w:val="uk-UA"/>
        </w:rPr>
        <w:t>WO42312</w:t>
      </w:r>
      <w:r w:rsidR="00BE6BD7" w:rsidRPr="0054349C">
        <w:rPr>
          <w:rStyle w:val="csa16174ba11"/>
          <w:lang w:val="uk-UA"/>
        </w:rPr>
        <w:t>, версія 4 від 06 грудня 2022 р.; спонсор - Ф.Хоффманн-Ля Рош Лтд, Швейцарія</w:t>
      </w:r>
      <w:r w:rsidRPr="0054349C">
        <w:rPr>
          <w:rFonts w:ascii="Arial" w:hAnsi="Arial" w:cs="Arial"/>
          <w:sz w:val="20"/>
          <w:szCs w:val="20"/>
          <w:lang w:val="uk-UA"/>
        </w:rPr>
        <w:cr/>
        <w:t>Заявник</w:t>
      </w:r>
      <w:r w:rsidR="00BE6BD7" w:rsidRPr="0054349C">
        <w:rPr>
          <w:rFonts w:ascii="Arial" w:hAnsi="Arial" w:cs="Arial"/>
          <w:sz w:val="20"/>
          <w:szCs w:val="20"/>
          <w:lang w:val="uk-UA"/>
        </w:rPr>
        <w:t xml:space="preserve"> - Товариство з обмеженою відповідальністю «Рош Україна»</w:t>
      </w:r>
      <w:r w:rsidRPr="0054349C">
        <w:rPr>
          <w:rFonts w:ascii="Arial" w:hAnsi="Arial" w:cs="Arial"/>
          <w:sz w:val="20"/>
          <w:szCs w:val="20"/>
          <w:lang w:val="uk-UA"/>
        </w:rPr>
        <w:t xml:space="preserve"> </w:t>
      </w:r>
    </w:p>
    <w:sectPr w:rsidR="001E104E" w:rsidRPr="0054349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4E" w:rsidRDefault="00BE6BD7">
      <w:pPr>
        <w:rPr>
          <w:lang w:val="ru-RU"/>
        </w:rPr>
      </w:pPr>
      <w:r>
        <w:rPr>
          <w:lang w:val="ru-RU"/>
        </w:rPr>
        <w:separator/>
      </w:r>
    </w:p>
  </w:endnote>
  <w:endnote w:type="continuationSeparator" w:id="0">
    <w:p w:rsidR="001E104E" w:rsidRDefault="00BE6BD7">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1E104E">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BE6BD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4349C" w:rsidRPr="0054349C">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1E104E">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4E" w:rsidRDefault="00BE6BD7">
      <w:pPr>
        <w:rPr>
          <w:lang w:val="ru-RU"/>
        </w:rPr>
      </w:pPr>
      <w:r>
        <w:rPr>
          <w:lang w:val="ru-RU"/>
        </w:rPr>
        <w:separator/>
      </w:r>
    </w:p>
  </w:footnote>
  <w:footnote w:type="continuationSeparator" w:id="0">
    <w:p w:rsidR="001E104E" w:rsidRDefault="00BE6BD7">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1E104E">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1E104E">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04E" w:rsidRDefault="001E104E">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01"/>
    <w:rsid w:val="001513E1"/>
    <w:rsid w:val="00163479"/>
    <w:rsid w:val="001E104E"/>
    <w:rsid w:val="0054349C"/>
    <w:rsid w:val="007B0718"/>
    <w:rsid w:val="009F34C6"/>
    <w:rsid w:val="00B41601"/>
    <w:rsid w:val="00BE2827"/>
    <w:rsid w:val="00BE6BD7"/>
    <w:rsid w:val="00CE5B2A"/>
    <w:rsid w:val="00D94C67"/>
    <w:rsid w:val="00E4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E3F6A38"/>
  <w15:chartTrackingRefBased/>
  <w15:docId w15:val="{1E4792FE-A9B0-4E1F-A195-CFF65BBC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4b90b809">
    <w:name w:val="cs4b90b80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c6482c91">
    <w:name w:val="csc6482c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656F-CD68-4871-8836-AE3DDC81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1533</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2014-04-25T09:08:00Z</cp:lastPrinted>
  <dcterms:created xsi:type="dcterms:W3CDTF">2024-07-03T09:07:00Z</dcterms:created>
  <dcterms:modified xsi:type="dcterms:W3CDTF">2024-07-03T09:07:00Z</dcterms:modified>
</cp:coreProperties>
</file>