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350" w:rsidRPr="00853A0E" w:rsidRDefault="00853A0E" w:rsidP="00853A0E">
      <w:pPr>
        <w:pStyle w:val="a7"/>
        <w:ind w:right="-5"/>
        <w:jc w:val="both"/>
        <w:rPr>
          <w:rFonts w:ascii="Arial" w:hAnsi="Arial" w:cs="Arial"/>
          <w:b/>
          <w:sz w:val="20"/>
          <w:szCs w:val="20"/>
          <w:lang w:val="uk-UA"/>
        </w:rPr>
      </w:pPr>
      <w:r>
        <w:rPr>
          <w:rFonts w:ascii="Arial" w:hAnsi="Arial" w:cs="Arial"/>
          <w:b/>
          <w:sz w:val="20"/>
          <w:szCs w:val="20"/>
          <w:lang w:val="uk-UA"/>
        </w:rPr>
        <w:t xml:space="preserve">                                                                                                                                                           </w:t>
      </w:r>
      <w:r w:rsidR="00C40350" w:rsidRPr="00853A0E">
        <w:rPr>
          <w:rFonts w:ascii="Arial" w:hAnsi="Arial" w:cs="Arial"/>
          <w:b/>
          <w:sz w:val="20"/>
          <w:szCs w:val="20"/>
          <w:lang w:val="uk-UA"/>
        </w:rPr>
        <w:t>Додаток</w:t>
      </w:r>
      <w:r>
        <w:rPr>
          <w:rFonts w:ascii="Arial" w:hAnsi="Arial" w:cs="Arial"/>
          <w:b/>
          <w:sz w:val="20"/>
          <w:szCs w:val="20"/>
          <w:lang w:val="uk-UA"/>
        </w:rPr>
        <w:t xml:space="preserve"> </w:t>
      </w:r>
      <w:r w:rsidR="00C40350" w:rsidRPr="00853A0E">
        <w:rPr>
          <w:rFonts w:ascii="Arial" w:hAnsi="Arial" w:cs="Arial"/>
          <w:b/>
          <w:sz w:val="20"/>
          <w:szCs w:val="20"/>
          <w:lang w:val="uk-UA"/>
        </w:rPr>
        <w:t>1</w:t>
      </w:r>
    </w:p>
    <w:p w:rsidR="00C40350" w:rsidRPr="00853A0E" w:rsidRDefault="00C40350" w:rsidP="00853A0E">
      <w:pPr>
        <w:pStyle w:val="a7"/>
        <w:ind w:right="-5"/>
        <w:jc w:val="both"/>
        <w:rPr>
          <w:rFonts w:ascii="Arial" w:hAnsi="Arial" w:cs="Arial"/>
          <w:b/>
          <w:sz w:val="20"/>
          <w:szCs w:val="20"/>
          <w:lang w:val="uk-UA"/>
        </w:rPr>
      </w:pPr>
    </w:p>
    <w:p w:rsidR="00C40350" w:rsidRPr="00853A0E" w:rsidRDefault="00C40350" w:rsidP="00853A0E">
      <w:pPr>
        <w:pStyle w:val="a7"/>
        <w:ind w:right="-5"/>
        <w:jc w:val="both"/>
        <w:rPr>
          <w:rFonts w:ascii="Arial" w:hAnsi="Arial" w:cs="Arial"/>
          <w:b/>
          <w:sz w:val="20"/>
          <w:szCs w:val="20"/>
          <w:lang w:val="uk-UA"/>
        </w:rPr>
      </w:pPr>
      <w:r w:rsidRPr="00853A0E">
        <w:rPr>
          <w:rFonts w:ascii="Arial" w:hAnsi="Arial" w:cs="Arial"/>
          <w:b/>
          <w:sz w:val="20"/>
          <w:szCs w:val="20"/>
          <w:lang w:val="uk-UA"/>
        </w:rPr>
        <w:t>«Перелік суттєвих поправок до протоколів клінічних випробувань, розглянутих на засіданні НТР № 29 від 08.08.24, на які були отрима</w:t>
      </w:r>
      <w:r w:rsidR="00853A0E">
        <w:rPr>
          <w:rFonts w:ascii="Arial" w:hAnsi="Arial" w:cs="Arial"/>
          <w:b/>
          <w:sz w:val="20"/>
          <w:szCs w:val="20"/>
          <w:lang w:val="uk-UA"/>
        </w:rPr>
        <w:t>ні позитивні висновки експертів</w:t>
      </w:r>
      <w:r w:rsidRPr="00853A0E">
        <w:rPr>
          <w:rFonts w:ascii="Arial" w:hAnsi="Arial" w:cs="Arial"/>
          <w:b/>
          <w:sz w:val="20"/>
          <w:szCs w:val="20"/>
          <w:lang w:val="uk-UA"/>
        </w:rPr>
        <w:t>»</w:t>
      </w:r>
    </w:p>
    <w:p w:rsidR="00C40350" w:rsidRPr="00853A0E" w:rsidRDefault="00C40350" w:rsidP="00853A0E">
      <w:pPr>
        <w:pStyle w:val="a7"/>
        <w:ind w:right="-5"/>
        <w:jc w:val="both"/>
        <w:rPr>
          <w:rFonts w:ascii="Arial" w:hAnsi="Arial" w:cs="Arial"/>
          <w:b/>
          <w:sz w:val="20"/>
          <w:szCs w:val="20"/>
          <w:lang w:val="uk-UA"/>
        </w:rPr>
      </w:pPr>
    </w:p>
    <w:p w:rsidR="009E0738" w:rsidRPr="00853A0E" w:rsidRDefault="009E0738" w:rsidP="00853A0E">
      <w:pPr>
        <w:pStyle w:val="a7"/>
        <w:ind w:right="-5"/>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1"/>
          <w:rFonts w:ascii="Arial" w:hAnsi="Arial" w:cs="Arial"/>
          <w:b/>
          <w:sz w:val="20"/>
          <w:szCs w:val="20"/>
          <w:lang w:val="uk-UA"/>
        </w:rPr>
        <w:t xml:space="preserve">1. </w:t>
      </w:r>
      <w:r w:rsidR="002B3DF8" w:rsidRPr="00853A0E">
        <w:rPr>
          <w:rStyle w:val="cs5e98e9301"/>
          <w:lang w:val="uk-UA"/>
        </w:rPr>
        <w:t>Оновлений протокол клінічного дослідження 02PDE</w:t>
      </w:r>
      <w:bookmarkStart w:id="0" w:name="_GoBack"/>
      <w:r w:rsidR="002B3DF8" w:rsidRPr="00853A0E">
        <w:rPr>
          <w:rStyle w:val="cs5e98e9301"/>
          <w:lang w:val="uk-UA"/>
        </w:rPr>
        <w:t>2019</w:t>
      </w:r>
      <w:bookmarkEnd w:id="0"/>
      <w:r w:rsidR="002B3DF8" w:rsidRPr="00853A0E">
        <w:rPr>
          <w:rStyle w:val="cs5e98e9301"/>
          <w:lang w:val="uk-UA"/>
        </w:rPr>
        <w:t xml:space="preserve">, версія 3.3 від 22 листопада </w:t>
      </w:r>
      <w:r w:rsidR="00B1304F" w:rsidRPr="00853A0E">
        <w:rPr>
          <w:rStyle w:val="cs5e98e9301"/>
          <w:lang w:val="uk-UA"/>
        </w:rPr>
        <w:t>2023 року; Збільшення кілько</w:t>
      </w:r>
      <w:r w:rsidR="002B3DF8" w:rsidRPr="00853A0E">
        <w:rPr>
          <w:rStyle w:val="cs5e98e9301"/>
          <w:lang w:val="uk-UA"/>
        </w:rPr>
        <w:t>сті пацієнтів в Україні з 120 рандомізованих до 150 рандомізованих пацієнтів</w:t>
      </w:r>
      <w:r w:rsidR="002B3DF8" w:rsidRPr="00853A0E">
        <w:rPr>
          <w:rStyle w:val="csa16174ba1"/>
          <w:lang w:val="uk-UA"/>
        </w:rPr>
        <w:t xml:space="preserve"> до протоколу клінічного дослідження «Фаза II, подвійне сліпе, рандомізоване, плацебо контрольоване, у паралельних групах, дослідження з метою вивчення ефективності, безпечності та фармакокінетики </w:t>
      </w:r>
      <w:r w:rsidR="002B3DF8" w:rsidRPr="00853A0E">
        <w:rPr>
          <w:rStyle w:val="cs5e98e9301"/>
          <w:lang w:val="uk-UA"/>
        </w:rPr>
        <w:t xml:space="preserve">CPL500036 </w:t>
      </w:r>
      <w:r w:rsidR="002B3DF8" w:rsidRPr="00853A0E">
        <w:rPr>
          <w:rStyle w:val="csa16174ba1"/>
          <w:b/>
          <w:lang w:val="uk-UA"/>
        </w:rPr>
        <w:t xml:space="preserve">(інгібітор PDE10A) </w:t>
      </w:r>
      <w:r w:rsidR="002B3DF8" w:rsidRPr="00853A0E">
        <w:rPr>
          <w:rStyle w:val="csa16174ba1"/>
          <w:lang w:val="uk-UA"/>
        </w:rPr>
        <w:t xml:space="preserve">у пацієнтів із гострою екзацербацією шизофренії», код дослідження </w:t>
      </w:r>
      <w:r w:rsidR="002B3DF8" w:rsidRPr="00853A0E">
        <w:rPr>
          <w:rStyle w:val="cs5e98e9301"/>
          <w:lang w:val="uk-UA"/>
        </w:rPr>
        <w:t>02PDE2019</w:t>
      </w:r>
      <w:r w:rsidR="002B3DF8" w:rsidRPr="00853A0E">
        <w:rPr>
          <w:rStyle w:val="csa16174ba1"/>
          <w:lang w:val="uk-UA"/>
        </w:rPr>
        <w:t>, версія 3.2. від 01 вересня 2022 року; спонсор - Celon Pharma S.A., Польща</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 «СТ АКАДЕМІЯ»,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2"/>
          <w:rFonts w:ascii="Arial" w:hAnsi="Arial" w:cs="Arial"/>
          <w:b/>
          <w:sz w:val="20"/>
          <w:szCs w:val="20"/>
          <w:lang w:val="uk-UA"/>
        </w:rPr>
        <w:t xml:space="preserve">2. </w:t>
      </w:r>
      <w:r w:rsidR="002B3DF8" w:rsidRPr="00853A0E">
        <w:rPr>
          <w:rStyle w:val="cs5e98e9302"/>
          <w:lang w:val="uk-UA"/>
        </w:rPr>
        <w:t>Оновлений протокол CVL-231-2003 версія 4.0 від 30 квітня 2024р.; CVL-231-2003 Інформація для пацієнта та форма інформованої згоди, версія для України 5.1.0 від 17 травня 2024 р. на основі глобальної версії 5.0 від 14 травня 2024 р, українською та англійською мовами; Шкала для дослідника: M.I.N.I. версія 7.0.2 для досліджень з психотичних розладів від 08 серпня 2016 р. для протоколу CVL-231-2003, M.I.N.I. for Psychotic Disorders Studies (August 8, 2016) (8/8/16) for CVL-231-2003 study, англійською мовою</w:t>
      </w:r>
      <w:r w:rsidR="002B3DF8" w:rsidRPr="00853A0E">
        <w:rPr>
          <w:rStyle w:val="csa16174ba2"/>
          <w:lang w:val="uk-UA"/>
        </w:rPr>
        <w:t xml:space="preserve"> до протоколу клінічного дослідження «52-тижневе відкрите дослідження фази 2 для оцінки довгострокової безпечн</w:t>
      </w:r>
      <w:r w:rsidR="00853A0E">
        <w:rPr>
          <w:rStyle w:val="csa16174ba2"/>
          <w:lang w:val="uk-UA"/>
        </w:rPr>
        <w:t>ості та переносимості препарату</w:t>
      </w:r>
      <w:r w:rsidR="00292239" w:rsidRPr="00853A0E">
        <w:rPr>
          <w:rStyle w:val="csa16174ba2"/>
          <w:lang w:val="uk-UA"/>
        </w:rPr>
        <w:t xml:space="preserve"> </w:t>
      </w:r>
      <w:r w:rsidR="002B3DF8" w:rsidRPr="00853A0E">
        <w:rPr>
          <w:rStyle w:val="cs5e98e9302"/>
          <w:lang w:val="uk-UA"/>
        </w:rPr>
        <w:t>CVL-231</w:t>
      </w:r>
      <w:r w:rsidR="002B3DF8" w:rsidRPr="00853A0E">
        <w:rPr>
          <w:rStyle w:val="csa16174ba2"/>
          <w:lang w:val="uk-UA"/>
        </w:rPr>
        <w:t xml:space="preserve"> у дорослих пацієнтів із шизофренією», код дослідження </w:t>
      </w:r>
      <w:r w:rsidR="002B3DF8" w:rsidRPr="00853A0E">
        <w:rPr>
          <w:rStyle w:val="cs5e98e9302"/>
          <w:lang w:val="uk-UA"/>
        </w:rPr>
        <w:t>CVL-231-2003</w:t>
      </w:r>
      <w:r w:rsidR="002B3DF8" w:rsidRPr="00853A0E">
        <w:rPr>
          <w:rStyle w:val="csa16174ba2"/>
          <w:lang w:val="uk-UA"/>
        </w:rPr>
        <w:t xml:space="preserve">, версія 3.0 від 15 березня 2023 р.; спонсор - Серевел Терап'ютікс, ЛЛС, США [Cerevel Therapeutics, LLC, USA] </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 «Сінеос Хелс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3"/>
          <w:rFonts w:ascii="Arial" w:hAnsi="Arial" w:cs="Arial"/>
          <w:b/>
          <w:sz w:val="20"/>
          <w:szCs w:val="20"/>
          <w:lang w:val="uk-UA"/>
        </w:rPr>
        <w:t xml:space="preserve">3. </w:t>
      </w:r>
      <w:r w:rsidR="002B3DF8" w:rsidRPr="00853A0E">
        <w:rPr>
          <w:rStyle w:val="cs5e98e9303"/>
          <w:lang w:val="uk-UA"/>
        </w:rPr>
        <w:t>Брошура дослідника Кстанді (Xtandi, Ензалутамід, enzalutamide, MDV3100), видання</w:t>
      </w:r>
      <w:r w:rsidR="00292239" w:rsidRPr="00853A0E">
        <w:rPr>
          <w:rStyle w:val="cs5e98e9303"/>
          <w:lang w:val="uk-UA"/>
        </w:rPr>
        <w:t xml:space="preserve"> 14.0 від </w:t>
      </w:r>
      <w:r w:rsidR="002B3DF8" w:rsidRPr="00853A0E">
        <w:rPr>
          <w:rStyle w:val="cs5e98e9303"/>
          <w:lang w:val="uk-UA"/>
        </w:rPr>
        <w:t xml:space="preserve">09 квітня 2024 року, англійською мовою </w:t>
      </w:r>
      <w:r w:rsidR="002B3DF8" w:rsidRPr="00853A0E">
        <w:rPr>
          <w:rStyle w:val="csa16174ba3"/>
          <w:lang w:val="uk-UA"/>
        </w:rPr>
        <w:t xml:space="preserve">до протоколу клінічного дослідження «Рандомізоване, подвійне сліпе дослідження ІІІ фази </w:t>
      </w:r>
      <w:r w:rsidR="002B3DF8" w:rsidRPr="00853A0E">
        <w:rPr>
          <w:rStyle w:val="cs5e98e9303"/>
          <w:lang w:val="uk-UA"/>
        </w:rPr>
        <w:t>пембролізумабу (MK-3475)</w:t>
      </w:r>
      <w:r w:rsidR="002B3DF8" w:rsidRPr="00853A0E">
        <w:rPr>
          <w:rStyle w:val="csa16174ba3"/>
          <w:lang w:val="uk-UA"/>
        </w:rPr>
        <w:t xml:space="preserve"> у комбінації з </w:t>
      </w:r>
      <w:r w:rsidR="002B3DF8" w:rsidRPr="00853A0E">
        <w:rPr>
          <w:rStyle w:val="cs5e98e9303"/>
          <w:lang w:val="uk-UA"/>
        </w:rPr>
        <w:t xml:space="preserve">ензалутамідом </w:t>
      </w:r>
      <w:r w:rsidR="002B3DF8" w:rsidRPr="00853A0E">
        <w:rPr>
          <w:rStyle w:val="csa16174ba3"/>
          <w:lang w:val="uk-UA"/>
        </w:rPr>
        <w:t xml:space="preserve">порівняно з ензалутамідом з плацебо у учасників з метастатичним кастраційно-резистентним раком передміхурової залози (mCRPC) (KEYNOTE-641)», код дослідження </w:t>
      </w:r>
      <w:r w:rsidR="002B3DF8" w:rsidRPr="00853A0E">
        <w:rPr>
          <w:rStyle w:val="cs5e98e9303"/>
          <w:lang w:val="uk-UA"/>
        </w:rPr>
        <w:t>MK-3475-641</w:t>
      </w:r>
      <w:r w:rsidR="002B3DF8" w:rsidRPr="00853A0E">
        <w:rPr>
          <w:rStyle w:val="csa16174ba3"/>
          <w:lang w:val="uk-UA"/>
        </w:rPr>
        <w:t>, з інкорпорованою по</w:t>
      </w:r>
      <w:r w:rsidR="00292239" w:rsidRPr="00853A0E">
        <w:rPr>
          <w:rStyle w:val="csa16174ba3"/>
          <w:lang w:val="uk-UA"/>
        </w:rPr>
        <w:t xml:space="preserve">правкою 09 від </w:t>
      </w:r>
      <w:r w:rsidR="002B3DF8" w:rsidRPr="00853A0E">
        <w:rPr>
          <w:rStyle w:val="csa16174ba3"/>
          <w:lang w:val="uk-UA"/>
        </w:rPr>
        <w:t>22 травня 2023 року; спонсор - ТОВ Мерк Шарп енд Доум, США (Merck Sharp &amp; Dohme LLC,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«МСД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4"/>
          <w:rFonts w:ascii="Arial" w:hAnsi="Arial" w:cs="Arial"/>
          <w:b/>
          <w:sz w:val="20"/>
          <w:szCs w:val="20"/>
          <w:lang w:val="uk-UA"/>
        </w:rPr>
        <w:t xml:space="preserve">4. </w:t>
      </w:r>
      <w:r w:rsidR="002B3DF8" w:rsidRPr="00853A0E">
        <w:rPr>
          <w:rStyle w:val="cs5e98e9304"/>
          <w:lang w:val="uk-UA"/>
        </w:rPr>
        <w:t>Брошура дослідника MK-4280/MK-4280А, видання 10 від 22 травня 2024 року, англійською мовою</w:t>
      </w:r>
      <w:r w:rsidR="002B3DF8" w:rsidRPr="00853A0E">
        <w:rPr>
          <w:rStyle w:val="csa16174ba4"/>
          <w:lang w:val="uk-UA"/>
        </w:rPr>
        <w:t xml:space="preserve"> до </w:t>
      </w:r>
      <w:r w:rsidR="00292239" w:rsidRPr="00853A0E">
        <w:rPr>
          <w:rStyle w:val="csa16174ba4"/>
          <w:lang w:val="uk-UA"/>
        </w:rPr>
        <w:t>протоколу клінічного випробування</w:t>
      </w:r>
      <w:r w:rsidR="002B3DF8" w:rsidRPr="00853A0E">
        <w:rPr>
          <w:rStyle w:val="csa16174ba4"/>
          <w:lang w:val="uk-UA"/>
        </w:rPr>
        <w:t xml:space="preserve"> «Дослідження ІІІ фази </w:t>
      </w:r>
      <w:r w:rsidR="002B3DF8" w:rsidRPr="00853A0E">
        <w:rPr>
          <w:rStyle w:val="cs5e98e9304"/>
          <w:lang w:val="uk-UA"/>
        </w:rPr>
        <w:t>MK-4280A</w:t>
      </w:r>
      <w:r w:rsidR="002B3DF8" w:rsidRPr="00853A0E">
        <w:rPr>
          <w:rStyle w:val="csa16174ba4"/>
          <w:lang w:val="uk-UA"/>
        </w:rPr>
        <w:t xml:space="preserve"> </w:t>
      </w:r>
      <w:r w:rsidR="002B3DF8" w:rsidRPr="00853A0E">
        <w:rPr>
          <w:rStyle w:val="csa16174ba4"/>
          <w:b/>
          <w:lang w:val="uk-UA"/>
        </w:rPr>
        <w:t>(комбінація фавезелімабу [MK-4280] з пембролізумабом [MK-3475])</w:t>
      </w:r>
      <w:r w:rsidR="002B3DF8" w:rsidRPr="00853A0E">
        <w:rPr>
          <w:rStyle w:val="csa16174ba4"/>
          <w:lang w:val="uk-UA"/>
        </w:rPr>
        <w:t xml:space="preserve"> у порівнянні зі стандартним лікуванням при раніше вже лікованому метастатичному PDL1-позитивному колоректальному раку», код дослідження </w:t>
      </w:r>
      <w:r w:rsidR="002B3DF8" w:rsidRPr="00853A0E">
        <w:rPr>
          <w:rStyle w:val="cs5e98e9304"/>
          <w:lang w:val="uk-UA"/>
        </w:rPr>
        <w:t>MK-4280A-007</w:t>
      </w:r>
      <w:r w:rsidR="002B3DF8" w:rsidRPr="00853A0E">
        <w:rPr>
          <w:rStyle w:val="csa16174ba4"/>
          <w:lang w:val="uk-UA"/>
        </w:rPr>
        <w:t>, з інкорпорованою поправкою 04 від 22 травня 2023 року; спонсор - ТОВ Мерк Шарп енд Доум, США (Merck Sharp &amp; Dohme LLC,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«МСД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C40350" w:rsidRPr="00853A0E" w:rsidRDefault="00C40350" w:rsidP="00853A0E">
      <w:pPr>
        <w:jc w:val="both"/>
        <w:rPr>
          <w:rFonts w:ascii="Arial" w:hAnsi="Arial" w:cs="Arial"/>
          <w:sz w:val="20"/>
          <w:lang w:val="uk-UA"/>
        </w:rPr>
      </w:pPr>
      <w:r w:rsidRPr="00853A0E">
        <w:rPr>
          <w:rStyle w:val="cs80d9435b5"/>
          <w:rFonts w:ascii="Arial" w:hAnsi="Arial" w:cs="Arial"/>
          <w:b/>
          <w:sz w:val="20"/>
          <w:szCs w:val="20"/>
          <w:lang w:val="uk-UA"/>
        </w:rPr>
        <w:t xml:space="preserve">5. </w:t>
      </w:r>
      <w:r w:rsidR="002B3DF8" w:rsidRPr="00853A0E">
        <w:rPr>
          <w:rStyle w:val="cs5e98e9305"/>
          <w:lang w:val="uk-UA"/>
        </w:rPr>
        <w:t>Зміна відповідального дослідника у місці проведення клінічного випробування</w:t>
      </w:r>
      <w:r w:rsidR="002B3DF8" w:rsidRPr="00853A0E">
        <w:rPr>
          <w:rStyle w:val="csa16174ba5"/>
          <w:lang w:val="uk-UA"/>
        </w:rPr>
        <w:t xml:space="preserve"> до протоколу клінічного дослідження «Програма рандомізованих, плацебо-контрольованих подвійних сліпих досліджень фази 3 для оцінки ефективності та безпечності </w:t>
      </w:r>
      <w:r w:rsidR="002B3DF8" w:rsidRPr="00853A0E">
        <w:rPr>
          <w:rStyle w:val="cs5e98e9305"/>
          <w:lang w:val="uk-UA"/>
        </w:rPr>
        <w:t>Упадацитинібу</w:t>
      </w:r>
      <w:r w:rsidR="002B3DF8" w:rsidRPr="00853A0E">
        <w:rPr>
          <w:rStyle w:val="csa16174ba5"/>
          <w:lang w:val="uk-UA"/>
        </w:rPr>
        <w:t xml:space="preserve"> у дорослих пацієнтів з аксіальним спондилоартритом із подальшим періодом припинення лікування при досягненні ремісії», код дослідження </w:t>
      </w:r>
      <w:r w:rsidR="002B3DF8" w:rsidRPr="00853A0E">
        <w:rPr>
          <w:rStyle w:val="cs5e98e9305"/>
          <w:lang w:val="uk-UA"/>
        </w:rPr>
        <w:t>M19-944</w:t>
      </w:r>
      <w:r w:rsidR="002B3DF8" w:rsidRPr="00853A0E">
        <w:rPr>
          <w:rStyle w:val="csa16174ba5"/>
          <w:lang w:val="uk-UA"/>
        </w:rPr>
        <w:t>, версія 6.0 від 27 жовтня 2022 року; спонсор - «ЕббВі Інк», США / AbbVie Inc.,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«ЕббВі Біофармасьютікалз ГмбХ», Швейцарія</w:t>
      </w:r>
    </w:p>
    <w:p w:rsidR="00C40350" w:rsidRPr="00853A0E" w:rsidRDefault="00C40350" w:rsidP="00853A0E">
      <w:pPr>
        <w:rPr>
          <w:rFonts w:ascii="Arial" w:hAnsi="Arial" w:cs="Arial"/>
          <w:sz w:val="20"/>
          <w:lang w:val="uk-UA"/>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C40350" w:rsidRPr="00853A0E" w:rsidTr="0046634F">
        <w:trPr>
          <w:trHeight w:val="213"/>
        </w:trPr>
        <w:tc>
          <w:tcPr>
            <w:tcW w:w="4802"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5"/>
                <w:lang w:val="uk-UA"/>
              </w:rPr>
              <w:t>БУЛО</w:t>
            </w:r>
          </w:p>
        </w:tc>
        <w:tc>
          <w:tcPr>
            <w:tcW w:w="4802"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5"/>
                <w:lang w:val="uk-UA"/>
              </w:rPr>
              <w:t>СТАЛО</w:t>
            </w:r>
          </w:p>
        </w:tc>
      </w:tr>
      <w:tr w:rsidR="00C40350" w:rsidRPr="00853A0E" w:rsidTr="0046634F">
        <w:trPr>
          <w:trHeight w:val="213"/>
        </w:trPr>
        <w:tc>
          <w:tcPr>
            <w:tcW w:w="4802"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298"/>
            </w:tblGrid>
            <w:tr w:rsidR="00C40350" w:rsidRPr="00853A0E" w:rsidTr="0046634F">
              <w:tc>
                <w:tcPr>
                  <w:tcW w:w="2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0350" w:rsidRPr="00853A0E" w:rsidRDefault="00C40350" w:rsidP="00853A0E">
                  <w:pPr>
                    <w:pStyle w:val="cs80d9435b"/>
                    <w:rPr>
                      <w:rFonts w:ascii="Arial" w:hAnsi="Arial" w:cs="Arial"/>
                      <w:sz w:val="20"/>
                      <w:lang w:val="uk-UA"/>
                    </w:rPr>
                  </w:pPr>
                  <w:r w:rsidRPr="00853A0E">
                    <w:rPr>
                      <w:rStyle w:val="cs5e98e9305"/>
                      <w:lang w:val="uk-UA"/>
                    </w:rPr>
                    <w:t xml:space="preserve">лікар </w:t>
                  </w:r>
                  <w:r w:rsidRPr="00853A0E">
                    <w:rPr>
                      <w:rStyle w:val="cs5e98e9306"/>
                      <w:lang w:val="uk-UA"/>
                    </w:rPr>
                    <w:t>Гасанов Ю.Ч.</w:t>
                  </w:r>
                </w:p>
              </w:tc>
            </w:tr>
          </w:tbl>
          <w:p w:rsidR="00C40350" w:rsidRPr="00853A0E" w:rsidRDefault="00C40350" w:rsidP="00853A0E">
            <w:pPr>
              <w:pStyle w:val="cs80d9435b"/>
              <w:rPr>
                <w:rFonts w:ascii="Arial" w:hAnsi="Arial" w:cs="Arial"/>
                <w:sz w:val="20"/>
                <w:lang w:val="uk-UA"/>
              </w:rPr>
            </w:pPr>
            <w:r w:rsidRPr="00853A0E">
              <w:rPr>
                <w:rStyle w:val="csa16174ba5"/>
                <w:lang w:val="uk-UA"/>
              </w:rPr>
              <w:t>Державна установа «Національний інститут терапії імені Л.Т. Малої НАМН України», відділ клінічної фармакології та фармакогенетики неінфекційних захворювань, м. Харків</w:t>
            </w:r>
          </w:p>
        </w:tc>
        <w:tc>
          <w:tcPr>
            <w:tcW w:w="4802" w:type="dxa"/>
            <w:tcMar>
              <w:top w:w="0" w:type="dxa"/>
              <w:left w:w="108" w:type="dxa"/>
              <w:bottom w:w="0" w:type="dxa"/>
              <w:right w:w="108" w:type="dxa"/>
            </w:tcMar>
            <w:hideMark/>
          </w:tcPr>
          <w:p w:rsidR="00C40350" w:rsidRPr="00853A0E" w:rsidRDefault="00C40350" w:rsidP="00853A0E">
            <w:pPr>
              <w:pStyle w:val="csfeeeeb43"/>
              <w:rPr>
                <w:rFonts w:ascii="Arial" w:hAnsi="Arial" w:cs="Arial"/>
                <w:sz w:val="20"/>
                <w:lang w:val="uk-UA"/>
              </w:rPr>
            </w:pPr>
            <w:r w:rsidRPr="00853A0E">
              <w:rPr>
                <w:rStyle w:val="cs5e98e9305"/>
                <w:lang w:val="uk-UA"/>
              </w:rPr>
              <w:t xml:space="preserve">д.м.н., проф. Рудик Ю.С. </w:t>
            </w:r>
          </w:p>
          <w:p w:rsidR="00C40350" w:rsidRPr="00853A0E" w:rsidRDefault="00C40350" w:rsidP="00853A0E">
            <w:pPr>
              <w:pStyle w:val="cs80d9435b"/>
              <w:rPr>
                <w:rFonts w:ascii="Arial" w:hAnsi="Arial" w:cs="Arial"/>
                <w:sz w:val="20"/>
                <w:lang w:val="uk-UA"/>
              </w:rPr>
            </w:pPr>
            <w:r w:rsidRPr="00853A0E">
              <w:rPr>
                <w:rStyle w:val="csa16174ba5"/>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bl>
    <w:p w:rsidR="009E0738" w:rsidRPr="00853A0E" w:rsidRDefault="009E0738" w:rsidP="00853A0E">
      <w:pPr>
        <w:jc w:val="both"/>
        <w:rPr>
          <w:rFonts w:ascii="Arial" w:hAnsi="Arial" w:cs="Arial"/>
          <w:sz w:val="20"/>
          <w:szCs w:val="20"/>
          <w:lang w:val="uk-UA"/>
        </w:rPr>
      </w:pPr>
    </w:p>
    <w:p w:rsidR="00C40350" w:rsidRPr="00853A0E" w:rsidRDefault="00C40350" w:rsidP="00853A0E">
      <w:pPr>
        <w:rPr>
          <w:rStyle w:val="cs80d9435b6"/>
          <w:rFonts w:ascii="Arial" w:hAnsi="Arial" w:cs="Arial"/>
          <w:b/>
          <w:sz w:val="20"/>
          <w:szCs w:val="20"/>
          <w:lang w:val="uk-UA"/>
        </w:rPr>
      </w:pPr>
    </w:p>
    <w:p w:rsidR="00C40350" w:rsidRPr="00853A0E" w:rsidRDefault="00C40350" w:rsidP="00853A0E">
      <w:pPr>
        <w:jc w:val="both"/>
        <w:rPr>
          <w:rFonts w:ascii="Arial" w:hAnsi="Arial" w:cs="Arial"/>
          <w:sz w:val="20"/>
          <w:lang w:val="uk-UA"/>
        </w:rPr>
      </w:pPr>
      <w:r w:rsidRPr="00853A0E">
        <w:rPr>
          <w:rStyle w:val="cs80d9435b6"/>
          <w:rFonts w:ascii="Arial" w:hAnsi="Arial" w:cs="Arial"/>
          <w:b/>
          <w:sz w:val="20"/>
          <w:szCs w:val="20"/>
          <w:lang w:val="uk-UA"/>
        </w:rPr>
        <w:lastRenderedPageBreak/>
        <w:t xml:space="preserve">6. </w:t>
      </w:r>
      <w:r w:rsidR="002B3DF8" w:rsidRPr="00853A0E">
        <w:rPr>
          <w:rStyle w:val="cs5e98e9306"/>
          <w:lang w:val="uk-UA"/>
        </w:rPr>
        <w:t>Зміна відповідального дослідника у місці проведення клінічного випробування</w:t>
      </w:r>
      <w:r w:rsidR="002B3DF8" w:rsidRPr="00853A0E">
        <w:rPr>
          <w:rStyle w:val="csa16174ba6"/>
          <w:lang w:val="uk-UA"/>
        </w:rPr>
        <w:t xml:space="preserve"> до протоколу клінічного дослідження «Рандомізоване, подвійне сліпе дослідження, III фази, для порівняння препарату </w:t>
      </w:r>
      <w:r w:rsidR="002B3DF8" w:rsidRPr="00853A0E">
        <w:rPr>
          <w:rStyle w:val="cs5e98e9306"/>
          <w:lang w:val="uk-UA"/>
        </w:rPr>
        <w:t xml:space="preserve">Упадацитиніб (ABT-494) </w:t>
      </w:r>
      <w:r w:rsidR="002B3DF8" w:rsidRPr="00853A0E">
        <w:rPr>
          <w:rStyle w:val="csa16174ba6"/>
          <w:lang w:val="uk-UA"/>
        </w:rPr>
        <w:t xml:space="preserve">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SELECT – PsA 1», код дослідження </w:t>
      </w:r>
      <w:r w:rsidR="002B3DF8" w:rsidRPr="00853A0E">
        <w:rPr>
          <w:rStyle w:val="cs5e98e9306"/>
          <w:lang w:val="uk-UA"/>
        </w:rPr>
        <w:t>M15-572</w:t>
      </w:r>
      <w:r w:rsidR="002B3DF8" w:rsidRPr="00853A0E">
        <w:rPr>
          <w:rStyle w:val="csa16174ba6"/>
          <w:lang w:val="uk-UA"/>
        </w:rPr>
        <w:t>, з інкорпорованими адміністративними змінами 1, 2, 3, 4, 5, 6 [для Гонконгу (Китай)], 7 і 8 та Поправками 1, 1.01 (для VHP країн) 2, 3, 4, 5, 6 та 7 (для всіх країн крім Японії) від 30 січня 2021 року; спонсор - AbbVie Inc.,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«ЕббВі Біофармасьютікалз ГмбХ», Швейцарія</w:t>
      </w:r>
    </w:p>
    <w:p w:rsidR="00C40350" w:rsidRPr="00853A0E" w:rsidRDefault="00C40350" w:rsidP="00853A0E">
      <w:pPr>
        <w:rPr>
          <w:rFonts w:ascii="Arial" w:hAnsi="Arial" w:cs="Arial"/>
          <w:sz w:val="20"/>
          <w:lang w:val="uk-UA"/>
        </w:rPr>
      </w:pPr>
    </w:p>
    <w:tbl>
      <w:tblPr>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7"/>
        <w:gridCol w:w="4817"/>
      </w:tblGrid>
      <w:tr w:rsidR="00C40350" w:rsidRPr="00853A0E" w:rsidTr="0046634F">
        <w:trPr>
          <w:trHeight w:val="213"/>
        </w:trPr>
        <w:tc>
          <w:tcPr>
            <w:tcW w:w="4817"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6"/>
                <w:lang w:val="uk-UA"/>
              </w:rPr>
              <w:t>БУЛО</w:t>
            </w:r>
          </w:p>
        </w:tc>
        <w:tc>
          <w:tcPr>
            <w:tcW w:w="4817"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6"/>
                <w:lang w:val="uk-UA"/>
              </w:rPr>
              <w:t>СТАЛО</w:t>
            </w:r>
          </w:p>
        </w:tc>
      </w:tr>
      <w:tr w:rsidR="00C40350" w:rsidRPr="00853A0E" w:rsidTr="0046634F">
        <w:trPr>
          <w:trHeight w:val="213"/>
        </w:trPr>
        <w:tc>
          <w:tcPr>
            <w:tcW w:w="4817" w:type="dxa"/>
            <w:tcMar>
              <w:top w:w="0" w:type="dxa"/>
              <w:left w:w="108" w:type="dxa"/>
              <w:bottom w:w="0" w:type="dxa"/>
              <w:right w:w="108" w:type="dxa"/>
            </w:tcMar>
            <w:hideMark/>
          </w:tcPr>
          <w:tbl>
            <w:tblPr>
              <w:tblW w:w="0" w:type="auto"/>
              <w:tblCellMar>
                <w:left w:w="0" w:type="dxa"/>
                <w:right w:w="0" w:type="dxa"/>
              </w:tblCellMar>
              <w:tblLook w:val="04A0" w:firstRow="1" w:lastRow="0" w:firstColumn="1" w:lastColumn="0" w:noHBand="0" w:noVBand="1"/>
            </w:tblPr>
            <w:tblGrid>
              <w:gridCol w:w="2298"/>
            </w:tblGrid>
            <w:tr w:rsidR="00C40350" w:rsidRPr="00853A0E" w:rsidTr="0046634F">
              <w:tc>
                <w:tcPr>
                  <w:tcW w:w="22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C40350" w:rsidRPr="00853A0E" w:rsidRDefault="00C40350" w:rsidP="00853A0E">
                  <w:pPr>
                    <w:pStyle w:val="cs80d9435b"/>
                    <w:rPr>
                      <w:rFonts w:ascii="Arial" w:hAnsi="Arial" w:cs="Arial"/>
                      <w:sz w:val="20"/>
                      <w:lang w:val="uk-UA"/>
                    </w:rPr>
                  </w:pPr>
                  <w:r w:rsidRPr="00853A0E">
                    <w:rPr>
                      <w:rStyle w:val="cs5e98e9306"/>
                      <w:lang w:val="uk-UA"/>
                    </w:rPr>
                    <w:t>Гасанов Ю.Ч.</w:t>
                  </w:r>
                </w:p>
              </w:tc>
            </w:tr>
          </w:tbl>
          <w:p w:rsidR="00C40350" w:rsidRPr="00853A0E" w:rsidRDefault="00C40350" w:rsidP="00853A0E">
            <w:pPr>
              <w:pStyle w:val="cs80d9435b"/>
              <w:rPr>
                <w:rFonts w:ascii="Arial" w:hAnsi="Arial" w:cs="Arial"/>
                <w:sz w:val="20"/>
                <w:lang w:val="uk-UA"/>
              </w:rPr>
            </w:pPr>
            <w:r w:rsidRPr="00853A0E">
              <w:rPr>
                <w:rStyle w:val="csa16174ba6"/>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c>
          <w:tcPr>
            <w:tcW w:w="4817" w:type="dxa"/>
            <w:tcMar>
              <w:top w:w="0" w:type="dxa"/>
              <w:left w:w="108" w:type="dxa"/>
              <w:bottom w:w="0" w:type="dxa"/>
              <w:right w:w="108" w:type="dxa"/>
            </w:tcMar>
            <w:hideMark/>
          </w:tcPr>
          <w:p w:rsidR="00C40350" w:rsidRPr="00853A0E" w:rsidRDefault="00C40350" w:rsidP="00853A0E">
            <w:pPr>
              <w:pStyle w:val="cs80d9435b"/>
              <w:rPr>
                <w:rFonts w:ascii="Arial" w:hAnsi="Arial" w:cs="Arial"/>
                <w:sz w:val="20"/>
                <w:lang w:val="uk-UA"/>
              </w:rPr>
            </w:pPr>
            <w:r w:rsidRPr="00853A0E">
              <w:rPr>
                <w:rStyle w:val="cs5e98e9306"/>
                <w:lang w:val="uk-UA"/>
              </w:rPr>
              <w:t>д.м.н., проф. Рудик Ю.С.</w:t>
            </w:r>
          </w:p>
          <w:p w:rsidR="00C40350" w:rsidRPr="00853A0E" w:rsidRDefault="00C40350" w:rsidP="00853A0E">
            <w:pPr>
              <w:pStyle w:val="cs80d9435b"/>
              <w:rPr>
                <w:rFonts w:ascii="Arial" w:hAnsi="Arial" w:cs="Arial"/>
                <w:sz w:val="20"/>
                <w:lang w:val="uk-UA"/>
              </w:rPr>
            </w:pPr>
            <w:r w:rsidRPr="00853A0E">
              <w:rPr>
                <w:rStyle w:val="csa16174ba6"/>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bl>
    <w:p w:rsidR="009E0738" w:rsidRPr="00853A0E" w:rsidRDefault="009E0738" w:rsidP="00853A0E">
      <w:pPr>
        <w:jc w:val="both"/>
        <w:rPr>
          <w:rFonts w:ascii="Arial" w:hAnsi="Arial" w:cs="Arial"/>
          <w:sz w:val="20"/>
          <w:szCs w:val="20"/>
          <w:lang w:val="uk-UA"/>
        </w:rPr>
      </w:pPr>
    </w:p>
    <w:p w:rsidR="00C40350" w:rsidRPr="00853A0E" w:rsidRDefault="00C40350" w:rsidP="00853A0E">
      <w:pPr>
        <w:jc w:val="both"/>
        <w:rPr>
          <w:rStyle w:val="cs80d9435b7"/>
          <w:rFonts w:ascii="Arial" w:hAnsi="Arial" w:cs="Arial"/>
          <w:b/>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7"/>
          <w:rFonts w:ascii="Arial" w:hAnsi="Arial" w:cs="Arial"/>
          <w:b/>
          <w:sz w:val="20"/>
          <w:szCs w:val="20"/>
          <w:lang w:val="ru-RU"/>
        </w:rPr>
        <w:t xml:space="preserve">7. </w:t>
      </w:r>
      <w:r w:rsidR="002B3DF8" w:rsidRPr="00853A0E">
        <w:rPr>
          <w:rStyle w:val="cs5e98e9307"/>
          <w:lang w:val="uk-UA"/>
        </w:rPr>
        <w:t>Оновлений протокол клінічного випробування MK-6482-012, з інкорпорованою поправкою 05 від 04 червня 2024 року, англійською мовою</w:t>
      </w:r>
      <w:r w:rsidR="002B3DF8" w:rsidRPr="00853A0E">
        <w:rPr>
          <w:rStyle w:val="csa16174ba7"/>
          <w:lang w:val="uk-UA"/>
        </w:rPr>
        <w:t xml:space="preserve"> до протоколу клінічного дослідження «Відкрите, рандомізоване дослідження III фази для оцінки ефективності та безпечності </w:t>
      </w:r>
      <w:r w:rsidR="002B3DF8" w:rsidRPr="00853A0E">
        <w:rPr>
          <w:rStyle w:val="cs5e98e9307"/>
          <w:lang w:val="uk-UA"/>
        </w:rPr>
        <w:t>пембролізумабу (MK-3475)</w:t>
      </w:r>
      <w:r w:rsidR="002B3DF8" w:rsidRPr="00853A0E">
        <w:rPr>
          <w:rStyle w:val="csa16174ba7"/>
          <w:lang w:val="uk-UA"/>
        </w:rPr>
        <w:t xml:space="preserve"> у комбінації </w:t>
      </w:r>
      <w:r w:rsidR="002B3DF8" w:rsidRPr="00853A0E">
        <w:rPr>
          <w:rStyle w:val="csa16174ba7"/>
          <w:b/>
          <w:lang w:val="uk-UA"/>
        </w:rPr>
        <w:t>з белзутифаном (MK-6482)</w:t>
      </w:r>
      <w:r w:rsidR="002B3DF8" w:rsidRPr="00853A0E">
        <w:rPr>
          <w:rStyle w:val="csa16174ba7"/>
          <w:lang w:val="uk-UA"/>
        </w:rPr>
        <w:t xml:space="preserve"> та </w:t>
      </w:r>
      <w:r w:rsidR="002B3DF8" w:rsidRPr="00853A0E">
        <w:rPr>
          <w:rStyle w:val="csa16174ba7"/>
          <w:b/>
          <w:lang w:val="uk-UA"/>
        </w:rPr>
        <w:t>ленватинібом (MK-7902)</w:t>
      </w:r>
      <w:r w:rsidR="002B3DF8" w:rsidRPr="00853A0E">
        <w:rPr>
          <w:rStyle w:val="csa16174ba7"/>
          <w:lang w:val="uk-UA"/>
        </w:rPr>
        <w:t xml:space="preserve">,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2B3DF8" w:rsidRPr="00853A0E">
        <w:rPr>
          <w:rStyle w:val="cs5e98e9307"/>
          <w:lang w:val="uk-UA"/>
        </w:rPr>
        <w:t>MK-6482-012</w:t>
      </w:r>
      <w:r w:rsidR="002B3DF8" w:rsidRPr="00853A0E">
        <w:rPr>
          <w:rStyle w:val="csa16174ba7"/>
          <w:lang w:val="uk-UA"/>
        </w:rPr>
        <w:t>, з інкорпорованою поправкою 04 від 12 вересня 2022 року; спонсор - ТОВ Мерк Шарп енд Доум, США (Merck Sharp &amp; Dohme LLC,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«МСД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8"/>
          <w:rFonts w:ascii="Arial" w:hAnsi="Arial" w:cs="Arial"/>
          <w:b/>
          <w:sz w:val="20"/>
          <w:szCs w:val="20"/>
          <w:lang w:val="ru-RU"/>
        </w:rPr>
        <w:t xml:space="preserve">8. </w:t>
      </w:r>
      <w:r w:rsidR="002B3DF8" w:rsidRPr="00853A0E">
        <w:rPr>
          <w:rStyle w:val="cs5e98e9308"/>
          <w:lang w:val="uk-UA"/>
        </w:rPr>
        <w:t xml:space="preserve">Оновлений Протокол клінічного дослідження PR-30-5017-C, редакція 9.0 з Поправкою 08 від 22 січня 2024 р.; Синопсис Поправки 08 до протоколу клінічного дослідження PR-30-5017-C, редакція від 22 січня 2024 р., переклад з англійської мови на українську мову від 11 червня </w:t>
      </w:r>
      <w:r w:rsidR="00F627EA" w:rsidRPr="00853A0E">
        <w:rPr>
          <w:rStyle w:val="cs5e98e9308"/>
          <w:lang w:val="uk-UA"/>
        </w:rPr>
        <w:t xml:space="preserve">                  </w:t>
      </w:r>
      <w:r w:rsidR="002B3DF8" w:rsidRPr="00853A0E">
        <w:rPr>
          <w:rStyle w:val="cs5e98e9308"/>
          <w:lang w:val="uk-UA"/>
        </w:rPr>
        <w:t>2024 р.; Брошура для дослідника з препарату Нірапариб, редакція №16 від 19 червня 2024 р.</w:t>
      </w:r>
      <w:r w:rsidR="002B3DF8" w:rsidRPr="00853A0E">
        <w:rPr>
          <w:rStyle w:val="csa16174ba8"/>
          <w:lang w:val="uk-UA"/>
        </w:rPr>
        <w:t xml:space="preserve"> до протоколу клінічного дослідження «Рандомізоване подвійно сліпе плацебо-контрольоване багатоцентрове дослідження 3 фази з оцінки підтримуючої терапії </w:t>
      </w:r>
      <w:r w:rsidR="002B3DF8" w:rsidRPr="00853A0E">
        <w:rPr>
          <w:rStyle w:val="cs5e98e9308"/>
          <w:lang w:val="uk-UA"/>
        </w:rPr>
        <w:t>нірапарибом</w:t>
      </w:r>
      <w:r w:rsidR="002B3DF8" w:rsidRPr="00853A0E">
        <w:rPr>
          <w:rStyle w:val="csa16174ba8"/>
          <w:lang w:val="uk-UA"/>
        </w:rPr>
        <w:t xml:space="preserve"> у пацієнток із поширеним раком яєчників, у яких було зареєстровано відповідь на терапію першої лінії із застосуванням хіміотерапевтичних препаратів на основі платини», код дослідження </w:t>
      </w:r>
      <w:r w:rsidR="002B3DF8" w:rsidRPr="00853A0E">
        <w:rPr>
          <w:rStyle w:val="cs5e98e9308"/>
          <w:lang w:val="uk-UA"/>
        </w:rPr>
        <w:t>PR-30-5017-C</w:t>
      </w:r>
      <w:r w:rsidR="002B3DF8" w:rsidRPr="00853A0E">
        <w:rPr>
          <w:rStyle w:val="csa16174ba8"/>
          <w:lang w:val="uk-UA"/>
        </w:rPr>
        <w:t xml:space="preserve">, редакція 7.0 з Поправкою №06 від 28 січня 2022 </w:t>
      </w:r>
      <w:r w:rsidR="00F627EA" w:rsidRPr="00853A0E">
        <w:rPr>
          <w:rStyle w:val="csa16174ba8"/>
          <w:lang w:val="uk-UA"/>
        </w:rPr>
        <w:t>р.; спонсор – «ТЕСАРО Інкорпорейтед»</w:t>
      </w:r>
      <w:r w:rsidR="002B3DF8" w:rsidRPr="00853A0E">
        <w:rPr>
          <w:rStyle w:val="csa16174ba8"/>
          <w:lang w:val="uk-UA"/>
        </w:rPr>
        <w:t>, США</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w:t>
      </w:r>
      <w:r w:rsidR="00F627EA" w:rsidRPr="00853A0E">
        <w:rPr>
          <w:rFonts w:ascii="Arial" w:hAnsi="Arial" w:cs="Arial"/>
          <w:sz w:val="20"/>
          <w:szCs w:val="20"/>
          <w:lang w:val="uk-UA"/>
        </w:rPr>
        <w:t>О З ОБМЕЖЕНОЮ ВІДПОВІДАЛЬНІСТЮ «ПІ ЕС АЙ-УКРАЇНА»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9"/>
          <w:rFonts w:ascii="Arial" w:hAnsi="Arial" w:cs="Arial"/>
          <w:b/>
          <w:sz w:val="20"/>
          <w:szCs w:val="20"/>
          <w:lang w:val="uk-UA"/>
        </w:rPr>
        <w:t xml:space="preserve">9. </w:t>
      </w:r>
      <w:r w:rsidR="002B3DF8" w:rsidRPr="00853A0E">
        <w:rPr>
          <w:rStyle w:val="cs5e98e9309"/>
          <w:lang w:val="uk-UA"/>
        </w:rPr>
        <w:t>Подовження терміну проведення клінічного випробування в Україні до 31 березня 2025 року; Брошура дослідника Acalabrutinib, ACP-196, CALQUENCE® (D8220000000), видання 13.0 від 14 березня 2024 року, англійською мовою</w:t>
      </w:r>
      <w:r w:rsidR="002B3DF8" w:rsidRPr="00853A0E">
        <w:rPr>
          <w:rStyle w:val="csa16174ba9"/>
          <w:lang w:val="uk-UA"/>
        </w:rPr>
        <w:t xml:space="preserve"> до протоколу клінічного дослідження «Рандомізоване, подвійне-сліпе, плацебо контрольоване, багатоцентрове дослідження фази 3 з оцінки </w:t>
      </w:r>
      <w:r w:rsidR="002B3DF8" w:rsidRPr="00853A0E">
        <w:rPr>
          <w:rStyle w:val="cs5e98e9309"/>
          <w:lang w:val="uk-UA"/>
        </w:rPr>
        <w:t>бендамустину</w:t>
      </w:r>
      <w:r w:rsidR="002B3DF8" w:rsidRPr="00853A0E">
        <w:rPr>
          <w:rStyle w:val="csa16174ba9"/>
          <w:lang w:val="uk-UA"/>
        </w:rPr>
        <w:t xml:space="preserve"> та </w:t>
      </w:r>
      <w:r w:rsidR="002B3DF8" w:rsidRPr="00853A0E">
        <w:rPr>
          <w:rStyle w:val="cs5e98e9309"/>
          <w:lang w:val="uk-UA"/>
        </w:rPr>
        <w:t xml:space="preserve">ритуксимабу (BR) </w:t>
      </w:r>
      <w:r w:rsidR="002B3DF8" w:rsidRPr="00853A0E">
        <w:rPr>
          <w:rStyle w:val="csa16174ba9"/>
          <w:lang w:val="uk-UA"/>
        </w:rPr>
        <w:t xml:space="preserve">окремо у порівнянні з їх комбінацією з </w:t>
      </w:r>
      <w:r w:rsidR="002B3DF8" w:rsidRPr="00853A0E">
        <w:rPr>
          <w:rStyle w:val="cs5e98e9309"/>
          <w:lang w:val="uk-UA"/>
        </w:rPr>
        <w:t>акалабрутинібом (ACP 196)</w:t>
      </w:r>
      <w:r w:rsidR="002B3DF8" w:rsidRPr="00853A0E">
        <w:rPr>
          <w:rStyle w:val="csa16174ba9"/>
          <w:lang w:val="uk-UA"/>
        </w:rPr>
        <w:t xml:space="preserve"> у пацієнтів з мантійноклітинною лімфомою, які раніше не отримували лікування», код дослідження </w:t>
      </w:r>
      <w:r w:rsidR="002B3DF8" w:rsidRPr="00853A0E">
        <w:rPr>
          <w:rStyle w:val="cs5e98e9309"/>
          <w:lang w:val="uk-UA"/>
        </w:rPr>
        <w:t>ACE-LY-308</w:t>
      </w:r>
      <w:r w:rsidR="002B3DF8" w:rsidRPr="00853A0E">
        <w:rPr>
          <w:rStyle w:val="csa16174ba9"/>
          <w:lang w:val="uk-UA"/>
        </w:rPr>
        <w:t>, версія 4.0 від 06 червня 2023 року; спонсор - Acerta Pharma BV, Нідерланди</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 «Сінеос Хелс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10"/>
          <w:rFonts w:ascii="Arial" w:hAnsi="Arial" w:cs="Arial"/>
          <w:b/>
          <w:sz w:val="20"/>
          <w:szCs w:val="20"/>
          <w:lang w:val="uk-UA"/>
        </w:rPr>
        <w:t xml:space="preserve">10. </w:t>
      </w:r>
      <w:r w:rsidR="002B3DF8" w:rsidRPr="00853A0E">
        <w:rPr>
          <w:rStyle w:val="cs5e98e93010"/>
          <w:lang w:val="uk-UA"/>
        </w:rPr>
        <w:t>Брошура дослідника досліджуваного лікарського засобу іклепертин (BI 425809), версія 14 від 10 червня 2024 року, англійською мовою</w:t>
      </w:r>
      <w:r w:rsidR="002B3DF8" w:rsidRPr="00853A0E">
        <w:rPr>
          <w:rStyle w:val="csa16174ba10"/>
          <w:lang w:val="uk-UA"/>
        </w:rPr>
        <w:t xml:space="preserve"> до протоколу клінічного дослідження «Рандомізоване, подвійне сліпе, плацебо-контрольоване дослідження III фази в паралельних групах для оцінки ефективності та безпечності застосування препарату </w:t>
      </w:r>
      <w:r w:rsidR="002B3DF8" w:rsidRPr="00853A0E">
        <w:rPr>
          <w:rStyle w:val="cs5e98e93010"/>
          <w:lang w:val="uk-UA"/>
        </w:rPr>
        <w:t>іклепертину</w:t>
      </w:r>
      <w:r w:rsidR="002B3DF8" w:rsidRPr="00853A0E">
        <w:rPr>
          <w:rStyle w:val="csa16174ba10"/>
          <w:lang w:val="uk-UA"/>
        </w:rPr>
        <w:t xml:space="preserve"> один раз на добу протягом 26-тижневого періоду лікування в пацієнтів з шизофренією (CONNEX-2)», код дослідження </w:t>
      </w:r>
      <w:r w:rsidR="002B3DF8" w:rsidRPr="00853A0E">
        <w:rPr>
          <w:rStyle w:val="cs5e98e93010"/>
          <w:lang w:val="uk-UA"/>
        </w:rPr>
        <w:t>1346-0012</w:t>
      </w:r>
      <w:r w:rsidR="002B3DF8" w:rsidRPr="00853A0E">
        <w:rPr>
          <w:rStyle w:val="csa16174ba10"/>
          <w:lang w:val="uk-UA"/>
        </w:rPr>
        <w:t>, версія 3.0 від 18 вересня 2023 року; спонсор - «Берінгер Інгельхайм РЦВ ГмбХ енд Ко КГ», Австрія / Boehringer Ingelheim RCV GmbH &amp; Co KG, Austria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Підприємство з 100% іноземною інвестицією «АЙК’ЮВІА РДС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11"/>
          <w:rFonts w:ascii="Arial" w:hAnsi="Arial" w:cs="Arial"/>
          <w:b/>
          <w:sz w:val="20"/>
          <w:szCs w:val="20"/>
          <w:lang w:val="uk-UA"/>
        </w:rPr>
        <w:lastRenderedPageBreak/>
        <w:t xml:space="preserve">11. </w:t>
      </w:r>
      <w:r w:rsidR="002B3DF8" w:rsidRPr="00853A0E">
        <w:rPr>
          <w:rStyle w:val="cs5e98e93011"/>
          <w:lang w:val="uk-UA"/>
        </w:rPr>
        <w:t>Оновлений Протокол клінічного випробування GO29527, версія 12 від 24 травня 2024 р., англійською мовою; Інформація для пацієнта і форма інформованої згоди, версія 16 для України англійською мовою від 17 червня 2024 р.;  Інформація для пацієнта і форма інформованої згоди, версія 16 для України українською мовою від 17 червня 2024 р.;  Інформація для пацієнта і форма інформованої згоди, версія 16 для України російською мовою від 17 червня 2024 р.</w:t>
      </w:r>
      <w:r w:rsidR="002B3DF8" w:rsidRPr="00853A0E">
        <w:rPr>
          <w:rStyle w:val="csa16174ba11"/>
          <w:lang w:val="uk-UA"/>
        </w:rPr>
        <w:t xml:space="preserve"> до протоколу клінічного дослідження «3я фаза, відкрите, рандомізоване дослідження для оцінки ефективності та безпеки препарату </w:t>
      </w:r>
      <w:r w:rsidR="002B3DF8" w:rsidRPr="00853A0E">
        <w:rPr>
          <w:rStyle w:val="cs5e98e93011"/>
          <w:lang w:val="uk-UA"/>
        </w:rPr>
        <w:t>Атезолізумаб</w:t>
      </w:r>
      <w:r w:rsidR="002B3DF8" w:rsidRPr="00853A0E">
        <w:rPr>
          <w:rStyle w:val="csa16174ba11"/>
          <w:lang w:val="uk-UA"/>
        </w:rPr>
        <w:t xml:space="preserve"> </w:t>
      </w:r>
      <w:r w:rsidR="002B3DF8" w:rsidRPr="00853A0E">
        <w:rPr>
          <w:rStyle w:val="csa16174ba11"/>
          <w:b/>
          <w:lang w:val="uk-UA"/>
        </w:rPr>
        <w:t>(ANTI-PD - L1 антитіло)</w:t>
      </w:r>
      <w:r w:rsidR="002B3DF8" w:rsidRPr="00853A0E">
        <w:rPr>
          <w:rStyle w:val="csa16174ba11"/>
          <w:lang w:val="uk-UA"/>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легень IB-IIIA стадії», код дослідження </w:t>
      </w:r>
      <w:r w:rsidR="002B3DF8" w:rsidRPr="00853A0E">
        <w:rPr>
          <w:rStyle w:val="cs5e98e93011"/>
          <w:lang w:val="uk-UA"/>
        </w:rPr>
        <w:t>GO29527</w:t>
      </w:r>
      <w:r w:rsidR="002B3DF8" w:rsidRPr="00853A0E">
        <w:rPr>
          <w:rStyle w:val="csa16174ba11"/>
          <w:lang w:val="uk-UA"/>
        </w:rPr>
        <w:t xml:space="preserve">, версія </w:t>
      </w:r>
      <w:r w:rsidR="00F627EA" w:rsidRPr="00853A0E">
        <w:rPr>
          <w:rStyle w:val="csa16174ba11"/>
          <w:lang w:val="uk-UA"/>
        </w:rPr>
        <w:t xml:space="preserve">11 від 16 лютого                 </w:t>
      </w:r>
      <w:r w:rsidR="002B3DF8" w:rsidRPr="00853A0E">
        <w:rPr>
          <w:rStyle w:val="csa16174ba11"/>
          <w:lang w:val="uk-UA"/>
        </w:rPr>
        <w:t>2023 р.; спонсор - F. Hoffmann-La Roche Ltd, Switzerland («Ф. Хоффманн-Ля Рош Лтд», Швейцарія)</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«ПіПіДі ЮКРЕЙН»,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12"/>
          <w:rFonts w:ascii="Arial" w:hAnsi="Arial" w:cs="Arial"/>
          <w:b/>
          <w:sz w:val="20"/>
          <w:szCs w:val="20"/>
          <w:lang w:val="uk-UA"/>
        </w:rPr>
        <w:t xml:space="preserve">12. </w:t>
      </w:r>
      <w:r w:rsidR="002B3DF8" w:rsidRPr="00853A0E">
        <w:rPr>
          <w:rStyle w:val="cs5e98e93012"/>
          <w:lang w:val="uk-UA"/>
        </w:rPr>
        <w:t>Подяка і сповіщення про результати дослідження, версія 1.0 від 19 червня 2024 року, переклад українською мовою від 25 червня 2024 року</w:t>
      </w:r>
      <w:r w:rsidR="002B3DF8" w:rsidRPr="00853A0E">
        <w:rPr>
          <w:rStyle w:val="csa16174ba12"/>
          <w:lang w:val="uk-UA"/>
        </w:rPr>
        <w:t xml:space="preserve"> до протоколу клінічного дослідження «Подвійне сліпе, рандомізоване, плацебо-контрольоване, багатоцентрове дослідження для оцінки впливу</w:t>
      </w:r>
      <w:r w:rsidR="002B3DF8" w:rsidRPr="00853A0E">
        <w:rPr>
          <w:rStyle w:val="cs5e98e93012"/>
          <w:lang w:val="uk-UA"/>
        </w:rPr>
        <w:t xml:space="preserve"> еволокумабу</w:t>
      </w:r>
      <w:r w:rsidR="002B3DF8" w:rsidRPr="00853A0E">
        <w:rPr>
          <w:rStyle w:val="csa16174ba12"/>
          <w:lang w:val="uk-UA"/>
        </w:rPr>
        <w:t xml:space="preserve"> на серйозні серцево-судинні ускладнення у пацієнтів з високим ризиком розвитку серцево-судинних захворювань без попередньо перенесеного інфаркту міокарда або інсульту», код дослідження </w:t>
      </w:r>
      <w:r w:rsidR="002B3DF8" w:rsidRPr="00853A0E">
        <w:rPr>
          <w:rStyle w:val="cs5e98e93012"/>
          <w:lang w:val="uk-UA"/>
        </w:rPr>
        <w:t>20170625</w:t>
      </w:r>
      <w:r w:rsidR="002B3DF8" w:rsidRPr="00853A0E">
        <w:rPr>
          <w:rStyle w:val="csa16174ba12"/>
          <w:lang w:val="uk-UA"/>
        </w:rPr>
        <w:t>, інкорпорований оновленою поправкою 6, від 12 червня 2023 року; спонсор - «Амжен Інк.» (Amgen Inc.), США</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Підприємство з 100% іноземною інвестицією «АЙК’ЮВІА РДС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9E0738" w:rsidRPr="00853A0E" w:rsidRDefault="00C40350" w:rsidP="00853A0E">
      <w:pPr>
        <w:jc w:val="both"/>
        <w:rPr>
          <w:rFonts w:ascii="Arial" w:hAnsi="Arial" w:cs="Arial"/>
          <w:sz w:val="20"/>
          <w:szCs w:val="20"/>
          <w:lang w:val="uk-UA"/>
        </w:rPr>
      </w:pPr>
      <w:r w:rsidRPr="00853A0E">
        <w:rPr>
          <w:rStyle w:val="cs80d9435b13"/>
          <w:rFonts w:ascii="Arial" w:hAnsi="Arial" w:cs="Arial"/>
          <w:b/>
          <w:sz w:val="20"/>
          <w:szCs w:val="20"/>
          <w:lang w:val="uk-UA"/>
        </w:rPr>
        <w:t xml:space="preserve">13. </w:t>
      </w:r>
      <w:r w:rsidR="002B3DF8" w:rsidRPr="00853A0E">
        <w:rPr>
          <w:rStyle w:val="cs5e98e93013"/>
          <w:lang w:val="uk-UA"/>
        </w:rPr>
        <w:t>Досьє досліджуваного лікарського засобу (IMPD) CT-P53 (Окрелізумаб), версія 4.0, англійською мовою</w:t>
      </w:r>
      <w:r w:rsidR="002B3DF8" w:rsidRPr="00853A0E">
        <w:rPr>
          <w:rStyle w:val="csa16174ba13"/>
          <w:lang w:val="uk-UA"/>
        </w:rPr>
        <w:t xml:space="preserve"> до протоколу клінічного дослідження «Фаза 1/3, подвійне сліпе, рандомізоване, з активним контролем, у паралельних групах дослідження для порівняння ефективності, фармакокінетики, фармакодинаміки та безпеки препарату</w:t>
      </w:r>
      <w:r w:rsidR="002B3DF8" w:rsidRPr="00853A0E">
        <w:rPr>
          <w:rStyle w:val="cs5e98e93013"/>
          <w:lang w:val="uk-UA"/>
        </w:rPr>
        <w:t xml:space="preserve"> CT-P53</w:t>
      </w:r>
      <w:r w:rsidR="002B3DF8" w:rsidRPr="00853A0E">
        <w:rPr>
          <w:rStyle w:val="csa16174ba13"/>
          <w:lang w:val="uk-UA"/>
        </w:rPr>
        <w:t xml:space="preserve"> і препарату Окревус у пацієнтів з рецидивуючо-ремітуючим розсіяним склерозом», код дослідження </w:t>
      </w:r>
      <w:r w:rsidR="002B3DF8" w:rsidRPr="00853A0E">
        <w:rPr>
          <w:rStyle w:val="cs5e98e93013"/>
          <w:lang w:val="uk-UA"/>
        </w:rPr>
        <w:t>CT-P53 3.1</w:t>
      </w:r>
      <w:r w:rsidR="002B3DF8" w:rsidRPr="00853A0E">
        <w:rPr>
          <w:rStyle w:val="csa16174ba13"/>
          <w:lang w:val="uk-UA"/>
        </w:rPr>
        <w:t>, версія 2.2 від 29 грудня 2023 року; спонсор - СЕЛЛТРІОН, Інк., Республіка Корея (Південна Корея) / CELLTRION, Inc., Republic of Korea (South Korea)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 «АРЕНСІЯ ЕКСПЛОРАТОРІ МЕДІСІН», Україна</w:t>
      </w:r>
    </w:p>
    <w:p w:rsidR="00C40350" w:rsidRPr="00853A0E" w:rsidRDefault="00C40350" w:rsidP="00853A0E">
      <w:pPr>
        <w:jc w:val="both"/>
        <w:rPr>
          <w:rFonts w:ascii="Arial" w:hAnsi="Arial" w:cs="Arial"/>
          <w:sz w:val="20"/>
          <w:szCs w:val="20"/>
          <w:lang w:val="uk-UA"/>
        </w:rPr>
      </w:pPr>
    </w:p>
    <w:p w:rsidR="009E0738" w:rsidRPr="00853A0E" w:rsidRDefault="009E0738" w:rsidP="00853A0E">
      <w:pPr>
        <w:jc w:val="both"/>
        <w:rPr>
          <w:rFonts w:ascii="Arial" w:hAnsi="Arial" w:cs="Arial"/>
          <w:sz w:val="20"/>
          <w:szCs w:val="20"/>
          <w:lang w:val="uk-UA"/>
        </w:rPr>
      </w:pPr>
    </w:p>
    <w:p w:rsidR="00C40350" w:rsidRPr="00853A0E" w:rsidRDefault="00C40350" w:rsidP="00853A0E">
      <w:pPr>
        <w:jc w:val="both"/>
        <w:rPr>
          <w:rFonts w:ascii="Arial" w:hAnsi="Arial" w:cs="Arial"/>
          <w:sz w:val="20"/>
        </w:rPr>
      </w:pPr>
      <w:r w:rsidRPr="00853A0E">
        <w:rPr>
          <w:rStyle w:val="cs80d9435b14"/>
          <w:rFonts w:ascii="Arial" w:hAnsi="Arial" w:cs="Arial"/>
          <w:b/>
          <w:sz w:val="20"/>
          <w:szCs w:val="20"/>
          <w:lang w:val="ru-RU"/>
        </w:rPr>
        <w:t xml:space="preserve">14. </w:t>
      </w:r>
      <w:r w:rsidR="002B3DF8" w:rsidRPr="00853A0E">
        <w:rPr>
          <w:rStyle w:val="cs5e98e93014"/>
          <w:lang w:val="uk-UA"/>
        </w:rPr>
        <w:t>Оновлений протокол клінічного випробування MK-7339-006 з інкорпорованою поправкою 07 від 30 травня 2024 року, англійською мовою; Зміна назви протоколу КВ з «Дослідження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на «Дослідження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(НДРЛ)»; Україна, MK-7339-006, Доповнення до інформації та документу про інформовану згоду для пацієнта – зміни в дослідженні, версія 00 від 21 червня 2024 року українською мовою; Подовження тривалості клінічного дослідження в Україні та світі до 25 лютого 2025 року</w:t>
      </w:r>
      <w:r w:rsidR="002B3DF8" w:rsidRPr="00853A0E">
        <w:rPr>
          <w:rStyle w:val="csa16174ba14"/>
          <w:lang w:val="uk-UA"/>
        </w:rPr>
        <w:t xml:space="preserve"> до протоколу клінічного випробування «Дослідження ІІІ фази для </w:t>
      </w:r>
      <w:r w:rsidR="002B3DF8" w:rsidRPr="00853A0E">
        <w:rPr>
          <w:rStyle w:val="cs5e98e93014"/>
          <w:lang w:val="uk-UA"/>
        </w:rPr>
        <w:t>пембролізумабу</w:t>
      </w:r>
      <w:r w:rsidR="002B3DF8" w:rsidRPr="00853A0E">
        <w:rPr>
          <w:rStyle w:val="csa16174ba14"/>
          <w:lang w:val="uk-UA"/>
        </w:rPr>
        <w:t xml:space="preserve">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код дослідження </w:t>
      </w:r>
      <w:r w:rsidR="002B3DF8" w:rsidRPr="00853A0E">
        <w:rPr>
          <w:rStyle w:val="cs5e98e93014"/>
          <w:lang w:val="uk-UA"/>
        </w:rPr>
        <w:t>MK-7339-006</w:t>
      </w:r>
      <w:r w:rsidR="002B3DF8" w:rsidRPr="00853A0E">
        <w:rPr>
          <w:rStyle w:val="csa16174ba14"/>
          <w:lang w:val="uk-UA"/>
        </w:rPr>
        <w:t>, з інкорпорованою поправкою 06 від 07 жовтня 2022 року; спонсор - ТОВ Мерк Шарп енд Доум, США (Merck Sharp &amp; Dohme LLC, USA)</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«МСД Україна»</w:t>
      </w:r>
    </w:p>
    <w:p w:rsidR="00C40350" w:rsidRPr="00853A0E" w:rsidRDefault="00C40350" w:rsidP="00853A0E">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691"/>
        <w:gridCol w:w="4942"/>
      </w:tblGrid>
      <w:tr w:rsidR="00C40350" w:rsidRPr="00853A0E" w:rsidTr="00C40350">
        <w:trPr>
          <w:trHeight w:val="213"/>
        </w:trPr>
        <w:tc>
          <w:tcPr>
            <w:tcW w:w="4691"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14"/>
                <w:lang w:val="uk-UA"/>
              </w:rPr>
              <w:t>БУЛО</w:t>
            </w:r>
          </w:p>
        </w:tc>
        <w:tc>
          <w:tcPr>
            <w:tcW w:w="4942"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14"/>
                <w:lang w:val="uk-UA"/>
              </w:rPr>
              <w:t>СТАЛО</w:t>
            </w:r>
          </w:p>
        </w:tc>
      </w:tr>
      <w:tr w:rsidR="00C40350" w:rsidRPr="00853A0E" w:rsidTr="00C40350">
        <w:trPr>
          <w:trHeight w:val="213"/>
        </w:trPr>
        <w:tc>
          <w:tcPr>
            <w:tcW w:w="4691" w:type="dxa"/>
            <w:tcMar>
              <w:top w:w="0" w:type="dxa"/>
              <w:left w:w="108" w:type="dxa"/>
              <w:bottom w:w="0" w:type="dxa"/>
              <w:right w:w="108" w:type="dxa"/>
            </w:tcMar>
            <w:hideMark/>
          </w:tcPr>
          <w:p w:rsidR="00C40350" w:rsidRPr="00853A0E" w:rsidRDefault="00C40350" w:rsidP="00853A0E">
            <w:pPr>
              <w:pStyle w:val="cs80d9435b"/>
              <w:rPr>
                <w:rFonts w:ascii="Arial" w:hAnsi="Arial" w:cs="Arial"/>
                <w:sz w:val="20"/>
                <w:lang w:val="uk-UA"/>
              </w:rPr>
            </w:pPr>
            <w:r w:rsidRPr="00853A0E">
              <w:rPr>
                <w:rStyle w:val="csa16174ba14"/>
                <w:lang w:val="uk-UA"/>
              </w:rPr>
              <w:t xml:space="preserve">«Дослідження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w:t>
            </w:r>
            <w:r w:rsidRPr="00853A0E">
              <w:rPr>
                <w:rStyle w:val="csa16174ba14"/>
                <w:lang w:val="uk-UA"/>
              </w:rPr>
              <w:lastRenderedPageBreak/>
              <w:t>неплоскоклітинним недрібноклітинним раком легенів»</w:t>
            </w:r>
          </w:p>
        </w:tc>
        <w:tc>
          <w:tcPr>
            <w:tcW w:w="4942" w:type="dxa"/>
            <w:tcMar>
              <w:top w:w="0" w:type="dxa"/>
              <w:left w:w="108" w:type="dxa"/>
              <w:bottom w:w="0" w:type="dxa"/>
              <w:right w:w="108" w:type="dxa"/>
            </w:tcMar>
            <w:hideMark/>
          </w:tcPr>
          <w:p w:rsidR="00C40350" w:rsidRPr="00853A0E" w:rsidRDefault="00C40350" w:rsidP="00853A0E">
            <w:pPr>
              <w:pStyle w:val="cs80d9435b"/>
              <w:rPr>
                <w:rFonts w:ascii="Arial" w:hAnsi="Arial" w:cs="Arial"/>
                <w:sz w:val="20"/>
                <w:lang w:val="uk-UA"/>
              </w:rPr>
            </w:pPr>
            <w:r w:rsidRPr="00853A0E">
              <w:rPr>
                <w:rStyle w:val="csa16174ba14"/>
                <w:lang w:val="uk-UA"/>
              </w:rPr>
              <w:lastRenderedPageBreak/>
              <w:t xml:space="preserve">«Дослідження ІІІ фази для пембролізумабу у комбінації з пеметрекседом / препаратом платини (карбоплатин або цисплатин) з подальшим введенням пембролізумабу у комбінації з підтримуючим лікуванням олапарибом або пеметрекседом в якості терапії першої лінії у пацієнтів із метастатичним неплоскоклітинним недрібноклітинним раком легенів </w:t>
            </w:r>
            <w:r w:rsidRPr="00853A0E">
              <w:rPr>
                <w:rStyle w:val="cs5e98e93014"/>
                <w:lang w:val="uk-UA"/>
              </w:rPr>
              <w:t>(НДРЛ)</w:t>
            </w:r>
            <w:r w:rsidRPr="00853A0E">
              <w:rPr>
                <w:rStyle w:val="csa16174ba14"/>
                <w:lang w:val="uk-UA"/>
              </w:rPr>
              <w:t>»</w:t>
            </w:r>
          </w:p>
        </w:tc>
      </w:tr>
    </w:tbl>
    <w:p w:rsidR="009E0738" w:rsidRPr="00853A0E" w:rsidRDefault="009E0738" w:rsidP="00853A0E">
      <w:pPr>
        <w:jc w:val="both"/>
        <w:rPr>
          <w:rFonts w:ascii="Arial" w:hAnsi="Arial" w:cs="Arial"/>
          <w:sz w:val="20"/>
          <w:szCs w:val="20"/>
          <w:lang w:val="uk-UA"/>
        </w:rPr>
      </w:pPr>
    </w:p>
    <w:p w:rsidR="00C40350" w:rsidRPr="00853A0E" w:rsidRDefault="00C40350" w:rsidP="00853A0E">
      <w:pPr>
        <w:rPr>
          <w:rStyle w:val="cs80d9435b15"/>
          <w:rFonts w:ascii="Arial" w:hAnsi="Arial" w:cs="Arial"/>
          <w:b/>
          <w:sz w:val="20"/>
          <w:szCs w:val="20"/>
          <w:lang w:val="uk-UA"/>
        </w:rPr>
      </w:pPr>
    </w:p>
    <w:p w:rsidR="00C40350" w:rsidRPr="00853A0E" w:rsidRDefault="00C40350" w:rsidP="00853A0E">
      <w:pPr>
        <w:jc w:val="both"/>
        <w:rPr>
          <w:rFonts w:ascii="Arial" w:hAnsi="Arial" w:cs="Arial"/>
          <w:sz w:val="20"/>
          <w:lang w:val="uk-UA"/>
        </w:rPr>
      </w:pPr>
      <w:r w:rsidRPr="00853A0E">
        <w:rPr>
          <w:rStyle w:val="cs80d9435b15"/>
          <w:rFonts w:ascii="Arial" w:hAnsi="Arial" w:cs="Arial"/>
          <w:b/>
          <w:sz w:val="20"/>
          <w:szCs w:val="20"/>
          <w:lang w:val="uk-UA"/>
        </w:rPr>
        <w:t xml:space="preserve">15. </w:t>
      </w:r>
      <w:r w:rsidR="002B3DF8" w:rsidRPr="00853A0E">
        <w:rPr>
          <w:rStyle w:val="cs5e98e93015"/>
          <w:lang w:val="uk-UA"/>
        </w:rPr>
        <w:t>Оновлений протокол клінічного випробування, версія 9.0 від 07 червня 2024 року англійською мовою; Зміна номеру EudraCT 2018-000413-20 на номер EUCT 2024-510605-28-00; Зміна назви місця проведення клінічного випробування</w:t>
      </w:r>
      <w:r w:rsidR="002B3DF8" w:rsidRPr="00853A0E">
        <w:rPr>
          <w:rStyle w:val="csa16174ba15"/>
          <w:lang w:val="uk-UA"/>
        </w:rPr>
        <w:t xml:space="preserve"> до протоколу клінічного дослідження «Рандомізоване, подвійно сліпе дослідження фази 3 порівняння платиновмісної терапії із препаратом </w:t>
      </w:r>
      <w:r w:rsidR="002B3DF8" w:rsidRPr="00853A0E">
        <w:rPr>
          <w:rStyle w:val="cs5e98e93015"/>
          <w:lang w:val="uk-UA"/>
        </w:rPr>
        <w:t>TSR-042</w:t>
      </w:r>
      <w:r w:rsidR="002B3DF8" w:rsidRPr="00853A0E">
        <w:rPr>
          <w:rStyle w:val="csa16174ba15"/>
          <w:lang w:val="uk-UA"/>
        </w:rPr>
        <w:t xml:space="preserve"> та нірапарібом зі стандартною платиновмісною терапією в якості 1-ї лінії лікування немуцинозного епітеліального раку яєчників III або IV стадії», код дослідження </w:t>
      </w:r>
      <w:r w:rsidR="002B3DF8" w:rsidRPr="00853A0E">
        <w:rPr>
          <w:rStyle w:val="cs5e98e93015"/>
          <w:lang w:val="uk-UA"/>
        </w:rPr>
        <w:t>3000-03-005/ENGOT-OV44</w:t>
      </w:r>
      <w:r w:rsidR="002B3DF8" w:rsidRPr="00853A0E">
        <w:rPr>
          <w:rStyle w:val="csa16174ba15"/>
          <w:lang w:val="uk-UA"/>
        </w:rPr>
        <w:t>, версія 8.0 від 01 лютого 2022 року; спонсор - TESARO, Inc., США</w:t>
      </w:r>
      <w:r w:rsidRPr="00853A0E">
        <w:rPr>
          <w:rFonts w:ascii="Arial" w:hAnsi="Arial" w:cs="Arial"/>
          <w:sz w:val="20"/>
          <w:szCs w:val="20"/>
          <w:lang w:val="uk-UA"/>
        </w:rPr>
        <w:cr/>
        <w:t>Заявник</w:t>
      </w:r>
      <w:r w:rsidR="002B3DF8" w:rsidRPr="00853A0E">
        <w:rPr>
          <w:rFonts w:ascii="Arial" w:hAnsi="Arial" w:cs="Arial"/>
          <w:sz w:val="20"/>
          <w:szCs w:val="20"/>
          <w:lang w:val="uk-UA"/>
        </w:rPr>
        <w:t xml:space="preserve"> - ТОВАРИСТВО З ОБМЕЖЕНОЮ ВІДПОВІДАЛЬНІСТЮ «ФАРМАСЬЮТІКАЛ РІСЕРЧ АССОУШИЕЙТС УКРАЇНА» (ТОВ «ФРА УКРАЇНА»)</w:t>
      </w:r>
    </w:p>
    <w:p w:rsidR="00C40350" w:rsidRPr="00853A0E" w:rsidRDefault="00C40350" w:rsidP="00853A0E">
      <w:pPr>
        <w:rPr>
          <w:rFonts w:ascii="Arial" w:hAnsi="Arial" w:cs="Arial"/>
          <w:sz w:val="20"/>
          <w:lang w:val="uk-UA"/>
        </w:rPr>
      </w:pPr>
    </w:p>
    <w:tbl>
      <w:tblPr>
        <w:tblW w:w="9604"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2"/>
        <w:gridCol w:w="4802"/>
      </w:tblGrid>
      <w:tr w:rsidR="00C40350" w:rsidRPr="00853A0E" w:rsidTr="0046634F">
        <w:trPr>
          <w:trHeight w:val="213"/>
        </w:trPr>
        <w:tc>
          <w:tcPr>
            <w:tcW w:w="4802"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15"/>
                <w:lang w:val="uk-UA"/>
              </w:rPr>
              <w:t>БУЛО</w:t>
            </w:r>
          </w:p>
        </w:tc>
        <w:tc>
          <w:tcPr>
            <w:tcW w:w="4802" w:type="dxa"/>
            <w:tcMar>
              <w:top w:w="0" w:type="dxa"/>
              <w:left w:w="108" w:type="dxa"/>
              <w:bottom w:w="0" w:type="dxa"/>
              <w:right w:w="108" w:type="dxa"/>
            </w:tcMar>
            <w:hideMark/>
          </w:tcPr>
          <w:p w:rsidR="00C40350" w:rsidRPr="00853A0E" w:rsidRDefault="00C40350" w:rsidP="00853A0E">
            <w:pPr>
              <w:pStyle w:val="cs2e86d3a6"/>
              <w:rPr>
                <w:rFonts w:ascii="Arial" w:hAnsi="Arial" w:cs="Arial"/>
                <w:sz w:val="20"/>
                <w:lang w:val="uk-UA"/>
              </w:rPr>
            </w:pPr>
            <w:r w:rsidRPr="00853A0E">
              <w:rPr>
                <w:rStyle w:val="csa16174ba15"/>
                <w:lang w:val="uk-UA"/>
              </w:rPr>
              <w:t>СТАЛО</w:t>
            </w:r>
          </w:p>
        </w:tc>
      </w:tr>
      <w:tr w:rsidR="00C40350" w:rsidRPr="00853A0E" w:rsidTr="0046634F">
        <w:trPr>
          <w:trHeight w:val="213"/>
        </w:trPr>
        <w:tc>
          <w:tcPr>
            <w:tcW w:w="4802" w:type="dxa"/>
            <w:tcMar>
              <w:top w:w="0" w:type="dxa"/>
              <w:left w:w="108" w:type="dxa"/>
              <w:bottom w:w="0" w:type="dxa"/>
              <w:right w:w="108" w:type="dxa"/>
            </w:tcMar>
            <w:hideMark/>
          </w:tcPr>
          <w:p w:rsidR="00C40350" w:rsidRPr="00853A0E" w:rsidRDefault="00C40350" w:rsidP="00853A0E">
            <w:pPr>
              <w:pStyle w:val="cs95e872d0"/>
              <w:rPr>
                <w:rFonts w:ascii="Arial" w:hAnsi="Arial" w:cs="Arial"/>
                <w:sz w:val="20"/>
                <w:lang w:val="uk-UA"/>
              </w:rPr>
            </w:pPr>
            <w:r w:rsidRPr="00853A0E">
              <w:rPr>
                <w:rStyle w:val="csa16174ba15"/>
                <w:lang w:val="uk-UA"/>
              </w:rPr>
              <w:t xml:space="preserve">к.м.н., заст. гол. лікаря Бардаков Г.Г. </w:t>
            </w:r>
          </w:p>
          <w:p w:rsidR="00C40350" w:rsidRPr="00853A0E" w:rsidRDefault="00C40350" w:rsidP="00853A0E">
            <w:pPr>
              <w:pStyle w:val="cs80d9435b"/>
              <w:rPr>
                <w:rFonts w:ascii="Arial" w:hAnsi="Arial" w:cs="Arial"/>
                <w:sz w:val="20"/>
                <w:lang w:val="uk-UA"/>
              </w:rPr>
            </w:pPr>
            <w:r w:rsidRPr="00853A0E">
              <w:rPr>
                <w:rStyle w:val="csa16174ba15"/>
                <w:lang w:val="uk-UA"/>
              </w:rPr>
              <w:t xml:space="preserve">Комунальне некомерційне підприємство «Чернігівський медичний центр сучасної онкології» Чернігівської обласної ради, </w:t>
            </w:r>
            <w:r w:rsidRPr="00853A0E">
              <w:rPr>
                <w:rStyle w:val="cs5e98e93015"/>
                <w:lang w:val="uk-UA"/>
              </w:rPr>
              <w:t>гінекологічне відділення</w:t>
            </w:r>
            <w:r w:rsidRPr="00853A0E">
              <w:rPr>
                <w:rStyle w:val="csa16174ba15"/>
                <w:lang w:val="uk-UA"/>
              </w:rPr>
              <w:t>, м. Чернігів</w:t>
            </w:r>
          </w:p>
        </w:tc>
        <w:tc>
          <w:tcPr>
            <w:tcW w:w="4802" w:type="dxa"/>
            <w:tcMar>
              <w:top w:w="0" w:type="dxa"/>
              <w:left w:w="108" w:type="dxa"/>
              <w:bottom w:w="0" w:type="dxa"/>
              <w:right w:w="108" w:type="dxa"/>
            </w:tcMar>
            <w:hideMark/>
          </w:tcPr>
          <w:p w:rsidR="00C40350" w:rsidRPr="00853A0E" w:rsidRDefault="00C40350" w:rsidP="00853A0E">
            <w:pPr>
              <w:pStyle w:val="csfeeeeb43"/>
              <w:rPr>
                <w:rFonts w:ascii="Arial" w:hAnsi="Arial" w:cs="Arial"/>
                <w:sz w:val="20"/>
                <w:lang w:val="uk-UA"/>
              </w:rPr>
            </w:pPr>
            <w:r w:rsidRPr="00853A0E">
              <w:rPr>
                <w:rStyle w:val="csa16174ba15"/>
                <w:lang w:val="uk-UA"/>
              </w:rPr>
              <w:t>к.м.н., медичний директор Бардаков Г.Г.</w:t>
            </w:r>
          </w:p>
          <w:p w:rsidR="00C40350" w:rsidRPr="00853A0E" w:rsidRDefault="00C40350" w:rsidP="00853A0E">
            <w:pPr>
              <w:pStyle w:val="cs80d9435b"/>
              <w:rPr>
                <w:rFonts w:ascii="Arial" w:hAnsi="Arial" w:cs="Arial"/>
                <w:sz w:val="20"/>
                <w:lang w:val="uk-UA"/>
              </w:rPr>
            </w:pPr>
            <w:r w:rsidRPr="00853A0E">
              <w:rPr>
                <w:rStyle w:val="csa16174ba15"/>
                <w:lang w:val="uk-UA"/>
              </w:rPr>
              <w:t xml:space="preserve">Комунальне некомерційне підприємство «Чернігівський медичний центр сучасної онкології» Чернігівської обласної ради, </w:t>
            </w:r>
            <w:r w:rsidRPr="00853A0E">
              <w:rPr>
                <w:rStyle w:val="cs5e98e93015"/>
                <w:lang w:val="uk-UA"/>
              </w:rPr>
              <w:t>відділення клінічної онкології на 60 ліжок</w:t>
            </w:r>
            <w:r w:rsidRPr="00853A0E">
              <w:rPr>
                <w:rStyle w:val="csa16174ba15"/>
                <w:lang w:val="uk-UA"/>
              </w:rPr>
              <w:t>,                  м. Чернігів</w:t>
            </w:r>
          </w:p>
        </w:tc>
      </w:tr>
    </w:tbl>
    <w:p w:rsidR="00C40350" w:rsidRPr="00853A0E" w:rsidRDefault="00C40350" w:rsidP="00853A0E">
      <w:pPr>
        <w:jc w:val="both"/>
        <w:rPr>
          <w:rFonts w:ascii="Arial" w:hAnsi="Arial" w:cs="Arial"/>
          <w:sz w:val="20"/>
          <w:szCs w:val="20"/>
          <w:lang w:val="uk-UA"/>
        </w:rPr>
      </w:pPr>
    </w:p>
    <w:sectPr w:rsidR="00C40350" w:rsidRPr="00853A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38" w:rsidRDefault="002B3DF8">
      <w:pPr>
        <w:rPr>
          <w:lang w:val="ru-RU"/>
        </w:rPr>
      </w:pPr>
      <w:r>
        <w:rPr>
          <w:lang w:val="ru-RU"/>
        </w:rPr>
        <w:separator/>
      </w:r>
    </w:p>
  </w:endnote>
  <w:endnote w:type="continuationSeparator" w:id="0">
    <w:p w:rsidR="009E0738" w:rsidRDefault="002B3DF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9E0738">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2B3DF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853A0E" w:rsidRPr="00853A0E">
      <w:rPr>
        <w:noProof/>
        <w:sz w:val="20"/>
        <w:szCs w:val="20"/>
        <w:lang w:val="ru-RU"/>
      </w:rPr>
      <w:t>4</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9E0738">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38" w:rsidRDefault="002B3DF8">
      <w:pPr>
        <w:rPr>
          <w:lang w:val="ru-RU"/>
        </w:rPr>
      </w:pPr>
      <w:r>
        <w:rPr>
          <w:lang w:val="ru-RU"/>
        </w:rPr>
        <w:separator/>
      </w:r>
    </w:p>
  </w:footnote>
  <w:footnote w:type="continuationSeparator" w:id="0">
    <w:p w:rsidR="009E0738" w:rsidRDefault="002B3DF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9E0738">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9E0738">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738" w:rsidRDefault="009E0738">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FF5D21"/>
    <w:multiLevelType w:val="multilevel"/>
    <w:tmpl w:val="EDEAC6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239"/>
    <w:rsid w:val="00094EFD"/>
    <w:rsid w:val="00275371"/>
    <w:rsid w:val="002829A2"/>
    <w:rsid w:val="00292239"/>
    <w:rsid w:val="002B3DF8"/>
    <w:rsid w:val="003A1BDC"/>
    <w:rsid w:val="004430C4"/>
    <w:rsid w:val="00555A8A"/>
    <w:rsid w:val="00574643"/>
    <w:rsid w:val="00583450"/>
    <w:rsid w:val="00853A0E"/>
    <w:rsid w:val="008C4BC7"/>
    <w:rsid w:val="009A30F8"/>
    <w:rsid w:val="009E0738"/>
    <w:rsid w:val="00B1304F"/>
    <w:rsid w:val="00C40350"/>
    <w:rsid w:val="00C56832"/>
    <w:rsid w:val="00CD2370"/>
    <w:rsid w:val="00D348DE"/>
    <w:rsid w:val="00E30D5E"/>
    <w:rsid w:val="00E86A92"/>
    <w:rsid w:val="00F46E68"/>
    <w:rsid w:val="00F62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7607BFFF"/>
  <w15:chartTrackingRefBased/>
  <w15:docId w15:val="{20777C3A-18B9-4AAA-B404-E35383C9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semiHidden/>
    <w:unhideWhenUsed/>
  </w:style>
  <w:style w:type="character" w:customStyle="1" w:styleId="a8">
    <w:name w:val="Основной текст Знак"/>
    <w:basedOn w:val="a0"/>
    <w:link w:val="a7"/>
    <w:semiHidden/>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styleId="ad">
    <w:name w:val="List Paragraph"/>
    <w:basedOn w:val="a"/>
    <w:uiPriority w:val="34"/>
    <w:qFormat/>
    <w:pPr>
      <w:ind w:left="720"/>
      <w:contextualSpacing/>
    </w:pPr>
  </w:style>
  <w:style w:type="paragraph" w:customStyle="1" w:styleId="21">
    <w:name w:val="заголовок 2"/>
    <w:basedOn w:val="a"/>
    <w:next w:val="a"/>
    <w:pPr>
      <w:keepNext/>
      <w:spacing w:line="360" w:lineRule="auto"/>
      <w:jc w:val="center"/>
    </w:pPr>
    <w:rPr>
      <w:b/>
      <w:bCs/>
      <w:sz w:val="28"/>
      <w:szCs w:val="28"/>
    </w:rPr>
  </w:style>
  <w:style w:type="character" w:customStyle="1" w:styleId="ae">
    <w:name w:val="Верхній колонтитул Знак"/>
    <w:basedOn w:val="a0"/>
    <w:link w:val="af"/>
    <w:locked/>
    <w:rPr>
      <w:sz w:val="24"/>
      <w:szCs w:val="24"/>
    </w:rPr>
  </w:style>
  <w:style w:type="paragraph" w:customStyle="1" w:styleId="af">
    <w:name w:val="Верхній колонтитул"/>
    <w:basedOn w:val="a"/>
    <w:link w:val="ae"/>
  </w:style>
  <w:style w:type="character" w:customStyle="1" w:styleId="af0">
    <w:name w:val="Нижній колонтитул Знак"/>
    <w:basedOn w:val="a0"/>
    <w:link w:val="af1"/>
    <w:uiPriority w:val="99"/>
    <w:locked/>
    <w:rPr>
      <w:sz w:val="24"/>
      <w:szCs w:val="24"/>
    </w:rPr>
  </w:style>
  <w:style w:type="paragraph" w:customStyle="1" w:styleId="af1">
    <w:name w:val="Нижній колонтитул"/>
    <w:basedOn w:val="a"/>
    <w:link w:val="af0"/>
  </w:style>
  <w:style w:type="character" w:customStyle="1" w:styleId="af2">
    <w:name w:val="Основний текст Знак"/>
    <w:basedOn w:val="a0"/>
    <w:link w:val="af3"/>
    <w:semiHidden/>
    <w:locked/>
    <w:rPr>
      <w:sz w:val="24"/>
      <w:szCs w:val="24"/>
    </w:rPr>
  </w:style>
  <w:style w:type="paragraph" w:customStyle="1" w:styleId="af3">
    <w:name w:val="Основний текст"/>
    <w:basedOn w:val="a"/>
    <w:link w:val="af2"/>
  </w:style>
  <w:style w:type="character" w:customStyle="1" w:styleId="22">
    <w:name w:val="Основний текст 2 Знак"/>
    <w:basedOn w:val="a0"/>
    <w:link w:val="23"/>
    <w:semiHidden/>
    <w:locked/>
    <w:rPr>
      <w:sz w:val="24"/>
      <w:szCs w:val="24"/>
    </w:rPr>
  </w:style>
  <w:style w:type="paragraph" w:customStyle="1" w:styleId="23">
    <w:name w:val="Основний текст 2"/>
    <w:basedOn w:val="a"/>
    <w:link w:val="22"/>
  </w:style>
  <w:style w:type="character" w:customStyle="1" w:styleId="af4">
    <w:name w:val="Текст у виносці Знак"/>
    <w:basedOn w:val="a0"/>
    <w:link w:val="af5"/>
    <w:semiHidden/>
    <w:locked/>
    <w:rPr>
      <w:rFonts w:ascii="Segoe UI" w:hAnsi="Segoe UI" w:cs="Segoe UI" w:hint="default"/>
      <w:sz w:val="18"/>
      <w:szCs w:val="18"/>
    </w:rPr>
  </w:style>
  <w:style w:type="paragraph" w:customStyle="1" w:styleId="af5">
    <w:name w:val="Текст у виносці"/>
    <w:basedOn w:val="a"/>
    <w:link w:val="af4"/>
  </w:style>
  <w:style w:type="character" w:customStyle="1" w:styleId="st1">
    <w:name w:val="st1"/>
    <w:basedOn w:val="a0"/>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7">
    <w:name w:val="Звичайна таблиця"/>
    <w:uiPriority w:val="99"/>
    <w:semiHidden/>
    <w:tblPr>
      <w:tblCellMar>
        <w:top w:w="0" w:type="dxa"/>
        <w:left w:w="108" w:type="dxa"/>
        <w:bottom w:w="0" w:type="dxa"/>
        <w:right w:w="108" w:type="dxa"/>
      </w:tblCellMar>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5e98e9301">
    <w:name w:val="cs5e98e9301"/>
    <w:basedOn w:val="a0"/>
    <w:rPr>
      <w:rFonts w:ascii="Arial" w:hAnsi="Arial" w:cs="Arial" w:hint="default"/>
      <w:b/>
      <w:bCs/>
      <w:i w:val="0"/>
      <w:iCs w:val="0"/>
      <w:color w:val="000000"/>
      <w:sz w:val="20"/>
      <w:szCs w:val="20"/>
      <w:shd w:val="clear" w:color="auto" w:fill="auto"/>
    </w:rPr>
  </w:style>
  <w:style w:type="character" w:customStyle="1" w:styleId="csa16174ba1">
    <w:name w:val="csa16174ba1"/>
    <w:basedOn w:val="a0"/>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5e98e9302">
    <w:name w:val="cs5e98e9302"/>
    <w:basedOn w:val="a0"/>
    <w:rPr>
      <w:rFonts w:ascii="Arial" w:hAnsi="Arial" w:cs="Arial" w:hint="default"/>
      <w:b/>
      <w:bCs/>
      <w:i w:val="0"/>
      <w:iCs w:val="0"/>
      <w:color w:val="000000"/>
      <w:sz w:val="20"/>
      <w:szCs w:val="20"/>
      <w:shd w:val="clear" w:color="auto" w:fill="auto"/>
    </w:rPr>
  </w:style>
  <w:style w:type="character" w:customStyle="1" w:styleId="csa16174ba2">
    <w:name w:val="csa16174ba2"/>
    <w:basedOn w:val="a0"/>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5e98e9303">
    <w:name w:val="cs5e98e9303"/>
    <w:basedOn w:val="a0"/>
    <w:rPr>
      <w:rFonts w:ascii="Arial" w:hAnsi="Arial" w:cs="Arial" w:hint="default"/>
      <w:b/>
      <w:bCs/>
      <w:i w:val="0"/>
      <w:iCs w:val="0"/>
      <w:color w:val="000000"/>
      <w:sz w:val="20"/>
      <w:szCs w:val="20"/>
      <w:shd w:val="clear" w:color="auto" w:fill="auto"/>
    </w:rPr>
  </w:style>
  <w:style w:type="character" w:customStyle="1" w:styleId="csa16174ba3">
    <w:name w:val="csa16174ba3"/>
    <w:basedOn w:val="a0"/>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5e98e9304">
    <w:name w:val="cs5e98e9304"/>
    <w:basedOn w:val="a0"/>
    <w:rPr>
      <w:rFonts w:ascii="Arial" w:hAnsi="Arial" w:cs="Arial" w:hint="default"/>
      <w:b/>
      <w:bCs/>
      <w:i w:val="0"/>
      <w:iCs w:val="0"/>
      <w:color w:val="000000"/>
      <w:sz w:val="20"/>
      <w:szCs w:val="20"/>
      <w:shd w:val="clear" w:color="auto" w:fill="auto"/>
    </w:rPr>
  </w:style>
  <w:style w:type="character" w:customStyle="1" w:styleId="csa16174ba4">
    <w:name w:val="csa16174ba4"/>
    <w:basedOn w:val="a0"/>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0"/>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f23055b4">
    <w:name w:val="csf23055b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1d97196">
    <w:name w:val="csa1d9719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paragraph" w:customStyle="1" w:styleId="csfeeeeb43">
    <w:name w:val="csfeeeeb43"/>
    <w:basedOn w:val="a"/>
    <w:rPr>
      <w:rFonts w:eastAsiaTheme="minorEastAsia"/>
    </w:rPr>
  </w:style>
  <w:style w:type="character" w:customStyle="1" w:styleId="cs80d9435b5">
    <w:name w:val="cs80d9435b5"/>
    <w:basedOn w:val="a0"/>
  </w:style>
  <w:style w:type="character" w:customStyle="1" w:styleId="cs5e98e9305">
    <w:name w:val="cs5e98e9305"/>
    <w:basedOn w:val="a0"/>
    <w:rPr>
      <w:rFonts w:ascii="Arial" w:hAnsi="Arial" w:cs="Arial" w:hint="default"/>
      <w:b/>
      <w:bCs/>
      <w:i w:val="0"/>
      <w:iCs w:val="0"/>
      <w:color w:val="000000"/>
      <w:sz w:val="20"/>
      <w:szCs w:val="20"/>
      <w:shd w:val="clear" w:color="auto" w:fill="auto"/>
    </w:rPr>
  </w:style>
  <w:style w:type="character" w:customStyle="1" w:styleId="csa16174ba5">
    <w:name w:val="csa16174ba5"/>
    <w:basedOn w:val="a0"/>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0"/>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e3d6b4d0">
    <w:name w:val="cse3d6b4d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663daf0e">
    <w:name w:val="cs663daf0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40822210">
    <w:name w:val="cs4082221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6">
    <w:name w:val="cs80d9435b6"/>
    <w:basedOn w:val="a0"/>
  </w:style>
  <w:style w:type="character" w:customStyle="1" w:styleId="cs5e98e9306">
    <w:name w:val="cs5e98e9306"/>
    <w:basedOn w:val="a0"/>
    <w:rPr>
      <w:rFonts w:ascii="Arial" w:hAnsi="Arial" w:cs="Arial" w:hint="default"/>
      <w:b/>
      <w:bCs/>
      <w:i w:val="0"/>
      <w:iCs w:val="0"/>
      <w:color w:val="000000"/>
      <w:sz w:val="20"/>
      <w:szCs w:val="20"/>
      <w:shd w:val="clear" w:color="auto" w:fill="auto"/>
    </w:rPr>
  </w:style>
  <w:style w:type="character" w:customStyle="1" w:styleId="csa16174ba6">
    <w:name w:val="csa16174ba6"/>
    <w:basedOn w:val="a0"/>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5e98e9307">
    <w:name w:val="cs5e98e9307"/>
    <w:basedOn w:val="a0"/>
    <w:rPr>
      <w:rFonts w:ascii="Arial" w:hAnsi="Arial" w:cs="Arial" w:hint="default"/>
      <w:b/>
      <w:bCs/>
      <w:i w:val="0"/>
      <w:iCs w:val="0"/>
      <w:color w:val="000000"/>
      <w:sz w:val="20"/>
      <w:szCs w:val="20"/>
      <w:shd w:val="clear" w:color="auto" w:fill="auto"/>
    </w:rPr>
  </w:style>
  <w:style w:type="character" w:customStyle="1" w:styleId="csa16174ba7">
    <w:name w:val="csa16174ba7"/>
    <w:basedOn w:val="a0"/>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5e98e9308">
    <w:name w:val="cs5e98e9308"/>
    <w:basedOn w:val="a0"/>
    <w:rPr>
      <w:rFonts w:ascii="Arial" w:hAnsi="Arial" w:cs="Arial" w:hint="default"/>
      <w:b/>
      <w:bCs/>
      <w:i w:val="0"/>
      <w:iCs w:val="0"/>
      <w:color w:val="000000"/>
      <w:sz w:val="20"/>
      <w:szCs w:val="20"/>
      <w:shd w:val="clear" w:color="auto" w:fill="auto"/>
    </w:rPr>
  </w:style>
  <w:style w:type="character" w:customStyle="1" w:styleId="csa16174ba8">
    <w:name w:val="csa16174ba8"/>
    <w:basedOn w:val="a0"/>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0"/>
    <w:rPr>
      <w:rFonts w:ascii="Arial" w:hAnsi="Arial" w:cs="Arial" w:hint="default"/>
      <w:b/>
      <w:bCs/>
      <w:i/>
      <w:iCs/>
      <w:color w:val="000000"/>
      <w:sz w:val="20"/>
      <w:szCs w:val="20"/>
      <w:shd w:val="clear" w:color="auto" w:fill="auto"/>
    </w:rPr>
  </w:style>
  <w:style w:type="character" w:customStyle="1" w:styleId="cs80d9435b9">
    <w:name w:val="cs80d9435b9"/>
    <w:basedOn w:val="a0"/>
  </w:style>
  <w:style w:type="character" w:customStyle="1" w:styleId="cs5e98e9309">
    <w:name w:val="cs5e98e9309"/>
    <w:basedOn w:val="a0"/>
    <w:rPr>
      <w:rFonts w:ascii="Arial" w:hAnsi="Arial" w:cs="Arial" w:hint="default"/>
      <w:b/>
      <w:bCs/>
      <w:i w:val="0"/>
      <w:iCs w:val="0"/>
      <w:color w:val="000000"/>
      <w:sz w:val="20"/>
      <w:szCs w:val="20"/>
      <w:shd w:val="clear" w:color="auto" w:fill="auto"/>
    </w:rPr>
  </w:style>
  <w:style w:type="character" w:customStyle="1" w:styleId="csa16174ba9">
    <w:name w:val="csa16174ba9"/>
    <w:basedOn w:val="a0"/>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0"/>
    <w:rPr>
      <w:rFonts w:ascii="Arial" w:hAnsi="Arial" w:cs="Arial" w:hint="default"/>
      <w:b/>
      <w:bCs/>
      <w:i/>
      <w:iCs/>
      <w:color w:val="000000"/>
      <w:sz w:val="20"/>
      <w:szCs w:val="20"/>
      <w:shd w:val="clear" w:color="auto" w:fill="auto"/>
    </w:rPr>
  </w:style>
  <w:style w:type="character" w:customStyle="1" w:styleId="cs80d9435b10">
    <w:name w:val="cs80d9435b10"/>
    <w:basedOn w:val="a0"/>
  </w:style>
  <w:style w:type="character" w:customStyle="1" w:styleId="cs5e98e93010">
    <w:name w:val="cs5e98e93010"/>
    <w:basedOn w:val="a0"/>
    <w:rPr>
      <w:rFonts w:ascii="Arial" w:hAnsi="Arial" w:cs="Arial" w:hint="default"/>
      <w:b/>
      <w:bCs/>
      <w:i w:val="0"/>
      <w:iCs w:val="0"/>
      <w:color w:val="000000"/>
      <w:sz w:val="20"/>
      <w:szCs w:val="20"/>
      <w:shd w:val="clear" w:color="auto" w:fill="auto"/>
    </w:rPr>
  </w:style>
  <w:style w:type="character" w:customStyle="1" w:styleId="csa16174ba10">
    <w:name w:val="csa16174ba10"/>
    <w:basedOn w:val="a0"/>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0"/>
    <w:rPr>
      <w:rFonts w:ascii="Arial" w:hAnsi="Arial" w:cs="Arial" w:hint="default"/>
      <w:b/>
      <w:bCs/>
      <w:i/>
      <w:iCs/>
      <w:color w:val="000000"/>
      <w:sz w:val="20"/>
      <w:szCs w:val="20"/>
      <w:shd w:val="clear" w:color="auto" w:fill="auto"/>
    </w:rPr>
  </w:style>
  <w:style w:type="character" w:customStyle="1" w:styleId="cs80d9435b11">
    <w:name w:val="cs80d9435b11"/>
    <w:basedOn w:val="a0"/>
  </w:style>
  <w:style w:type="character" w:customStyle="1" w:styleId="cs5e98e93011">
    <w:name w:val="cs5e98e93011"/>
    <w:basedOn w:val="a0"/>
    <w:rPr>
      <w:rFonts w:ascii="Arial" w:hAnsi="Arial" w:cs="Arial" w:hint="default"/>
      <w:b/>
      <w:bCs/>
      <w:i w:val="0"/>
      <w:iCs w:val="0"/>
      <w:color w:val="000000"/>
      <w:sz w:val="20"/>
      <w:szCs w:val="20"/>
      <w:shd w:val="clear" w:color="auto" w:fill="auto"/>
    </w:rPr>
  </w:style>
  <w:style w:type="character" w:customStyle="1" w:styleId="csa16174ba11">
    <w:name w:val="csa16174ba11"/>
    <w:basedOn w:val="a0"/>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0"/>
    <w:rPr>
      <w:rFonts w:ascii="Arial" w:hAnsi="Arial" w:cs="Arial" w:hint="default"/>
      <w:b/>
      <w:bCs/>
      <w:i/>
      <w:iCs/>
      <w:color w:val="000000"/>
      <w:sz w:val="20"/>
      <w:szCs w:val="20"/>
      <w:shd w:val="clear" w:color="auto" w:fill="auto"/>
    </w:rPr>
  </w:style>
  <w:style w:type="character" w:customStyle="1" w:styleId="cs80d9435b12">
    <w:name w:val="cs80d9435b12"/>
    <w:basedOn w:val="a0"/>
  </w:style>
  <w:style w:type="character" w:customStyle="1" w:styleId="cs5e98e93012">
    <w:name w:val="cs5e98e93012"/>
    <w:basedOn w:val="a0"/>
    <w:rPr>
      <w:rFonts w:ascii="Arial" w:hAnsi="Arial" w:cs="Arial" w:hint="default"/>
      <w:b/>
      <w:bCs/>
      <w:i w:val="0"/>
      <w:iCs w:val="0"/>
      <w:color w:val="000000"/>
      <w:sz w:val="20"/>
      <w:szCs w:val="20"/>
      <w:shd w:val="clear" w:color="auto" w:fill="auto"/>
    </w:rPr>
  </w:style>
  <w:style w:type="character" w:customStyle="1" w:styleId="csa16174ba12">
    <w:name w:val="csa16174ba12"/>
    <w:basedOn w:val="a0"/>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0"/>
    <w:rPr>
      <w:rFonts w:ascii="Arial" w:hAnsi="Arial" w:cs="Arial" w:hint="default"/>
      <w:b/>
      <w:bCs/>
      <w:i/>
      <w:iCs/>
      <w:color w:val="000000"/>
      <w:sz w:val="20"/>
      <w:szCs w:val="20"/>
      <w:shd w:val="clear" w:color="auto" w:fill="auto"/>
    </w:rPr>
  </w:style>
  <w:style w:type="character" w:customStyle="1" w:styleId="cs80d9435b13">
    <w:name w:val="cs80d9435b13"/>
    <w:basedOn w:val="a0"/>
  </w:style>
  <w:style w:type="character" w:customStyle="1" w:styleId="cs5e98e93013">
    <w:name w:val="cs5e98e93013"/>
    <w:basedOn w:val="a0"/>
    <w:rPr>
      <w:rFonts w:ascii="Arial" w:hAnsi="Arial" w:cs="Arial" w:hint="default"/>
      <w:b/>
      <w:bCs/>
      <w:i w:val="0"/>
      <w:iCs w:val="0"/>
      <w:color w:val="000000"/>
      <w:sz w:val="20"/>
      <w:szCs w:val="20"/>
      <w:shd w:val="clear" w:color="auto" w:fill="auto"/>
    </w:rPr>
  </w:style>
  <w:style w:type="character" w:customStyle="1" w:styleId="csa16174ba13">
    <w:name w:val="csa16174ba13"/>
    <w:basedOn w:val="a0"/>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0"/>
    <w:rPr>
      <w:rFonts w:ascii="Arial" w:hAnsi="Arial" w:cs="Arial" w:hint="default"/>
      <w:b/>
      <w:bCs/>
      <w:i/>
      <w:iCs/>
      <w:color w:val="000000"/>
      <w:sz w:val="20"/>
      <w:szCs w:val="20"/>
      <w:shd w:val="clear" w:color="auto" w:fill="auto"/>
    </w:rPr>
  </w:style>
  <w:style w:type="paragraph" w:customStyle="1" w:styleId="cs790afce">
    <w:name w:val="cs790afce"/>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0a01058">
    <w:name w:val="cs90a0105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4">
    <w:name w:val="cs80d9435b14"/>
    <w:basedOn w:val="a0"/>
  </w:style>
  <w:style w:type="character" w:customStyle="1" w:styleId="cs5e98e93014">
    <w:name w:val="cs5e98e93014"/>
    <w:basedOn w:val="a0"/>
    <w:rPr>
      <w:rFonts w:ascii="Arial" w:hAnsi="Arial" w:cs="Arial" w:hint="default"/>
      <w:b/>
      <w:bCs/>
      <w:i w:val="0"/>
      <w:iCs w:val="0"/>
      <w:color w:val="000000"/>
      <w:sz w:val="20"/>
      <w:szCs w:val="20"/>
      <w:shd w:val="clear" w:color="auto" w:fill="auto"/>
    </w:rPr>
  </w:style>
  <w:style w:type="character" w:customStyle="1" w:styleId="csa16174ba14">
    <w:name w:val="csa16174ba14"/>
    <w:basedOn w:val="a0"/>
    <w:rPr>
      <w:rFonts w:ascii="Arial" w:hAnsi="Arial" w:cs="Arial" w:hint="default"/>
      <w:b w:val="0"/>
      <w:bCs w:val="0"/>
      <w:i w:val="0"/>
      <w:iCs w:val="0"/>
      <w:color w:val="000000"/>
      <w:sz w:val="20"/>
      <w:szCs w:val="20"/>
      <w:shd w:val="clear" w:color="auto" w:fill="auto"/>
    </w:rPr>
  </w:style>
  <w:style w:type="character" w:customStyle="1" w:styleId="cs7f95de6814">
    <w:name w:val="cs7f95de6814"/>
    <w:basedOn w:val="a0"/>
    <w:rPr>
      <w:rFonts w:ascii="Arial" w:hAnsi="Arial" w:cs="Arial" w:hint="default"/>
      <w:b/>
      <w:bCs/>
      <w:i/>
      <w:iCs/>
      <w:color w:val="000000"/>
      <w:sz w:val="20"/>
      <w:szCs w:val="20"/>
      <w:shd w:val="clear" w:color="auto" w:fill="auto"/>
    </w:rPr>
  </w:style>
  <w:style w:type="paragraph" w:customStyle="1" w:styleId="csa5a47a54">
    <w:name w:val="csa5a47a54"/>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a9f01393">
    <w:name w:val="csa9f01393"/>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5">
    <w:name w:val="cs80d9435b15"/>
    <w:basedOn w:val="a0"/>
  </w:style>
  <w:style w:type="character" w:customStyle="1" w:styleId="cs5e98e93015">
    <w:name w:val="cs5e98e93015"/>
    <w:basedOn w:val="a0"/>
    <w:rPr>
      <w:rFonts w:ascii="Arial" w:hAnsi="Arial" w:cs="Arial" w:hint="default"/>
      <w:b/>
      <w:bCs/>
      <w:i w:val="0"/>
      <w:iCs w:val="0"/>
      <w:color w:val="000000"/>
      <w:sz w:val="20"/>
      <w:szCs w:val="20"/>
      <w:shd w:val="clear" w:color="auto" w:fill="auto"/>
    </w:rPr>
  </w:style>
  <w:style w:type="character" w:customStyle="1" w:styleId="csa16174ba15">
    <w:name w:val="csa16174ba15"/>
    <w:basedOn w:val="a0"/>
    <w:rPr>
      <w:rFonts w:ascii="Arial" w:hAnsi="Arial" w:cs="Arial" w:hint="default"/>
      <w:b w:val="0"/>
      <w:bCs w:val="0"/>
      <w:i w:val="0"/>
      <w:iCs w:val="0"/>
      <w:color w:val="000000"/>
      <w:sz w:val="20"/>
      <w:szCs w:val="20"/>
      <w:shd w:val="clear" w:color="auto" w:fill="auto"/>
    </w:rPr>
  </w:style>
  <w:style w:type="character" w:customStyle="1" w:styleId="cs7f95de6815">
    <w:name w:val="cs7f95de6815"/>
    <w:basedOn w:val="a0"/>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FCE00-612A-497C-8A48-7147906D0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1797</Words>
  <Characters>12268</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14037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2024-08-07T07:58:00Z</cp:lastPrinted>
  <dcterms:created xsi:type="dcterms:W3CDTF">2024-08-07T13:18:00Z</dcterms:created>
  <dcterms:modified xsi:type="dcterms:W3CDTF">2024-08-07T13:18:00Z</dcterms:modified>
</cp:coreProperties>
</file>