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C2" w:rsidRPr="002F3B0C" w:rsidRDefault="002F3B0C" w:rsidP="002F3B0C">
      <w:pPr>
        <w:pStyle w:val="a5"/>
        <w:ind w:right="-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DC09C2" w:rsidRPr="002F3B0C">
        <w:rPr>
          <w:rFonts w:ascii="Arial" w:hAnsi="Arial" w:cs="Arial"/>
          <w:b/>
          <w:sz w:val="20"/>
          <w:szCs w:val="20"/>
        </w:rPr>
        <w:t>Додаток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C09C2" w:rsidRPr="002F3B0C">
        <w:rPr>
          <w:rFonts w:ascii="Arial" w:hAnsi="Arial" w:cs="Arial"/>
          <w:b/>
          <w:sz w:val="20"/>
          <w:szCs w:val="20"/>
        </w:rPr>
        <w:t>1</w:t>
      </w:r>
    </w:p>
    <w:p w:rsidR="00DC09C2" w:rsidRPr="002F3B0C" w:rsidRDefault="00DC09C2" w:rsidP="002F3B0C">
      <w:pPr>
        <w:pStyle w:val="a5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DC09C2" w:rsidRPr="002F3B0C" w:rsidRDefault="00DC09C2" w:rsidP="002F3B0C">
      <w:pPr>
        <w:pStyle w:val="a5"/>
        <w:ind w:right="-5"/>
        <w:jc w:val="both"/>
        <w:rPr>
          <w:rFonts w:ascii="Arial" w:hAnsi="Arial" w:cs="Arial"/>
          <w:b/>
          <w:sz w:val="20"/>
          <w:szCs w:val="20"/>
        </w:rPr>
      </w:pPr>
      <w:r w:rsidRPr="002F3B0C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 розглянутих на засіданні НТР № 33 від 05.09.24, на які були отрима</w:t>
      </w:r>
      <w:r w:rsidR="002F3B0C">
        <w:rPr>
          <w:rFonts w:ascii="Arial" w:hAnsi="Arial" w:cs="Arial"/>
          <w:b/>
          <w:sz w:val="20"/>
          <w:szCs w:val="20"/>
        </w:rPr>
        <w:t>ні позитивні висновки експертів</w:t>
      </w:r>
      <w:r w:rsidRPr="002F3B0C">
        <w:rPr>
          <w:rFonts w:ascii="Arial" w:hAnsi="Arial" w:cs="Arial"/>
          <w:b/>
          <w:sz w:val="20"/>
          <w:szCs w:val="20"/>
        </w:rPr>
        <w:t>»</w:t>
      </w:r>
    </w:p>
    <w:p w:rsidR="00DC09C2" w:rsidRPr="002F3B0C" w:rsidRDefault="00DC09C2" w:rsidP="002F3B0C">
      <w:pPr>
        <w:pStyle w:val="a5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37051A" w:rsidRPr="002F3B0C" w:rsidRDefault="0037051A" w:rsidP="002F3B0C">
      <w:pPr>
        <w:pStyle w:val="a5"/>
        <w:ind w:right="-5"/>
        <w:jc w:val="both"/>
        <w:rPr>
          <w:rFonts w:ascii="Arial" w:hAnsi="Arial" w:cs="Arial"/>
          <w:sz w:val="20"/>
          <w:szCs w:val="20"/>
        </w:rPr>
      </w:pPr>
    </w:p>
    <w:p w:rsidR="00DC09C2" w:rsidRPr="002F3B0C" w:rsidRDefault="00DC09C2" w:rsidP="002F3B0C">
      <w:pPr>
        <w:jc w:val="both"/>
        <w:rPr>
          <w:rFonts w:ascii="Arial" w:hAnsi="Arial" w:cs="Arial"/>
          <w:sz w:val="20"/>
        </w:rPr>
      </w:pPr>
      <w:r w:rsidRPr="002F3B0C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E61FA9" w:rsidRPr="002F3B0C">
        <w:rPr>
          <w:rStyle w:val="cs5e98e9301"/>
        </w:rPr>
        <w:t xml:space="preserve">Залучення додаткових місць проведення клінічного випробування; Збільшення запланованої кількості пацієнтів для України з 120 скринованих пацієнтів до 150 скринованих пацієнтів; Продовження тривалості клінічного випробування в Україні до 31 грудня 2024 року; Оновлені розділи досьє досліджуваного лікарського засобу PG 20, CPL500036 10 mg HARD CAPSULES, частина S, версія 2 від 20.03.2024: 2.1.S.2 General Information; 2.1.S.3 Characterisation, 2.1.S.4 Control of the Drug Substance, 2.1.S.5 Referense Standards or Materials, 2.1.S.7 Stability; Подовження терміну придатності лікарської субстанції (АФІ) до 36 місяців </w:t>
      </w:r>
      <w:r w:rsidR="00E61FA9" w:rsidRPr="002F3B0C">
        <w:rPr>
          <w:rStyle w:val="csa16174ba1"/>
        </w:rPr>
        <w:t xml:space="preserve">до протоколу клінічного дослідження «Фаза II, подвійне сліпе, рандомізоване, плацебо контрольоване, у паралельних групах, дослідження з метою вивчення потенційних антидискінетичних властивостей </w:t>
      </w:r>
      <w:r w:rsidR="00E61FA9" w:rsidRPr="002F3B0C">
        <w:rPr>
          <w:rStyle w:val="cs5e98e9301"/>
        </w:rPr>
        <w:t>CPL500036</w:t>
      </w:r>
      <w:r w:rsidR="00E61FA9" w:rsidRPr="002F3B0C">
        <w:rPr>
          <w:rStyle w:val="csa16174ba1"/>
        </w:rPr>
        <w:t xml:space="preserve"> (інгібітор PDE10A) у пацієнтів із хворобою Паркінсона, які страждають від дискінезії, спричиненої Леводопою», код дослідження </w:t>
      </w:r>
      <w:r w:rsidR="00E61FA9" w:rsidRPr="002F3B0C">
        <w:rPr>
          <w:rStyle w:val="cs5e98e9301"/>
        </w:rPr>
        <w:t>03PDE2020</w:t>
      </w:r>
      <w:r w:rsidR="00E61FA9" w:rsidRPr="002F3B0C">
        <w:rPr>
          <w:rStyle w:val="csa16174ba1"/>
        </w:rPr>
        <w:t>, версія 2.1 від 08 вересня 2023 року; спонсор - Celon Pharma S.A, Польща</w:t>
      </w:r>
      <w:r w:rsidRPr="002F3B0C">
        <w:rPr>
          <w:rFonts w:ascii="Arial" w:hAnsi="Arial" w:cs="Arial"/>
          <w:sz w:val="20"/>
          <w:szCs w:val="20"/>
        </w:rPr>
        <w:cr/>
        <w:t>Заявник</w:t>
      </w:r>
      <w:r w:rsidR="00E61FA9" w:rsidRPr="002F3B0C">
        <w:rPr>
          <w:rFonts w:ascii="Arial" w:hAnsi="Arial" w:cs="Arial"/>
          <w:sz w:val="20"/>
          <w:szCs w:val="20"/>
        </w:rPr>
        <w:t xml:space="preserve"> - ТОВ «СТ АКАДЕМІЯ», Україна</w:t>
      </w:r>
    </w:p>
    <w:p w:rsidR="00DC09C2" w:rsidRPr="002F3B0C" w:rsidRDefault="00DC09C2" w:rsidP="002F3B0C">
      <w:pPr>
        <w:rPr>
          <w:rFonts w:ascii="Arial" w:hAnsi="Arial" w:cs="Arial"/>
          <w:sz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084"/>
      </w:tblGrid>
      <w:tr w:rsidR="00DC09C2" w:rsidRPr="002F3B0C" w:rsidTr="00C153F9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№ п/п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П.І.Б. відповідального дослідника</w:t>
            </w:r>
          </w:p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DC09C2" w:rsidRPr="002F3B0C" w:rsidTr="00C153F9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1.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д.м.н., проф. Карабань І.М.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Державна установа «Інститут геронтології імені Д.Ф. Чеботарьова Національної академії медичних наук України», відділ клінічної фізіології та патології екстрапірамідної нервової системи, м. Київ</w:t>
            </w:r>
          </w:p>
        </w:tc>
      </w:tr>
      <w:tr w:rsidR="00DC09C2" w:rsidRPr="002F3B0C" w:rsidTr="00C153F9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2.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зав. від., к.м.н. Старовойтова Г.О.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Комунальне некомерційне підприємство «Черкаська обласна лікарня Черкаської обласної ради», Обласний центр екстрапірамідних захворювань, м. Черкаси</w:t>
            </w:r>
          </w:p>
        </w:tc>
      </w:tr>
      <w:tr w:rsidR="00DC09C2" w:rsidRPr="002F3B0C" w:rsidTr="00C153F9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3.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д.м.н., проф. Слободін Т.М.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Відділення Товариства з обмеженою відповідальністю «Медичний центр «Добробут-Поліклініка» «Лікувально-діагностичний центр «Добробут», неврологічне відділення стаціонару, м. Київ</w:t>
            </w:r>
          </w:p>
        </w:tc>
      </w:tr>
      <w:tr w:rsidR="00DC09C2" w:rsidRPr="002F3B0C" w:rsidTr="00C153F9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4.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д.м.н., проф. Дельва М.Ю.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1"/>
              </w:rPr>
              <w:t>Комунальне підприємство «Полтавська обласна клінічна лікарня ім. М.В. Скліфосовського Полтавської обласної ради», неврологічне відділення, Полтавський державний медичний університет, кафедра нервових хвороб, м. Полтава</w:t>
            </w:r>
          </w:p>
        </w:tc>
      </w:tr>
    </w:tbl>
    <w:p w:rsidR="0037051A" w:rsidRPr="002F3B0C" w:rsidRDefault="0037051A" w:rsidP="002F3B0C">
      <w:pPr>
        <w:jc w:val="both"/>
        <w:rPr>
          <w:rFonts w:ascii="Arial" w:hAnsi="Arial" w:cs="Arial"/>
          <w:sz w:val="20"/>
          <w:szCs w:val="20"/>
        </w:rPr>
      </w:pPr>
    </w:p>
    <w:p w:rsidR="00DC09C2" w:rsidRPr="002F3B0C" w:rsidRDefault="00DC09C2" w:rsidP="002F3B0C">
      <w:pPr>
        <w:rPr>
          <w:rStyle w:val="cs80d9435b2"/>
          <w:rFonts w:ascii="Arial" w:hAnsi="Arial" w:cs="Arial"/>
          <w:b/>
          <w:sz w:val="20"/>
          <w:szCs w:val="20"/>
        </w:rPr>
      </w:pPr>
    </w:p>
    <w:p w:rsidR="00DC09C2" w:rsidRPr="002F3B0C" w:rsidRDefault="00DC09C2" w:rsidP="002F3B0C">
      <w:pPr>
        <w:jc w:val="both"/>
        <w:rPr>
          <w:rFonts w:ascii="Arial" w:hAnsi="Arial" w:cs="Arial"/>
          <w:sz w:val="20"/>
        </w:rPr>
      </w:pPr>
      <w:r w:rsidRPr="002F3B0C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E61FA9" w:rsidRPr="002F3B0C">
        <w:rPr>
          <w:rStyle w:val="cs5e98e9302"/>
        </w:rPr>
        <w:t>Зміна назви місця проведення випробування; Зміна відповідального дослідника у місці проведення випробування; Зміна місця проведення клінічного випробування та відповідального дослідника</w:t>
      </w:r>
      <w:r w:rsidR="00E61FA9" w:rsidRPr="002F3B0C">
        <w:rPr>
          <w:rStyle w:val="csa16174ba2"/>
        </w:rPr>
        <w:t xml:space="preserve"> до протоколу клінічного дослідження «Багатоцентрове, відкрите, довготривале подовжене дослідження для оцінки безпечності та ефективності застосування </w:t>
      </w:r>
      <w:r w:rsidR="00E61FA9" w:rsidRPr="002F3B0C">
        <w:rPr>
          <w:rStyle w:val="cs5e98e9302"/>
        </w:rPr>
        <w:t>філготінібу</w:t>
      </w:r>
      <w:r w:rsidR="00E61FA9" w:rsidRPr="002F3B0C">
        <w:rPr>
          <w:rStyle w:val="csa16174ba2"/>
        </w:rPr>
        <w:t xml:space="preserve"> в пацієнтів із ревматоїдним артритом», код дослідження </w:t>
      </w:r>
      <w:r w:rsidR="00E61FA9" w:rsidRPr="002F3B0C">
        <w:rPr>
          <w:rStyle w:val="cs5e98e9302"/>
        </w:rPr>
        <w:t>GS-US-417-0304</w:t>
      </w:r>
      <w:r w:rsidR="00E61FA9" w:rsidRPr="002F3B0C">
        <w:rPr>
          <w:rStyle w:val="csa16174ba2"/>
        </w:rPr>
        <w:t>, поправка 8 від 30 червня 2023 року; спонсор - Galapagos NV, Бельгія</w:t>
      </w:r>
      <w:r w:rsidRPr="002F3B0C">
        <w:rPr>
          <w:rFonts w:ascii="Arial" w:hAnsi="Arial" w:cs="Arial"/>
          <w:sz w:val="20"/>
          <w:szCs w:val="20"/>
        </w:rPr>
        <w:cr/>
        <w:t>Заявник</w:t>
      </w:r>
      <w:r w:rsidR="00E61FA9" w:rsidRPr="002F3B0C">
        <w:rPr>
          <w:rFonts w:ascii="Arial" w:hAnsi="Arial" w:cs="Arial"/>
          <w:sz w:val="20"/>
          <w:szCs w:val="20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DC09C2" w:rsidRPr="002F3B0C" w:rsidRDefault="00DC09C2" w:rsidP="002F3B0C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DC09C2" w:rsidRPr="002F3B0C" w:rsidTr="00C153F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2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2"/>
              </w:rPr>
              <w:t>СТАЛО</w:t>
            </w:r>
          </w:p>
        </w:tc>
      </w:tr>
      <w:tr w:rsidR="00DC09C2" w:rsidRPr="002F3B0C" w:rsidTr="00C153F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2"/>
              </w:rPr>
              <w:t xml:space="preserve">д.м.н., проф. Проценко Г.О. 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5e98e9302"/>
              </w:rPr>
              <w:t>Державна установа «Національний науковий центр «Інститут кардіології імені академіка М.Д. Стражеска» НАМН України</w:t>
            </w:r>
            <w:r w:rsidRPr="002F3B0C">
              <w:rPr>
                <w:rStyle w:val="csa16174ba2"/>
              </w:rPr>
              <w:t>, відділ некоронарних хвороб серця та ревматології,                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2"/>
              </w:rPr>
              <w:t xml:space="preserve">д.м.н., проф. Проценко Г.О. 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5e98e9302"/>
              </w:rPr>
              <w:t>Державна установа «Національний науковий центр «Інститут кардіології, клінічної та регенеративної медицини імені академіка           М.Д. Стражеска Національної академії медичних наук України»</w:t>
            </w:r>
            <w:r w:rsidRPr="002F3B0C">
              <w:rPr>
                <w:rStyle w:val="csa16174ba2"/>
              </w:rPr>
              <w:t>, відділ некоронарних хвороб серця, ревматології та терапії, м. Київ</w:t>
            </w:r>
          </w:p>
        </w:tc>
      </w:tr>
    </w:tbl>
    <w:p w:rsidR="00DC09C2" w:rsidRPr="002F3B0C" w:rsidRDefault="00DC09C2" w:rsidP="002F3B0C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DC09C2" w:rsidRPr="002F3B0C" w:rsidTr="00C153F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2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2"/>
              </w:rPr>
              <w:t>СТАЛО</w:t>
            </w:r>
          </w:p>
        </w:tc>
      </w:tr>
      <w:tr w:rsidR="00DC09C2" w:rsidRPr="002F3B0C" w:rsidTr="00C153F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581"/>
            </w:tblGrid>
            <w:tr w:rsidR="00DC09C2" w:rsidRPr="002F3B0C" w:rsidTr="00C153F9">
              <w:tc>
                <w:tcPr>
                  <w:tcW w:w="1581" w:type="dxa"/>
                </w:tcPr>
                <w:p w:rsidR="00DC09C2" w:rsidRPr="002F3B0C" w:rsidRDefault="00DC09C2" w:rsidP="002F3B0C">
                  <w:pPr>
                    <w:pStyle w:val="cs80d9435b"/>
                    <w:rPr>
                      <w:rStyle w:val="cs5e98e9302"/>
                    </w:rPr>
                  </w:pPr>
                  <w:r w:rsidRPr="002F3B0C">
                    <w:rPr>
                      <w:rStyle w:val="cs5e98e9302"/>
                    </w:rPr>
                    <w:t xml:space="preserve">Гасанов Ю.Ч. </w:t>
                  </w:r>
                </w:p>
              </w:tc>
            </w:tr>
          </w:tbl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2"/>
              </w:rPr>
              <w:t>Державна установа «Національний інститут терапії імені Л.Т. Малої НАМН України», відділ клінічної фармакології та фармакогенетики неінфекційних захворювань, м. Харків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5e98e9302"/>
              </w:rPr>
              <w:t>д.м.н., проф. Рудик Ю.С.</w:t>
            </w:r>
            <w:r w:rsidRPr="002F3B0C">
              <w:rPr>
                <w:rStyle w:val="csa16174ba2"/>
              </w:rPr>
              <w:t xml:space="preserve"> 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2"/>
              </w:rPr>
              <w:t>Державна установа «Національний інститут терапії імені Л.Т. Малої НАМН України», відділ клінічної фармакології та фармакогенетики неінфекційних захворювань, м. Харків</w:t>
            </w:r>
          </w:p>
        </w:tc>
      </w:tr>
    </w:tbl>
    <w:p w:rsidR="00DC09C2" w:rsidRPr="002F3B0C" w:rsidRDefault="00DC09C2" w:rsidP="002F3B0C">
      <w:pPr>
        <w:rPr>
          <w:rFonts w:ascii="Arial" w:hAnsi="Arial" w:cs="Arial"/>
          <w:sz w:val="20"/>
        </w:rPr>
      </w:pPr>
    </w:p>
    <w:p w:rsidR="00DC09C2" w:rsidRPr="002F3B0C" w:rsidRDefault="00DC09C2" w:rsidP="002F3B0C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DC09C2" w:rsidRPr="002F3B0C" w:rsidTr="00C153F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2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2"/>
              </w:rPr>
              <w:t>СТАЛО</w:t>
            </w:r>
          </w:p>
        </w:tc>
      </w:tr>
      <w:tr w:rsidR="00DC09C2" w:rsidRPr="002F3B0C" w:rsidTr="00C153F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b/>
                <w:sz w:val="20"/>
              </w:rPr>
            </w:pPr>
            <w:r w:rsidRPr="002F3B0C">
              <w:rPr>
                <w:rStyle w:val="csa16174ba2"/>
                <w:b/>
              </w:rPr>
              <w:t xml:space="preserve">д.м.н., проф. Абрагамович О.О. 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5e98e9302"/>
              </w:rPr>
              <w:t>Львівська обласна клінічна лікарня, ревматологічне відділення, Львівський національний медичний університет імені Данила Галицького, кафедра внутрішньої медицини №1</w:t>
            </w:r>
            <w:r w:rsidRPr="002F3B0C">
              <w:rPr>
                <w:rStyle w:val="csa16174ba2"/>
              </w:rPr>
              <w:t>, м. Львів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b/>
                <w:sz w:val="20"/>
              </w:rPr>
            </w:pPr>
            <w:r w:rsidRPr="002F3B0C">
              <w:rPr>
                <w:rStyle w:val="csa16174ba2"/>
                <w:b/>
              </w:rPr>
              <w:t xml:space="preserve">д.м.н., проф. Абрагамович У.О. 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5e98e9302"/>
              </w:rPr>
              <w:t>Медичний центр Товариства з обмеженою відповідальністю «Калина. Центр сучасної медицини»</w:t>
            </w:r>
            <w:r w:rsidRPr="002F3B0C">
              <w:rPr>
                <w:rStyle w:val="csa16174ba2"/>
              </w:rPr>
              <w:t>, м. Львів</w:t>
            </w:r>
          </w:p>
        </w:tc>
      </w:tr>
    </w:tbl>
    <w:p w:rsidR="0037051A" w:rsidRPr="002F3B0C" w:rsidRDefault="0037051A" w:rsidP="002F3B0C">
      <w:pPr>
        <w:jc w:val="both"/>
        <w:rPr>
          <w:rFonts w:ascii="Arial" w:hAnsi="Arial" w:cs="Arial"/>
          <w:sz w:val="20"/>
          <w:szCs w:val="20"/>
        </w:rPr>
      </w:pPr>
    </w:p>
    <w:p w:rsidR="00DC09C2" w:rsidRPr="002F3B0C" w:rsidRDefault="00DC09C2" w:rsidP="002F3B0C">
      <w:pPr>
        <w:rPr>
          <w:rStyle w:val="cs80d9435b3"/>
          <w:rFonts w:ascii="Arial" w:hAnsi="Arial" w:cs="Arial"/>
          <w:b/>
          <w:sz w:val="20"/>
          <w:szCs w:val="20"/>
          <w:lang w:val="ru-RU"/>
        </w:rPr>
      </w:pPr>
    </w:p>
    <w:p w:rsidR="00DC09C2" w:rsidRPr="002F3B0C" w:rsidRDefault="00DC09C2" w:rsidP="002F3B0C">
      <w:pPr>
        <w:jc w:val="both"/>
        <w:rPr>
          <w:rFonts w:ascii="Arial" w:hAnsi="Arial" w:cs="Arial"/>
          <w:sz w:val="20"/>
        </w:rPr>
      </w:pPr>
      <w:r w:rsidRPr="002F3B0C">
        <w:rPr>
          <w:rStyle w:val="cs80d9435b3"/>
          <w:rFonts w:ascii="Arial" w:hAnsi="Arial" w:cs="Arial"/>
          <w:b/>
          <w:sz w:val="20"/>
          <w:szCs w:val="20"/>
          <w:lang w:val="ru-RU"/>
        </w:rPr>
        <w:t xml:space="preserve">3. </w:t>
      </w:r>
      <w:r w:rsidR="00E61FA9" w:rsidRPr="002F3B0C">
        <w:rPr>
          <w:rStyle w:val="cs5e98e9303"/>
        </w:rPr>
        <w:t>Залучення додаткових місць проведення клінічного випробування</w:t>
      </w:r>
      <w:r w:rsidR="00E61FA9" w:rsidRPr="002F3B0C">
        <w:rPr>
          <w:rStyle w:val="csa16174ba3"/>
        </w:rPr>
        <w:t xml:space="preserve"> до протоколу клінічного дослідження «Рандомізоване, подвійне сліпе, багатоцентрове дослідження фази III у паралельних групах для оцінки ефективності дозованого інгалятору </w:t>
      </w:r>
      <w:r w:rsidR="00E61FA9" w:rsidRPr="002F3B0C">
        <w:rPr>
          <w:rStyle w:val="cs5e98e9303"/>
        </w:rPr>
        <w:t>будесоніду, глікопіронію та формотеролу фумарату</w:t>
      </w:r>
      <w:r w:rsidR="00E61FA9" w:rsidRPr="002F3B0C">
        <w:rPr>
          <w:rStyle w:val="csa16174ba3"/>
        </w:rPr>
        <w:t xml:space="preserve"> відносно дозованого інгалятору глікопіронію і формотеролу фумарату на серцево-легеневі наслідки у хворих на хронічне обструктивне захворювання легень (THARROS)», код дослідження </w:t>
      </w:r>
      <w:r w:rsidR="00E61FA9" w:rsidRPr="002F3B0C">
        <w:rPr>
          <w:rStyle w:val="cs5e98e9303"/>
        </w:rPr>
        <w:t>D5989C00001</w:t>
      </w:r>
      <w:r w:rsidR="00E61FA9" w:rsidRPr="002F3B0C">
        <w:rPr>
          <w:rStyle w:val="csa16174ba3"/>
        </w:rPr>
        <w:t>, версія 2.0 від 28 січня 2024 року; спонсор - AstraZeneca AB, Sweden</w:t>
      </w:r>
      <w:r w:rsidRPr="002F3B0C">
        <w:rPr>
          <w:rFonts w:ascii="Arial" w:hAnsi="Arial" w:cs="Arial"/>
          <w:sz w:val="20"/>
          <w:szCs w:val="20"/>
        </w:rPr>
        <w:cr/>
        <w:t>Заявник</w:t>
      </w:r>
      <w:r w:rsidR="00E61FA9" w:rsidRPr="002F3B0C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DC09C2" w:rsidRPr="002F3B0C" w:rsidRDefault="00DC09C2" w:rsidP="002F3B0C">
      <w:pPr>
        <w:rPr>
          <w:rFonts w:ascii="Arial" w:hAnsi="Arial" w:cs="Arial"/>
          <w:sz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DC09C2" w:rsidRPr="002F3B0C" w:rsidTr="00C153F9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3"/>
              </w:rPr>
              <w:t>№ п/п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3"/>
              </w:rPr>
              <w:t>П.І.Б. відповідального дослідника</w:t>
            </w:r>
          </w:p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3"/>
              </w:rPr>
              <w:t>Назва місця проведення клінічного випробування</w:t>
            </w:r>
          </w:p>
        </w:tc>
      </w:tr>
      <w:tr w:rsidR="00DC09C2" w:rsidRPr="002F3B0C" w:rsidTr="00C153F9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3"/>
              </w:rPr>
              <w:t>1.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3"/>
              </w:rPr>
              <w:t>д.м.н., проф. Мартинюк Л.П.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3"/>
              </w:rPr>
              <w:t>Комунальне некомерційне підприємство «Тернопільська обласна клінічна лікарня» Тернопільської обласної ради, відділення пульмонології, Тернопiльський національний медичний університет iменi I.Я. Горбачeвського Міністерства охорони здоров'я України, кафедра внутрішньої медицини №3, м. Тернопіль</w:t>
            </w:r>
          </w:p>
        </w:tc>
      </w:tr>
      <w:tr w:rsidR="00DC09C2" w:rsidRPr="002F3B0C" w:rsidTr="00C153F9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3"/>
              </w:rPr>
              <w:t>2.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3"/>
              </w:rPr>
              <w:t>к.м.н. Турчина І.П.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3"/>
              </w:rPr>
              <w:t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пульмонології, м. Київ</w:t>
            </w:r>
          </w:p>
        </w:tc>
      </w:tr>
      <w:tr w:rsidR="00DC09C2" w:rsidRPr="002F3B0C" w:rsidTr="00C153F9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3"/>
              </w:rPr>
              <w:t>3.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3"/>
              </w:rPr>
              <w:t>к.м.н. Романова О.М.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3"/>
              </w:rPr>
              <w:t>Товариство з обмеженою відповідальністю «МЕДФІЛД», м. Київ</w:t>
            </w:r>
          </w:p>
        </w:tc>
      </w:tr>
    </w:tbl>
    <w:p w:rsidR="0037051A" w:rsidRPr="002F3B0C" w:rsidRDefault="0037051A" w:rsidP="002F3B0C">
      <w:pPr>
        <w:jc w:val="both"/>
        <w:rPr>
          <w:rFonts w:ascii="Arial" w:hAnsi="Arial" w:cs="Arial"/>
          <w:sz w:val="20"/>
          <w:szCs w:val="20"/>
        </w:rPr>
      </w:pPr>
    </w:p>
    <w:p w:rsidR="00DC09C2" w:rsidRPr="002F3B0C" w:rsidRDefault="00DC09C2" w:rsidP="002F3B0C">
      <w:pPr>
        <w:jc w:val="both"/>
        <w:rPr>
          <w:rStyle w:val="cs80d9435b4"/>
          <w:rFonts w:ascii="Arial" w:hAnsi="Arial" w:cs="Arial"/>
          <w:b/>
          <w:sz w:val="20"/>
          <w:szCs w:val="20"/>
        </w:rPr>
      </w:pPr>
    </w:p>
    <w:p w:rsidR="0037051A" w:rsidRPr="002F3B0C" w:rsidRDefault="00DC09C2" w:rsidP="002F3B0C">
      <w:pPr>
        <w:jc w:val="both"/>
        <w:rPr>
          <w:rFonts w:ascii="Arial" w:hAnsi="Arial" w:cs="Arial"/>
          <w:sz w:val="20"/>
          <w:szCs w:val="20"/>
        </w:rPr>
      </w:pPr>
      <w:r w:rsidRPr="002F3B0C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E61FA9" w:rsidRPr="002F3B0C">
        <w:rPr>
          <w:rStyle w:val="cs5e98e9304"/>
        </w:rPr>
        <w:t>Брошура дослідника RO4964913 Ocrelizumab/Ocrevus®, версія 22 від листопада 2023 р., англійською мовою</w:t>
      </w:r>
      <w:r w:rsidR="00E61FA9" w:rsidRPr="002F3B0C">
        <w:rPr>
          <w:rStyle w:val="csa16174ba4"/>
        </w:rPr>
        <w:t xml:space="preserve"> до протоколу клінічного дослідження «Багатоцентрове, рандомізоване, подвійне сліпе, плацебо-контрольоване дослідження фази IIIb для оцінки ефективності та безпечності препарату </w:t>
      </w:r>
      <w:r w:rsidR="00E61FA9" w:rsidRPr="002F3B0C">
        <w:rPr>
          <w:rStyle w:val="cs5e98e9304"/>
        </w:rPr>
        <w:t>Окрелізумаб</w:t>
      </w:r>
      <w:r w:rsidR="00E61FA9" w:rsidRPr="002F3B0C">
        <w:rPr>
          <w:rStyle w:val="csa16174ba4"/>
        </w:rPr>
        <w:t xml:space="preserve"> у дорослих пацієнтів з первинно-прогресуючим розсіяним склерозом», код дослідження </w:t>
      </w:r>
      <w:r w:rsidR="00E61FA9" w:rsidRPr="002F3B0C">
        <w:rPr>
          <w:rStyle w:val="cs5e98e9304"/>
        </w:rPr>
        <w:t>WA40404</w:t>
      </w:r>
      <w:r w:rsidR="00E61FA9" w:rsidRPr="002F3B0C">
        <w:rPr>
          <w:rStyle w:val="csa16174ba4"/>
        </w:rPr>
        <w:t>, версія 5 від 13 жовтня 2022 р.; спонсор - Ф. Хоффманн-Ля Рош Лтд, Швейцарiя (F. Hoffmann-La Roche Ltd, Switzerland)</w:t>
      </w:r>
      <w:r w:rsidRPr="002F3B0C">
        <w:rPr>
          <w:rFonts w:ascii="Arial" w:hAnsi="Arial" w:cs="Arial"/>
          <w:sz w:val="20"/>
          <w:szCs w:val="20"/>
        </w:rPr>
        <w:cr/>
        <w:t>Заявник</w:t>
      </w:r>
      <w:r w:rsidR="00E61FA9" w:rsidRPr="002F3B0C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«ПіПіДі ЮКРЕЙН», Україна</w:t>
      </w:r>
    </w:p>
    <w:p w:rsidR="00DC09C2" w:rsidRPr="002F3B0C" w:rsidRDefault="00DC09C2" w:rsidP="002F3B0C">
      <w:pPr>
        <w:jc w:val="both"/>
        <w:rPr>
          <w:rFonts w:ascii="Arial" w:hAnsi="Arial" w:cs="Arial"/>
          <w:sz w:val="20"/>
          <w:szCs w:val="20"/>
        </w:rPr>
      </w:pPr>
    </w:p>
    <w:p w:rsidR="0037051A" w:rsidRPr="002F3B0C" w:rsidRDefault="0037051A" w:rsidP="002F3B0C">
      <w:pPr>
        <w:jc w:val="both"/>
        <w:rPr>
          <w:rFonts w:ascii="Arial" w:hAnsi="Arial" w:cs="Arial"/>
          <w:sz w:val="20"/>
          <w:szCs w:val="20"/>
        </w:rPr>
      </w:pPr>
    </w:p>
    <w:p w:rsidR="00DC09C2" w:rsidRPr="002F3B0C" w:rsidRDefault="00DC09C2" w:rsidP="002F3B0C">
      <w:pPr>
        <w:jc w:val="both"/>
        <w:rPr>
          <w:rFonts w:ascii="Arial" w:hAnsi="Arial" w:cs="Arial"/>
          <w:sz w:val="20"/>
        </w:rPr>
      </w:pPr>
      <w:r w:rsidRPr="002F3B0C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E61FA9" w:rsidRPr="002F3B0C">
        <w:rPr>
          <w:rStyle w:val="cs5e98e9305"/>
        </w:rPr>
        <w:t>Включення додаткових місць проведення випробування</w:t>
      </w:r>
      <w:r w:rsidR="00E61FA9" w:rsidRPr="002F3B0C">
        <w:rPr>
          <w:rStyle w:val="csa16174ba5"/>
        </w:rPr>
        <w:t xml:space="preserve"> до протоколу клінічного випробування «Дослідження фази I для оцінки безпечності, переносимості, фармакокінетики та попередньої ефективності препарату </w:t>
      </w:r>
      <w:r w:rsidR="00E61FA9" w:rsidRPr="002F3B0C">
        <w:rPr>
          <w:rStyle w:val="cs5e98e9305"/>
        </w:rPr>
        <w:t>ICP-248</w:t>
      </w:r>
      <w:r w:rsidR="00E61FA9" w:rsidRPr="002F3B0C">
        <w:rPr>
          <w:rStyle w:val="csa16174ba5"/>
        </w:rPr>
        <w:t xml:space="preserve"> у пацієнтів зі зрілими В-клітинними злоякісними новоутвореннями», код дослідження </w:t>
      </w:r>
      <w:r w:rsidR="00E61FA9" w:rsidRPr="002F3B0C">
        <w:rPr>
          <w:rStyle w:val="cs5e98e9305"/>
        </w:rPr>
        <w:t>ICP-CL-01202</w:t>
      </w:r>
      <w:r w:rsidR="00E61FA9" w:rsidRPr="002F3B0C">
        <w:rPr>
          <w:rStyle w:val="csa16174ba5"/>
        </w:rPr>
        <w:t>, версія 1.2 від 16 квітня 2024 року; спонсор - InnoCare Pharma Inc., USA</w:t>
      </w:r>
      <w:r w:rsidRPr="002F3B0C">
        <w:rPr>
          <w:rFonts w:ascii="Arial" w:hAnsi="Arial" w:cs="Arial"/>
          <w:sz w:val="20"/>
          <w:szCs w:val="20"/>
        </w:rPr>
        <w:cr/>
        <w:t>Заявник</w:t>
      </w:r>
      <w:r w:rsidR="00E61FA9" w:rsidRPr="002F3B0C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DC09C2" w:rsidRPr="002F3B0C" w:rsidRDefault="00DC09C2" w:rsidP="002F3B0C">
      <w:pPr>
        <w:rPr>
          <w:rFonts w:ascii="Arial" w:hAnsi="Arial" w:cs="Arial"/>
          <w:sz w:val="20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944"/>
      </w:tblGrid>
      <w:tr w:rsidR="00DC09C2" w:rsidRPr="002F3B0C" w:rsidTr="00C153F9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5"/>
              </w:rPr>
              <w:t>№ п/п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02b20ac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5"/>
              </w:rPr>
              <w:t>П.І.Б. відповідального дослідника</w:t>
            </w:r>
          </w:p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5"/>
              </w:rPr>
              <w:t>Назва місця проведення клінічного випробування</w:t>
            </w:r>
          </w:p>
        </w:tc>
      </w:tr>
      <w:tr w:rsidR="00DC09C2" w:rsidRPr="002F3B0C" w:rsidTr="00C153F9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5"/>
              </w:rPr>
              <w:t>1.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f06cd379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5"/>
              </w:rPr>
              <w:t>к.м.н. Карнабеда О.А.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5"/>
              </w:rPr>
              <w:t>Медичний центр товариства з обмеженою відповідальністю «Аренсія Експлораторі Медісін», відділ клінічних досліджень, м. Київ</w:t>
            </w:r>
          </w:p>
        </w:tc>
      </w:tr>
      <w:tr w:rsidR="00DC09C2" w:rsidRPr="002F3B0C" w:rsidTr="00C153F9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5"/>
              </w:rPr>
              <w:t>2.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f06cd379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5"/>
              </w:rPr>
              <w:t>к.м.н. Кисельова О.А.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5"/>
              </w:rPr>
              <w:t>Медичний центр «Ок!Клінік+» товариства з обмеженою відповідальністю «Міжнародний інститут клінічних досліджень», відділ гематології стаціонарного відділення, м. Київ</w:t>
            </w:r>
          </w:p>
        </w:tc>
      </w:tr>
      <w:tr w:rsidR="00DC09C2" w:rsidRPr="002F3B0C" w:rsidTr="00C153F9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5"/>
              </w:rPr>
              <w:t>3.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f06cd379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5"/>
              </w:rPr>
              <w:t>д.м.н., проф. Крячок І.А.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5"/>
              </w:rPr>
              <w:t>Державне некомерційне підприємство «Національний інститут раку», Клініка хіміотерапії та онкогематології, науково-клінічний відділ онкогематології, відділення онкогематології, м. Київ</w:t>
            </w:r>
          </w:p>
        </w:tc>
      </w:tr>
    </w:tbl>
    <w:p w:rsidR="0037051A" w:rsidRPr="002F3B0C" w:rsidRDefault="0037051A" w:rsidP="002F3B0C">
      <w:pPr>
        <w:jc w:val="both"/>
        <w:rPr>
          <w:rFonts w:ascii="Arial" w:hAnsi="Arial" w:cs="Arial"/>
          <w:sz w:val="20"/>
          <w:szCs w:val="20"/>
        </w:rPr>
      </w:pPr>
    </w:p>
    <w:p w:rsidR="00DC09C2" w:rsidRPr="002F3B0C" w:rsidRDefault="00DC09C2" w:rsidP="002F3B0C">
      <w:pPr>
        <w:jc w:val="both"/>
        <w:rPr>
          <w:rStyle w:val="cs80d9435b6"/>
          <w:rFonts w:ascii="Arial" w:hAnsi="Arial" w:cs="Arial"/>
          <w:b/>
          <w:sz w:val="20"/>
          <w:szCs w:val="20"/>
        </w:rPr>
      </w:pPr>
    </w:p>
    <w:p w:rsidR="0037051A" w:rsidRPr="002F3B0C" w:rsidRDefault="00DC09C2" w:rsidP="002F3B0C">
      <w:pPr>
        <w:jc w:val="both"/>
        <w:rPr>
          <w:rFonts w:ascii="Arial" w:hAnsi="Arial" w:cs="Arial"/>
          <w:sz w:val="20"/>
          <w:szCs w:val="20"/>
        </w:rPr>
      </w:pPr>
      <w:r w:rsidRPr="002F3B0C">
        <w:rPr>
          <w:rStyle w:val="cs80d9435b6"/>
          <w:rFonts w:ascii="Arial" w:hAnsi="Arial" w:cs="Arial"/>
          <w:b/>
          <w:sz w:val="20"/>
          <w:szCs w:val="20"/>
        </w:rPr>
        <w:lastRenderedPageBreak/>
        <w:t xml:space="preserve">6. </w:t>
      </w:r>
      <w:r w:rsidR="00E61FA9" w:rsidRPr="002F3B0C">
        <w:rPr>
          <w:rStyle w:val="cs5e98e9306"/>
        </w:rPr>
        <w:t>Досьє досліджуваного лікарського засобу APG-2575, версія 5.1 від 11 травня 2024 англійською мовою; Залучення нової виробничої ділянки Suzhou Ascentage Pharma Co., Ltd., Китай для APG-2575, таблетки вкриті плівковою оболонкою, 10 мг; APG-2575, таблетки вкриті плівковою оболонкою, 50 мг; APG-2575, таблетки вкриті плівковою оболонкою, 200 мг; Зразок етикетки з інформацією про препарати APG-2575, таблетки вкриті плівковою оболонкою, 10 мг; APG-2575, таблетки вкриті плівковою оболонкою, 50 мг; APG-2575, таблетки вкриті плівковою оболонкою, 200 мг українською мовою (версія 4.0 від 05 серпня 2024); Зразок етикетки з інформацією про препарати ритуксимаб та акалабрутініб українською мовою (версія 4.0 від 06 серпня 2024)</w:t>
      </w:r>
      <w:r w:rsidR="00E61FA9" w:rsidRPr="002F3B0C">
        <w:rPr>
          <w:rStyle w:val="csa16174ba6"/>
        </w:rPr>
        <w:t xml:space="preserve"> </w:t>
      </w:r>
      <w:r w:rsidR="004E5475" w:rsidRPr="002F3B0C">
        <w:rPr>
          <w:rStyle w:val="csa16174ba6"/>
        </w:rPr>
        <w:t>до протоколу клінічного випробува</w:t>
      </w:r>
      <w:r w:rsidR="00E61FA9" w:rsidRPr="002F3B0C">
        <w:rPr>
          <w:rStyle w:val="csa16174ba6"/>
        </w:rPr>
        <w:t xml:space="preserve">ння «Дослідження фази Ib/II застосування препарату </w:t>
      </w:r>
      <w:r w:rsidR="00E61FA9" w:rsidRPr="002F3B0C">
        <w:rPr>
          <w:rStyle w:val="cs5e98e9306"/>
        </w:rPr>
        <w:t>APG-2575</w:t>
      </w:r>
      <w:r w:rsidR="00E61FA9" w:rsidRPr="002F3B0C">
        <w:rPr>
          <w:rStyle w:val="csa16174ba6"/>
        </w:rPr>
        <w:t xml:space="preserve"> як монотерапії або в комбінації з іншими лікарськими препаратами у пацієнтів з рецидивуючими та/або рефрактерними хронічним лімфоцитарним лейкозом (ХЛЛ)/дрібноклітинною лімфоцитарною лімфомою (ДЛЛ) (SACRED)», код дослідження </w:t>
      </w:r>
      <w:r w:rsidR="00E61FA9" w:rsidRPr="002F3B0C">
        <w:rPr>
          <w:rStyle w:val="cs5e98e9306"/>
        </w:rPr>
        <w:t>APG2575CU101</w:t>
      </w:r>
      <w:r w:rsidR="00E61FA9" w:rsidRPr="002F3B0C">
        <w:rPr>
          <w:rStyle w:val="csa16174ba6"/>
        </w:rPr>
        <w:t>, версія 3.1 від</w:t>
      </w:r>
      <w:r w:rsidR="002F3B0C">
        <w:rPr>
          <w:rStyle w:val="csa16174ba6"/>
        </w:rPr>
        <w:t xml:space="preserve"> </w:t>
      </w:r>
      <w:r w:rsidR="00E61FA9" w:rsidRPr="002F3B0C">
        <w:rPr>
          <w:rStyle w:val="csa16174ba6"/>
        </w:rPr>
        <w:t>28 березня 2023; спонсор - Ascentage Pharma Group Inc. (Асентаж Фарма Груп Інк.), США</w:t>
      </w:r>
      <w:r w:rsidRPr="002F3B0C">
        <w:rPr>
          <w:rFonts w:ascii="Arial" w:hAnsi="Arial" w:cs="Arial"/>
          <w:sz w:val="20"/>
          <w:szCs w:val="20"/>
        </w:rPr>
        <w:cr/>
        <w:t>Заявник</w:t>
      </w:r>
      <w:r w:rsidR="00E61FA9" w:rsidRPr="002F3B0C">
        <w:rPr>
          <w:rFonts w:ascii="Arial" w:hAnsi="Arial" w:cs="Arial"/>
          <w:sz w:val="20"/>
          <w:szCs w:val="20"/>
        </w:rPr>
        <w:t xml:space="preserve"> - ТОВ «Кромосфарма Україна»</w:t>
      </w:r>
    </w:p>
    <w:p w:rsidR="00DC09C2" w:rsidRPr="002F3B0C" w:rsidRDefault="00DC09C2" w:rsidP="002F3B0C">
      <w:pPr>
        <w:jc w:val="both"/>
        <w:rPr>
          <w:rFonts w:ascii="Arial" w:hAnsi="Arial" w:cs="Arial"/>
          <w:sz w:val="20"/>
          <w:szCs w:val="20"/>
        </w:rPr>
      </w:pPr>
    </w:p>
    <w:p w:rsidR="0037051A" w:rsidRPr="002F3B0C" w:rsidRDefault="0037051A" w:rsidP="002F3B0C">
      <w:pPr>
        <w:jc w:val="both"/>
        <w:rPr>
          <w:rFonts w:ascii="Arial" w:hAnsi="Arial" w:cs="Arial"/>
          <w:sz w:val="20"/>
          <w:szCs w:val="20"/>
        </w:rPr>
      </w:pPr>
    </w:p>
    <w:p w:rsidR="0037051A" w:rsidRPr="002F3B0C" w:rsidRDefault="00DC09C2" w:rsidP="002F3B0C">
      <w:pPr>
        <w:jc w:val="both"/>
        <w:rPr>
          <w:rFonts w:ascii="Arial" w:hAnsi="Arial" w:cs="Arial"/>
          <w:sz w:val="20"/>
          <w:szCs w:val="20"/>
        </w:rPr>
      </w:pPr>
      <w:r w:rsidRPr="002F3B0C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E61FA9" w:rsidRPr="002F3B0C">
        <w:rPr>
          <w:rStyle w:val="cs5e98e9307"/>
        </w:rPr>
        <w:t>Лист-роз’яснення від 11 липня 2024 року до Протоколу клінічного випробування TARA-002-101-Ph2, версія 4.0 від 05 січня 2024 року, англійською мовою; Брошура дослідника TARA-002, Видання № 6 від 04 червня 2024 року, англійською мовою; Брошура дослідника TARA-002, Видання № 7 від 28 червня 2024 року, англійською мовою; Лист від лікаря до лікаря, версія 1.0 від 17 липня 2024 року, англійською та українською мовами</w:t>
      </w:r>
      <w:r w:rsidR="00E61FA9" w:rsidRPr="002F3B0C">
        <w:rPr>
          <w:rStyle w:val="csa16174ba7"/>
        </w:rPr>
        <w:t xml:space="preserve"> до протоколу клінічного дослідження «Фаза 2, відкрите дослідження з оцінки безпеки та протипухлинної активності інстиляцій сечового міхура препаратом </w:t>
      </w:r>
      <w:r w:rsidR="00E61FA9" w:rsidRPr="002F3B0C">
        <w:rPr>
          <w:rStyle w:val="cs5e98e9307"/>
        </w:rPr>
        <w:t>TARA-002</w:t>
      </w:r>
      <w:r w:rsidR="00E61FA9" w:rsidRPr="002F3B0C">
        <w:rPr>
          <w:rStyle w:val="csa16174ba7"/>
        </w:rPr>
        <w:t xml:space="preserve"> у дорослих пацієнтів із м'язово-неінвазивним раком сечового міхура високого ступеня злоякісності», код дослідження </w:t>
      </w:r>
      <w:r w:rsidR="00E61FA9" w:rsidRPr="002F3B0C">
        <w:rPr>
          <w:rStyle w:val="cs5e98e9307"/>
        </w:rPr>
        <w:t>TARA-002-101-Ph2</w:t>
      </w:r>
      <w:r w:rsidR="00E61FA9" w:rsidRPr="002F3B0C">
        <w:rPr>
          <w:rStyle w:val="csa16174ba7"/>
        </w:rPr>
        <w:t>, версія 4.0 від 05 січня 2024 року; спонсор - Протара Терап'ютікс, Інк. [Protara Therapeutics, Inc.], США</w:t>
      </w:r>
      <w:r w:rsidRPr="002F3B0C">
        <w:rPr>
          <w:rFonts w:ascii="Arial" w:hAnsi="Arial" w:cs="Arial"/>
          <w:sz w:val="20"/>
          <w:szCs w:val="20"/>
        </w:rPr>
        <w:cr/>
        <w:t>Заявник</w:t>
      </w:r>
      <w:r w:rsidR="00E61FA9" w:rsidRPr="002F3B0C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DC09C2" w:rsidRPr="002F3B0C" w:rsidRDefault="00DC09C2" w:rsidP="002F3B0C">
      <w:pPr>
        <w:jc w:val="both"/>
        <w:rPr>
          <w:rFonts w:ascii="Arial" w:hAnsi="Arial" w:cs="Arial"/>
          <w:sz w:val="20"/>
          <w:szCs w:val="20"/>
        </w:rPr>
      </w:pPr>
    </w:p>
    <w:p w:rsidR="0037051A" w:rsidRPr="002F3B0C" w:rsidRDefault="0037051A" w:rsidP="002F3B0C">
      <w:pPr>
        <w:jc w:val="both"/>
        <w:rPr>
          <w:rFonts w:ascii="Arial" w:hAnsi="Arial" w:cs="Arial"/>
          <w:sz w:val="20"/>
          <w:szCs w:val="20"/>
        </w:rPr>
      </w:pPr>
    </w:p>
    <w:p w:rsidR="00DC09C2" w:rsidRPr="002F3B0C" w:rsidRDefault="00DC09C2" w:rsidP="002F3B0C">
      <w:pPr>
        <w:jc w:val="both"/>
        <w:rPr>
          <w:rFonts w:ascii="Arial" w:hAnsi="Arial" w:cs="Arial"/>
          <w:sz w:val="20"/>
        </w:rPr>
      </w:pPr>
      <w:r w:rsidRPr="002F3B0C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E61FA9" w:rsidRPr="002F3B0C">
        <w:rPr>
          <w:rStyle w:val="cs5e98e9308"/>
        </w:rPr>
        <w:t>Зміна відповідального дослідника та назви місць проведення клінічного випробування</w:t>
      </w:r>
      <w:r w:rsidR="00E61FA9" w:rsidRPr="002F3B0C">
        <w:rPr>
          <w:rStyle w:val="csa16174ba8"/>
        </w:rPr>
        <w:t xml:space="preserve"> до протоколу клінічного дослідження «Багатоцентрове, рандомізоване, подвійне сліпе, плацебо-контрольоване дослідження для оцінки ефективності, безпечності i переносимості препарату </w:t>
      </w:r>
      <w:r w:rsidR="00E61FA9" w:rsidRPr="002F3B0C">
        <w:rPr>
          <w:rStyle w:val="cs5e98e9308"/>
        </w:rPr>
        <w:t>IMU-838</w:t>
      </w:r>
      <w:r w:rsidR="00E61FA9" w:rsidRPr="002F3B0C">
        <w:rPr>
          <w:rStyle w:val="csa16174ba8"/>
        </w:rPr>
        <w:t xml:space="preserve"> у пацiєнтiв з прогресуючим розсіяним склерозом», код дослідження </w:t>
      </w:r>
      <w:r w:rsidR="00E61FA9" w:rsidRPr="002F3B0C">
        <w:rPr>
          <w:rStyle w:val="cs5e98e9308"/>
        </w:rPr>
        <w:t>P2-IMU-838-PMS</w:t>
      </w:r>
      <w:r w:rsidR="00E61FA9" w:rsidRPr="002F3B0C">
        <w:rPr>
          <w:rStyle w:val="csa16174ba8"/>
        </w:rPr>
        <w:t xml:space="preserve">, версія 6.0 від </w:t>
      </w:r>
      <w:r w:rsidR="004E5475" w:rsidRPr="002F3B0C">
        <w:rPr>
          <w:rStyle w:val="csa16174ba8"/>
        </w:rPr>
        <w:t xml:space="preserve">                    23 лютого 2024 року</w:t>
      </w:r>
      <w:r w:rsidR="00E61FA9" w:rsidRPr="002F3B0C">
        <w:rPr>
          <w:rStyle w:val="csa16174ba8"/>
        </w:rPr>
        <w:t>; спонсор - «Іммунік АГ», Німеччина / Immunic AG, Germany</w:t>
      </w:r>
      <w:r w:rsidRPr="002F3B0C">
        <w:rPr>
          <w:rFonts w:ascii="Arial" w:hAnsi="Arial" w:cs="Arial"/>
          <w:sz w:val="20"/>
          <w:szCs w:val="20"/>
        </w:rPr>
        <w:cr/>
        <w:t>Заявник</w:t>
      </w:r>
      <w:r w:rsidR="00E61FA9" w:rsidRPr="002F3B0C">
        <w:rPr>
          <w:rFonts w:ascii="Arial" w:hAnsi="Arial" w:cs="Arial"/>
          <w:sz w:val="20"/>
          <w:szCs w:val="20"/>
        </w:rPr>
        <w:t xml:space="preserve"> - ТОВ «Верум Клінікал Рісерч», Україна </w:t>
      </w:r>
    </w:p>
    <w:p w:rsidR="00DC09C2" w:rsidRPr="002F3B0C" w:rsidRDefault="00DC09C2" w:rsidP="002F3B0C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DC09C2" w:rsidRPr="002F3B0C" w:rsidTr="00C153F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8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8"/>
              </w:rPr>
              <w:t>СТАЛО</w:t>
            </w:r>
          </w:p>
        </w:tc>
      </w:tr>
      <w:tr w:rsidR="00DC09C2" w:rsidRPr="002F3B0C" w:rsidTr="00C153F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5e98e9308"/>
              </w:rPr>
              <w:t xml:space="preserve">зав. від. Галуша А.І. 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8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2F3B0C">
              <w:rPr>
                <w:rStyle w:val="cs5e98e9308"/>
              </w:rPr>
              <w:t>неврологічне відділення</w:t>
            </w:r>
            <w:r w:rsidRPr="002F3B0C">
              <w:rPr>
                <w:rStyle w:val="csa16174ba8"/>
              </w:rPr>
              <w:t xml:space="preserve">,              м. Київ 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f06cd379"/>
              <w:rPr>
                <w:rFonts w:ascii="Arial" w:hAnsi="Arial" w:cs="Arial"/>
                <w:sz w:val="20"/>
              </w:rPr>
            </w:pPr>
            <w:r w:rsidRPr="002F3B0C">
              <w:rPr>
                <w:rStyle w:val="cs5e98e9308"/>
              </w:rPr>
              <w:t xml:space="preserve">лікар Пригорницька Я.І. 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8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2F3B0C">
              <w:rPr>
                <w:rStyle w:val="cs5e98e9308"/>
              </w:rPr>
              <w:t>інсультний центр</w:t>
            </w:r>
            <w:r w:rsidRPr="002F3B0C">
              <w:rPr>
                <w:rStyle w:val="csa16174ba8"/>
              </w:rPr>
              <w:t>, м. Київ</w:t>
            </w:r>
          </w:p>
        </w:tc>
      </w:tr>
      <w:tr w:rsidR="00DC09C2" w:rsidRPr="002F3B0C" w:rsidTr="00C153F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8"/>
              </w:rPr>
              <w:t xml:space="preserve">д.м.н., проф. Московко С.П. 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8"/>
              </w:rPr>
              <w:t xml:space="preserve">Медичний центр товариства з обмеженою відповідальністю «Медичний центр «Салютем», </w:t>
            </w:r>
            <w:r w:rsidRPr="002F3B0C">
              <w:rPr>
                <w:rStyle w:val="cs5e98e9308"/>
              </w:rPr>
              <w:t>лікувально-профілактичний відділ</w:t>
            </w:r>
            <w:r w:rsidRPr="002F3B0C">
              <w:rPr>
                <w:rStyle w:val="csa16174ba8"/>
              </w:rPr>
              <w:t>,м.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f06cd379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8"/>
              </w:rPr>
              <w:t xml:space="preserve">д.м.н., проф. Московко С.П. 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8"/>
              </w:rPr>
              <w:t xml:space="preserve">Медичний центр товариства з обмеженою відповідальністю «Медичний центр «Салютем», </w:t>
            </w:r>
            <w:r w:rsidRPr="002F3B0C">
              <w:rPr>
                <w:rStyle w:val="cs5e98e9308"/>
              </w:rPr>
              <w:t>лікувально-діагностичний відділ</w:t>
            </w:r>
            <w:r w:rsidRPr="002F3B0C">
              <w:rPr>
                <w:rStyle w:val="csa16174ba8"/>
              </w:rPr>
              <w:t>, м. Вінниця</w:t>
            </w:r>
          </w:p>
        </w:tc>
      </w:tr>
    </w:tbl>
    <w:p w:rsidR="0037051A" w:rsidRPr="002F3B0C" w:rsidRDefault="0037051A" w:rsidP="002F3B0C">
      <w:pPr>
        <w:jc w:val="both"/>
        <w:rPr>
          <w:rFonts w:ascii="Arial" w:hAnsi="Arial" w:cs="Arial"/>
          <w:sz w:val="20"/>
          <w:szCs w:val="20"/>
        </w:rPr>
      </w:pPr>
    </w:p>
    <w:p w:rsidR="00DC09C2" w:rsidRPr="002F3B0C" w:rsidRDefault="00DC09C2" w:rsidP="002F3B0C">
      <w:pPr>
        <w:rPr>
          <w:rStyle w:val="cs80d9435b9"/>
          <w:rFonts w:ascii="Arial" w:hAnsi="Arial" w:cs="Arial"/>
          <w:b/>
          <w:sz w:val="20"/>
          <w:szCs w:val="20"/>
          <w:lang w:val="ru-RU"/>
        </w:rPr>
      </w:pPr>
    </w:p>
    <w:p w:rsidR="00DC09C2" w:rsidRPr="002F3B0C" w:rsidRDefault="00DC09C2" w:rsidP="002F3B0C">
      <w:pPr>
        <w:jc w:val="both"/>
        <w:rPr>
          <w:rFonts w:ascii="Arial" w:hAnsi="Arial" w:cs="Arial"/>
          <w:sz w:val="20"/>
        </w:rPr>
      </w:pPr>
      <w:r w:rsidRPr="002F3B0C">
        <w:rPr>
          <w:rStyle w:val="cs80d9435b9"/>
          <w:rFonts w:ascii="Arial" w:hAnsi="Arial" w:cs="Arial"/>
          <w:b/>
          <w:sz w:val="20"/>
          <w:szCs w:val="20"/>
          <w:lang w:val="ru-RU"/>
        </w:rPr>
        <w:t xml:space="preserve">9. </w:t>
      </w:r>
      <w:r w:rsidR="00E61FA9" w:rsidRPr="002F3B0C">
        <w:rPr>
          <w:rStyle w:val="cs5e98e9309"/>
        </w:rPr>
        <w:t>Залучення додаткового місця проведення клінічного випробування</w:t>
      </w:r>
      <w:r w:rsidR="00E61FA9" w:rsidRPr="002F3B0C">
        <w:rPr>
          <w:rStyle w:val="csa16174ba9"/>
        </w:rPr>
        <w:t xml:space="preserve"> до протоколу клінічного дослідження «Подвійне сліпе дослідження в паралельних групах для вивчення порівняльної ефективності, безпечності та імуногенності </w:t>
      </w:r>
      <w:r w:rsidR="00E61FA9" w:rsidRPr="002F3B0C">
        <w:rPr>
          <w:rStyle w:val="csa16174ba9"/>
          <w:b/>
        </w:rPr>
        <w:t>AVT16</w:t>
      </w:r>
      <w:r w:rsidR="00E61FA9" w:rsidRPr="002F3B0C">
        <w:rPr>
          <w:rStyle w:val="csa16174ba9"/>
        </w:rPr>
        <w:t xml:space="preserve"> для внутрішньовенного введення і препарату </w:t>
      </w:r>
      <w:r w:rsidR="00E61FA9" w:rsidRPr="002F3B0C">
        <w:rPr>
          <w:rStyle w:val="csa16174ba9"/>
          <w:b/>
        </w:rPr>
        <w:t>Ентивіо®</w:t>
      </w:r>
      <w:r w:rsidR="00E61FA9" w:rsidRPr="002F3B0C">
        <w:rPr>
          <w:rStyle w:val="csa16174ba9"/>
        </w:rPr>
        <w:t xml:space="preserve"> у чоловіків і жінок віком від 18 до 80 років включно з активним виразковим колітом від помірного до тяжкого ступеня», код дослідження </w:t>
      </w:r>
      <w:r w:rsidR="00E61FA9" w:rsidRPr="002F3B0C">
        <w:rPr>
          <w:rStyle w:val="cs5e98e9309"/>
        </w:rPr>
        <w:t>AVT16-GL-C01</w:t>
      </w:r>
      <w:r w:rsidR="00E61FA9" w:rsidRPr="002F3B0C">
        <w:rPr>
          <w:rStyle w:val="csa16174ba9"/>
        </w:rPr>
        <w:t>, версія 3.0 (поправка 2.0) від 02 лютого 2024 р.; спонсор - Алвотек Свісс АГ, Швейцарія (Alvotech Swiss AG, Switzerland)</w:t>
      </w:r>
      <w:r w:rsidRPr="002F3B0C">
        <w:rPr>
          <w:rFonts w:ascii="Arial" w:hAnsi="Arial" w:cs="Arial"/>
          <w:sz w:val="20"/>
          <w:szCs w:val="20"/>
        </w:rPr>
        <w:cr/>
        <w:t>Заявник</w:t>
      </w:r>
      <w:r w:rsidR="00E61FA9" w:rsidRPr="002F3B0C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«ПіПіДі ЮКРЕЙН», Україна</w:t>
      </w:r>
    </w:p>
    <w:p w:rsidR="00DC09C2" w:rsidRPr="002F3B0C" w:rsidRDefault="00DC09C2" w:rsidP="002F3B0C">
      <w:pPr>
        <w:rPr>
          <w:rFonts w:ascii="Arial" w:hAnsi="Arial" w:cs="Arial"/>
          <w:sz w:val="20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884"/>
      </w:tblGrid>
      <w:tr w:rsidR="00DC09C2" w:rsidRPr="002F3B0C" w:rsidTr="00C153F9"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9"/>
              </w:rPr>
              <w:t>№ п/п</w:t>
            </w:r>
          </w:p>
        </w:tc>
        <w:tc>
          <w:tcPr>
            <w:tcW w:w="88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02b20ac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9"/>
              </w:rPr>
              <w:t>П.І.Б. відповідального дослідника</w:t>
            </w:r>
          </w:p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9"/>
              </w:rPr>
              <w:t>Назва місця проведення клінічного випробування</w:t>
            </w:r>
          </w:p>
        </w:tc>
      </w:tr>
      <w:tr w:rsidR="00DC09C2" w:rsidRPr="002F3B0C" w:rsidTr="00C153F9"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2e86d3a6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9"/>
              </w:rPr>
              <w:t>1.</w:t>
            </w:r>
          </w:p>
        </w:tc>
        <w:tc>
          <w:tcPr>
            <w:tcW w:w="88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9C2" w:rsidRPr="002F3B0C" w:rsidRDefault="00DC09C2" w:rsidP="002F3B0C">
            <w:pPr>
              <w:pStyle w:val="csfeeeeb43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9"/>
              </w:rPr>
              <w:t>лікар Іванішин О.Б.</w:t>
            </w:r>
          </w:p>
          <w:p w:rsidR="00DC09C2" w:rsidRPr="002F3B0C" w:rsidRDefault="00DC09C2" w:rsidP="002F3B0C">
            <w:pPr>
              <w:pStyle w:val="cs80d9435b"/>
              <w:rPr>
                <w:rFonts w:ascii="Arial" w:hAnsi="Arial" w:cs="Arial"/>
                <w:sz w:val="20"/>
              </w:rPr>
            </w:pPr>
            <w:r w:rsidRPr="002F3B0C">
              <w:rPr>
                <w:rStyle w:val="csa16174ba9"/>
              </w:rPr>
              <w:t>«Університетська лікарня» філія Львівського національного медичного університету                      імені Данила Галицького, терапевтичне відділення, м. Львів</w:t>
            </w:r>
          </w:p>
        </w:tc>
      </w:tr>
    </w:tbl>
    <w:p w:rsidR="0037051A" w:rsidRPr="002F3B0C" w:rsidRDefault="0037051A" w:rsidP="002F3B0C">
      <w:pPr>
        <w:jc w:val="both"/>
        <w:rPr>
          <w:rFonts w:ascii="Arial" w:hAnsi="Arial" w:cs="Arial"/>
          <w:sz w:val="20"/>
          <w:szCs w:val="20"/>
        </w:rPr>
      </w:pPr>
    </w:p>
    <w:p w:rsidR="00DC09C2" w:rsidRPr="002F3B0C" w:rsidRDefault="00DC09C2" w:rsidP="002F3B0C">
      <w:pPr>
        <w:jc w:val="both"/>
        <w:rPr>
          <w:rStyle w:val="cs80d9435b10"/>
          <w:rFonts w:ascii="Arial" w:hAnsi="Arial" w:cs="Arial"/>
          <w:b/>
          <w:sz w:val="20"/>
          <w:szCs w:val="20"/>
        </w:rPr>
      </w:pPr>
    </w:p>
    <w:p w:rsidR="0037051A" w:rsidRPr="002F3B0C" w:rsidRDefault="00DC09C2" w:rsidP="002F3B0C">
      <w:pPr>
        <w:jc w:val="both"/>
        <w:rPr>
          <w:rFonts w:ascii="Arial" w:hAnsi="Arial" w:cs="Arial"/>
          <w:sz w:val="20"/>
          <w:szCs w:val="20"/>
        </w:rPr>
      </w:pPr>
      <w:r w:rsidRPr="002F3B0C">
        <w:rPr>
          <w:rStyle w:val="cs80d9435b10"/>
          <w:rFonts w:ascii="Arial" w:hAnsi="Arial" w:cs="Arial"/>
          <w:b/>
          <w:sz w:val="20"/>
          <w:szCs w:val="20"/>
        </w:rPr>
        <w:lastRenderedPageBreak/>
        <w:t xml:space="preserve">10. </w:t>
      </w:r>
      <w:r w:rsidR="00E61FA9" w:rsidRPr="002F3B0C">
        <w:rPr>
          <w:rStyle w:val="cs5e98e93010"/>
        </w:rPr>
        <w:t>Оновлена Брошура дослідника з препарату CHF6001 DPI (код документу CLI-CHF6001-IB-00545), версія 7.0 від 19 липня 2024 р., англійською мовою</w:t>
      </w:r>
      <w:r w:rsidR="00E61FA9" w:rsidRPr="002F3B0C">
        <w:rPr>
          <w:rStyle w:val="csa16174ba10"/>
        </w:rPr>
        <w:t xml:space="preserve"> до протоколу клінічного дослідження «52-тижневе, рандомізоване, подвійне сліпе, з подвійним маскуванням, з контролем плацебо та активним контролем дослідження (Рофлуміласт, Даліресп® 500 мкг), що проводиться в паралельних групах з метою оцінки ефективності та безпечності двох доз препарату </w:t>
      </w:r>
      <w:r w:rsidR="00E61FA9" w:rsidRPr="002F3B0C">
        <w:rPr>
          <w:rStyle w:val="cs5e98e93010"/>
        </w:rPr>
        <w:t>CHF6001</w:t>
      </w:r>
      <w:r w:rsidR="00E61FA9" w:rsidRPr="002F3B0C">
        <w:rPr>
          <w:rStyle w:val="csa16174ba10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E61FA9" w:rsidRPr="002F3B0C">
        <w:rPr>
          <w:rStyle w:val="cs5e98e93010"/>
        </w:rPr>
        <w:t>CLI-06001AA1-05</w:t>
      </w:r>
      <w:r w:rsidR="00E61FA9" w:rsidRPr="002F3B0C">
        <w:rPr>
          <w:rStyle w:val="csa16174ba10"/>
        </w:rPr>
        <w:t>, версія 5.0 від 03 березня 2023 року; спонсор - «К’єзі Фармацевтічі С.п.А.» [Chiesi Farmaceutici S.p.A.], Італія</w:t>
      </w:r>
      <w:r w:rsidRPr="002F3B0C">
        <w:rPr>
          <w:rFonts w:ascii="Arial" w:hAnsi="Arial" w:cs="Arial"/>
          <w:sz w:val="20"/>
          <w:szCs w:val="20"/>
        </w:rPr>
        <w:cr/>
        <w:t>Заявник</w:t>
      </w:r>
      <w:r w:rsidR="00E61FA9" w:rsidRPr="002F3B0C">
        <w:rPr>
          <w:rFonts w:ascii="Arial" w:hAnsi="Arial" w:cs="Arial"/>
          <w:sz w:val="20"/>
          <w:szCs w:val="20"/>
        </w:rPr>
        <w:t xml:space="preserve"> - ТОВ «ФОРТРІА ДЕВЕЛОПМЕНТ УКРАЇНА»</w:t>
      </w:r>
    </w:p>
    <w:p w:rsidR="00DC09C2" w:rsidRPr="002F3B0C" w:rsidRDefault="00DC09C2" w:rsidP="002F3B0C">
      <w:pPr>
        <w:jc w:val="both"/>
        <w:rPr>
          <w:rFonts w:ascii="Arial" w:hAnsi="Arial" w:cs="Arial"/>
          <w:sz w:val="20"/>
          <w:szCs w:val="20"/>
        </w:rPr>
      </w:pPr>
    </w:p>
    <w:p w:rsidR="0037051A" w:rsidRPr="002F3B0C" w:rsidRDefault="0037051A" w:rsidP="002F3B0C">
      <w:pPr>
        <w:jc w:val="both"/>
        <w:rPr>
          <w:rFonts w:ascii="Arial" w:hAnsi="Arial" w:cs="Arial"/>
          <w:sz w:val="20"/>
          <w:szCs w:val="20"/>
        </w:rPr>
      </w:pPr>
    </w:p>
    <w:p w:rsidR="0037051A" w:rsidRPr="002F3B0C" w:rsidRDefault="00DC09C2" w:rsidP="002F3B0C">
      <w:pPr>
        <w:jc w:val="both"/>
        <w:rPr>
          <w:rFonts w:ascii="Arial" w:hAnsi="Arial" w:cs="Arial"/>
          <w:sz w:val="20"/>
          <w:szCs w:val="20"/>
        </w:rPr>
      </w:pPr>
      <w:r w:rsidRPr="002F3B0C">
        <w:rPr>
          <w:rStyle w:val="cs80d9435b11"/>
          <w:rFonts w:ascii="Arial" w:hAnsi="Arial" w:cs="Arial"/>
          <w:b/>
          <w:sz w:val="20"/>
          <w:szCs w:val="20"/>
        </w:rPr>
        <w:t xml:space="preserve">11. </w:t>
      </w:r>
      <w:r w:rsidR="00E61FA9" w:rsidRPr="002F3B0C">
        <w:rPr>
          <w:rStyle w:val="cs5e98e93011"/>
        </w:rPr>
        <w:t>Матеріали для пацієнтів «BaxDuo Arctic Ваш експрес-путівник попереднім скринінгом», версія 1.0 від 07.05.2024р. для України українською мовою; Картка BaxDuo Arctic щодо інформації для пацієнтів у разі невідкладної ситуації, версія 1.0 від 13.05.2024р. для України українською мовою; Експрес-довідник «BaxDuo Arctic Нове клінічне дослідження для хворих на хронічну хворобу нирок, що супроводжується високим артеріальним тиском» версія 1.0 від 01.05.2024р. для України українською мовою; Експрес-нагадування для пацієнтів «BaxDuo Arctic Вітаємо — ви пройшли вже половину шляху!», версія 1.0 від 13.05.2024р. для України українською мовою; Постер «НЕ ВСЕ ПРАЦЮЄ КРАЩЕ ПІД ТИСКОМ. ЧИ НЕ ТАК?», версія 1.0 від 01.05.2024р. для України українською мовою; Посібник «BaxDuo Arctic Ваш путівник дослідженням», версія 1.0 від 06.06.2024р. для України українською мовою; Довідник «BaxDuo Arctic Довідник щодо передбачених дослідженням візитів», версія 1.0 від 17.06.2024р. для України українською мовою; Картка учасника дослідження, локальна версія 1.1 від 30 липня 2024 року для України українською мовою на основі Мастер версії номер 1.0 від 20 листопада 2023 року; Збільшення кількості досліджуваних пацієнтів з 80 до 270 включених пацієнтів в Україні</w:t>
      </w:r>
      <w:r w:rsidR="00E61FA9" w:rsidRPr="002F3B0C">
        <w:rPr>
          <w:rStyle w:val="csa16174ba11"/>
        </w:rPr>
        <w:t xml:space="preserve"> до протоколу клінічного дослідження «Рандомізоване, подвійне сліпе, активно контрольоване дослідження фази 3 для оцінки ефективності, безпеки та переносимості </w:t>
      </w:r>
      <w:r w:rsidR="00E61FA9" w:rsidRPr="002F3B0C">
        <w:rPr>
          <w:rStyle w:val="cs5e98e93011"/>
        </w:rPr>
        <w:t>Баксдростату</w:t>
      </w:r>
      <w:r w:rsidR="00E61FA9" w:rsidRPr="002F3B0C">
        <w:rPr>
          <w:rStyle w:val="csa16174ba11"/>
        </w:rPr>
        <w:t xml:space="preserve"> в комбінації з Дапагліфлозином у порівнянні з монотерапією Дапагліфлозином щодо прогресування хронічної хвороби нирок (ХХН) у учасників із ХХН та високим кров’яним тиском», код дослідження </w:t>
      </w:r>
      <w:r w:rsidR="00E61FA9" w:rsidRPr="002F3B0C">
        <w:rPr>
          <w:rStyle w:val="cs5e98e93011"/>
        </w:rPr>
        <w:t>D6972C00003</w:t>
      </w:r>
      <w:r w:rsidR="00E61FA9" w:rsidRPr="002F3B0C">
        <w:rPr>
          <w:rStyle w:val="csa16174ba11"/>
        </w:rPr>
        <w:t>, версія 3.0 від 15 березня 2024 року; спонсор - AstraZeneca AB, Sweden</w:t>
      </w:r>
      <w:r w:rsidRPr="002F3B0C">
        <w:rPr>
          <w:rFonts w:ascii="Arial" w:hAnsi="Arial" w:cs="Arial"/>
          <w:sz w:val="20"/>
          <w:szCs w:val="20"/>
        </w:rPr>
        <w:cr/>
        <w:t>Заявник</w:t>
      </w:r>
      <w:r w:rsidR="00E61FA9" w:rsidRPr="002F3B0C">
        <w:rPr>
          <w:rFonts w:ascii="Arial" w:hAnsi="Arial" w:cs="Arial"/>
          <w:sz w:val="20"/>
          <w:szCs w:val="20"/>
        </w:rPr>
        <w:t xml:space="preserve"> - Т</w:t>
      </w:r>
      <w:bookmarkStart w:id="0" w:name="_GoBack"/>
      <w:bookmarkEnd w:id="0"/>
      <w:r w:rsidR="00E61FA9" w:rsidRPr="002F3B0C">
        <w:rPr>
          <w:rFonts w:ascii="Arial" w:hAnsi="Arial" w:cs="Arial"/>
          <w:sz w:val="20"/>
          <w:szCs w:val="20"/>
        </w:rPr>
        <w:t>ОВ «АСТРАЗЕНЕКА УКРАЇНА»</w:t>
      </w:r>
      <w:r w:rsidRPr="002F3B0C">
        <w:rPr>
          <w:rFonts w:ascii="Arial" w:hAnsi="Arial" w:cs="Arial"/>
          <w:sz w:val="20"/>
          <w:szCs w:val="20"/>
        </w:rPr>
        <w:t xml:space="preserve"> </w:t>
      </w:r>
    </w:p>
    <w:sectPr w:rsidR="0037051A" w:rsidRPr="002F3B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9D6" w:rsidRDefault="008749D6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749D6" w:rsidRDefault="008749D6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1A" w:rsidRDefault="0037051A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1A" w:rsidRDefault="00E61FA9">
    <w:pPr>
      <w:pStyle w:val="a4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2F3B0C" w:rsidRPr="002F3B0C">
      <w:rPr>
        <w:noProof/>
        <w:sz w:val="20"/>
        <w:szCs w:val="20"/>
        <w:lang w:val="ru-RU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1A" w:rsidRDefault="0037051A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9D6" w:rsidRDefault="008749D6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749D6" w:rsidRDefault="008749D6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1A" w:rsidRDefault="0037051A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1A" w:rsidRDefault="0037051A">
    <w:pPr>
      <w:pStyle w:val="a3"/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1A" w:rsidRDefault="0037051A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6520"/>
    <w:multiLevelType w:val="multilevel"/>
    <w:tmpl w:val="934438EA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="Arial" w:hAnsi="Arial" w:cs="Arial"/>
        <w:sz w:val="20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ascii="Arial" w:hAnsi="Arial" w:cs="Arial"/>
        <w:sz w:val="20"/>
      </w:rPr>
    </w:lvl>
    <w:lvl w:ilvl="2">
      <w:start w:val="1"/>
      <w:numFmt w:val="decimal"/>
      <w:lvlText w:val="1.2.%3."/>
      <w:lvlJc w:val="left"/>
      <w:pPr>
        <w:ind w:left="1225" w:hanging="505"/>
      </w:pPr>
      <w:rPr>
        <w:rFonts w:ascii="Arial" w:hAnsi="Arial" w:cs="Arial" w:hint="default"/>
        <w:b/>
        <w:i w:val="0"/>
        <w:sz w:val="20"/>
      </w:rPr>
    </w:lvl>
    <w:lvl w:ilvl="3">
      <w:start w:val="1"/>
      <w:numFmt w:val="decimal"/>
      <w:lvlText w:val="1.1.2.%4."/>
      <w:lvlJc w:val="left"/>
      <w:pPr>
        <w:ind w:left="1729" w:hanging="652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B5019F7"/>
    <w:multiLevelType w:val="multilevel"/>
    <w:tmpl w:val="F16655E0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="Arial" w:hAnsi="Arial" w:cs="Arial"/>
        <w:sz w:val="20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ascii="Arial" w:hAnsi="Arial" w:cs="Arial"/>
        <w:sz w:val="20"/>
      </w:rPr>
    </w:lvl>
    <w:lvl w:ilvl="2">
      <w:start w:val="1"/>
      <w:numFmt w:val="decimal"/>
      <w:lvlText w:val="1.1.%3."/>
      <w:lvlJc w:val="left"/>
      <w:pPr>
        <w:ind w:left="1225" w:hanging="505"/>
      </w:pPr>
      <w:rPr>
        <w:rFonts w:ascii="Arial" w:hAnsi="Arial" w:cs="Arial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1.1.1.%4."/>
      <w:lvlJc w:val="left"/>
      <w:pPr>
        <w:ind w:left="1729" w:hanging="652"/>
      </w:pPr>
      <w:rPr>
        <w:rFonts w:ascii="Arial" w:hAnsi="Arial"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A9"/>
    <w:rsid w:val="00041670"/>
    <w:rsid w:val="00097B89"/>
    <w:rsid w:val="00197689"/>
    <w:rsid w:val="00230AFB"/>
    <w:rsid w:val="002713A8"/>
    <w:rsid w:val="002F3B0C"/>
    <w:rsid w:val="00353D75"/>
    <w:rsid w:val="0036091A"/>
    <w:rsid w:val="0037051A"/>
    <w:rsid w:val="003C320C"/>
    <w:rsid w:val="003C79CC"/>
    <w:rsid w:val="00435419"/>
    <w:rsid w:val="004411F5"/>
    <w:rsid w:val="004E291A"/>
    <w:rsid w:val="004E5475"/>
    <w:rsid w:val="00514B74"/>
    <w:rsid w:val="005F1051"/>
    <w:rsid w:val="008749D6"/>
    <w:rsid w:val="00995EAE"/>
    <w:rsid w:val="00AA6230"/>
    <w:rsid w:val="00C04EB0"/>
    <w:rsid w:val="00CB52D1"/>
    <w:rsid w:val="00D448DA"/>
    <w:rsid w:val="00D678F0"/>
    <w:rsid w:val="00DC09C2"/>
    <w:rsid w:val="00E416AF"/>
    <w:rsid w:val="00E61FA9"/>
    <w:rsid w:val="00F07695"/>
    <w:rsid w:val="00F2625B"/>
    <w:rsid w:val="00F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9B1B4D"/>
  <w15:chartTrackingRefBased/>
  <w15:docId w15:val="{5ECCBC22-2F19-485F-8C18-2242FA69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6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6"/>
    <w:locked/>
    <w:rPr>
      <w:sz w:val="24"/>
      <w:szCs w:val="24"/>
    </w:rPr>
  </w:style>
  <w:style w:type="paragraph" w:customStyle="1" w:styleId="17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7"/>
    <w:uiPriority w:val="99"/>
    <w:locked/>
    <w:rPr>
      <w:sz w:val="24"/>
      <w:szCs w:val="24"/>
    </w:rPr>
  </w:style>
  <w:style w:type="paragraph" w:customStyle="1" w:styleId="18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8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9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9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a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cae5a353">
    <w:name w:val="cscae5a35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5c0df47">
    <w:name w:val="cs65c0df4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6eb156f">
    <w:name w:val="cs76eb156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10d9dbb">
    <w:name w:val="cs810d9d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041362">
    <w:name w:val="cs8a04136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06729ff">
    <w:name w:val="cs806729f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77bd0ee">
    <w:name w:val="cs377bd0e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874651f4">
    <w:name w:val="cs874651f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e841751">
    <w:name w:val="cs6e84175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c1f1b974">
    <w:name w:val="csc1f1b97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ca96c">
    <w:name w:val="cs50dca96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dbe6d7">
    <w:name w:val="cscdbe6d7"/>
    <w:basedOn w:val="a"/>
    <w:pPr>
      <w:spacing w:before="100" w:beforeAutospacing="1" w:after="100" w:afterAutospacing="1"/>
      <w:ind w:left="-10"/>
    </w:pPr>
    <w:rPr>
      <w:rFonts w:eastAsiaTheme="minorEastAsia"/>
    </w:rPr>
  </w:style>
  <w:style w:type="paragraph" w:customStyle="1" w:styleId="csd7ccce11">
    <w:name w:val="csd7ccce1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12de15">
    <w:name w:val="cs7012de1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table" w:styleId="ae">
    <w:name w:val="Table Grid"/>
    <w:basedOn w:val="a1"/>
    <w:rsid w:val="0044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FBDA-6253-41C0-AB28-3F14FB14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1678</Words>
  <Characters>12195</Characters>
  <Application>Microsoft Office Word</Application>
  <DocSecurity>0</DocSecurity>
  <Lines>101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2</cp:revision>
  <cp:lastPrinted>2024-09-04T10:56:00Z</cp:lastPrinted>
  <dcterms:created xsi:type="dcterms:W3CDTF">2024-09-04T11:05:00Z</dcterms:created>
  <dcterms:modified xsi:type="dcterms:W3CDTF">2024-09-04T11:05:00Z</dcterms:modified>
</cp:coreProperties>
</file>