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1E" w:rsidRPr="004424FA" w:rsidRDefault="00572C1E" w:rsidP="004424FA">
      <w:pPr>
        <w:ind w:right="-125"/>
        <w:jc w:val="right"/>
        <w:rPr>
          <w:rFonts w:ascii="Arial" w:hAnsi="Arial" w:cs="Arial"/>
          <w:b/>
          <w:sz w:val="20"/>
          <w:szCs w:val="20"/>
          <w:lang w:val="en-US"/>
        </w:rPr>
      </w:pPr>
      <w:r w:rsidRPr="004424FA">
        <w:rPr>
          <w:rFonts w:ascii="Arial" w:hAnsi="Arial" w:cs="Arial"/>
          <w:b/>
          <w:sz w:val="20"/>
          <w:szCs w:val="20"/>
          <w:lang w:val="en-US"/>
        </w:rPr>
        <w:t>Додаток</w:t>
      </w:r>
      <w:r w:rsidR="004424FA">
        <w:rPr>
          <w:rFonts w:ascii="Arial" w:hAnsi="Arial" w:cs="Arial"/>
          <w:b/>
          <w:sz w:val="20"/>
          <w:szCs w:val="20"/>
        </w:rPr>
        <w:t xml:space="preserve"> </w:t>
      </w:r>
      <w:r w:rsidRPr="004424FA">
        <w:rPr>
          <w:rFonts w:ascii="Arial" w:hAnsi="Arial" w:cs="Arial"/>
          <w:b/>
          <w:sz w:val="20"/>
          <w:szCs w:val="20"/>
          <w:lang w:val="en-US"/>
        </w:rPr>
        <w:t>1</w:t>
      </w:r>
    </w:p>
    <w:p w:rsidR="00572C1E" w:rsidRPr="004424FA" w:rsidRDefault="00572C1E" w:rsidP="004424FA">
      <w:pPr>
        <w:ind w:right="-125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572C1E" w:rsidRPr="004424FA" w:rsidRDefault="00572C1E" w:rsidP="004424FA">
      <w:pPr>
        <w:ind w:right="-125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424FA">
        <w:rPr>
          <w:rFonts w:ascii="Arial" w:hAnsi="Arial" w:cs="Arial"/>
          <w:b/>
          <w:sz w:val="20"/>
          <w:szCs w:val="20"/>
          <w:lang w:val="en-US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01 від 08.01.26, НТР № 01 від 08.01.26, на які були отримані позитивні висновки експертів»</w:t>
      </w:r>
    </w:p>
    <w:p w:rsidR="00572C1E" w:rsidRPr="004424FA" w:rsidRDefault="00572C1E" w:rsidP="004424FA">
      <w:pPr>
        <w:ind w:right="-125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427B0" w:rsidRPr="004424FA" w:rsidRDefault="006427B0" w:rsidP="004424FA">
      <w:pPr>
        <w:ind w:right="-125"/>
        <w:jc w:val="both"/>
        <w:rPr>
          <w:rFonts w:ascii="Arial" w:hAnsi="Arial" w:cs="Arial"/>
          <w:sz w:val="20"/>
          <w:szCs w:val="20"/>
          <w:lang w:val="en-US"/>
        </w:rPr>
      </w:pPr>
    </w:p>
    <w:p w:rsidR="006427B0" w:rsidRPr="004424FA" w:rsidRDefault="00572C1E" w:rsidP="004424FA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en-US"/>
        </w:rPr>
      </w:pPr>
      <w:r w:rsidRPr="004424FA">
        <w:rPr>
          <w:rStyle w:val="cs80d9435b1"/>
          <w:rFonts w:ascii="Arial" w:hAnsi="Arial" w:cs="Arial"/>
          <w:b/>
          <w:sz w:val="20"/>
          <w:lang w:val="en-US"/>
        </w:rPr>
        <w:t xml:space="preserve">1. </w:t>
      </w:r>
      <w:r w:rsidR="0028501A" w:rsidRPr="004424FA">
        <w:rPr>
          <w:rStyle w:val="csa16174ba1"/>
          <w:lang w:val="en-US"/>
        </w:rPr>
        <w:t xml:space="preserve">«Багатоцентрове, в паралельних групах, рандомізоване, подвійне сліпе дослідження фази 2 в чотирьох групах для оцінки ефективності та безпеки </w:t>
      </w:r>
      <w:r w:rsidR="0028501A" w:rsidRPr="004424FA">
        <w:rPr>
          <w:rStyle w:val="cs5e98e9301"/>
          <w:lang w:val="en-US"/>
        </w:rPr>
        <w:t>AZD1163</w:t>
      </w:r>
      <w:r w:rsidR="0028501A" w:rsidRPr="004424FA">
        <w:rPr>
          <w:rStyle w:val="csa16174ba1"/>
          <w:lang w:val="en-US"/>
        </w:rPr>
        <w:t xml:space="preserve"> у учасників з ревматоїдним артритом від помірної до високої активності (LaunchPAD-RA)», код дослідження </w:t>
      </w:r>
      <w:r w:rsidR="0028501A" w:rsidRPr="004424FA">
        <w:rPr>
          <w:rStyle w:val="cs5e98e9301"/>
          <w:lang w:val="en-US"/>
        </w:rPr>
        <w:t>D9640C00003</w:t>
      </w:r>
      <w:r w:rsidR="0028501A" w:rsidRPr="004424FA">
        <w:rPr>
          <w:rStyle w:val="csa16174ba1"/>
          <w:lang w:val="en-US"/>
        </w:rPr>
        <w:t xml:space="preserve">, версія 2.0 від </w:t>
      </w:r>
      <w:r w:rsidR="0076478E" w:rsidRPr="004424FA">
        <w:rPr>
          <w:rStyle w:val="csa16174ba1"/>
        </w:rPr>
        <w:t xml:space="preserve">                </w:t>
      </w:r>
      <w:r w:rsidR="0028501A" w:rsidRPr="004424FA">
        <w:rPr>
          <w:rStyle w:val="csa16174ba1"/>
          <w:lang w:val="en-US"/>
        </w:rPr>
        <w:t>30 вересня 2025 року, спонсор - AstraZeneca AB, Sweden</w:t>
      </w:r>
    </w:p>
    <w:p w:rsidR="006427B0" w:rsidRPr="004424FA" w:rsidRDefault="0028501A" w:rsidP="004424FA">
      <w:pPr>
        <w:pStyle w:val="cs80d9435b"/>
        <w:rPr>
          <w:rFonts w:ascii="Arial" w:hAnsi="Arial" w:cs="Arial"/>
          <w:sz w:val="20"/>
        </w:rPr>
      </w:pPr>
      <w:r w:rsidRPr="004424FA">
        <w:rPr>
          <w:rStyle w:val="csa16174ba1"/>
          <w:lang w:val="en-US"/>
        </w:rPr>
        <w:t>Фаза - ІІ</w:t>
      </w:r>
    </w:p>
    <w:p w:rsidR="006427B0" w:rsidRPr="004424FA" w:rsidRDefault="0028501A" w:rsidP="004424FA">
      <w:pPr>
        <w:pStyle w:val="cs80d9435b"/>
        <w:rPr>
          <w:rFonts w:ascii="Arial" w:hAnsi="Arial" w:cs="Arial"/>
          <w:sz w:val="20"/>
          <w:szCs w:val="20"/>
          <w:lang w:val="en-US"/>
        </w:rPr>
      </w:pPr>
      <w:r w:rsidRPr="004424FA">
        <w:rPr>
          <w:rStyle w:val="csa16174ba1"/>
          <w:lang w:val="en-US"/>
        </w:rPr>
        <w:t>Заявник - ТОВ «АСТРАЗЕНЕКА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6427B0" w:rsidRPr="004424FA" w:rsidTr="004D2854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П.І.Б. відповідального дослідника,</w:t>
            </w:r>
          </w:p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6427B0" w:rsidRPr="004424FA" w:rsidTr="004D2854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95e872d0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лікар Курильчик І.В.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6427B0" w:rsidRPr="004424FA" w:rsidTr="004D2854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95e872d0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к.м.н. Вацеба М.О.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6427B0" w:rsidRPr="004424FA" w:rsidTr="004D2854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95e872d0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к.м.н. Іванова К.А.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"/>
              </w:rPr>
              <w:t>Медичний центр товариства з обмеженою відповідальністю «Едельвейс Медікс», лікувально-профілактичний підрозділ, м. Київ</w:t>
            </w:r>
          </w:p>
        </w:tc>
      </w:tr>
    </w:tbl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6427B0" w:rsidRPr="004424FA" w:rsidRDefault="006427B0" w:rsidP="004424FA">
      <w:pPr>
        <w:jc w:val="both"/>
        <w:rPr>
          <w:rFonts w:ascii="Arial" w:hAnsi="Arial" w:cs="Arial"/>
          <w:sz w:val="20"/>
          <w:szCs w:val="20"/>
        </w:rPr>
      </w:pPr>
    </w:p>
    <w:p w:rsidR="006427B0" w:rsidRPr="004424FA" w:rsidRDefault="00572C1E" w:rsidP="004424FA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  <w:lang w:val="en-US"/>
        </w:rPr>
      </w:pPr>
      <w:r w:rsidRPr="004424FA">
        <w:rPr>
          <w:rStyle w:val="cs80d9435b2"/>
          <w:rFonts w:ascii="Arial" w:hAnsi="Arial" w:cs="Arial"/>
          <w:b/>
          <w:sz w:val="20"/>
          <w:lang w:val="en-US"/>
        </w:rPr>
        <w:t xml:space="preserve">2. </w:t>
      </w:r>
      <w:r w:rsidR="0028501A" w:rsidRPr="004424FA">
        <w:rPr>
          <w:rStyle w:val="csa16174ba2"/>
          <w:lang w:val="en-US"/>
        </w:rPr>
        <w:t xml:space="preserve">«Фаза ІІ, Міжнародне, багатоцентрове, подвійне сліпе, рандомізоване, контрольоване активним препаратом, трьохетапне перехресне дослідження для оцінки терапевтичної еквівалентності дозованого аерозольного інгалятора </w:t>
      </w:r>
      <w:r w:rsidR="0028501A" w:rsidRPr="004424FA">
        <w:rPr>
          <w:rStyle w:val="cs5e98e9302"/>
          <w:lang w:val="en-US"/>
        </w:rPr>
        <w:t>CHF5993</w:t>
      </w:r>
      <w:r w:rsidR="0028501A" w:rsidRPr="004424FA">
        <w:rPr>
          <w:rStyle w:val="cs5e98e9302"/>
          <w:b w:val="0"/>
          <w:lang w:val="en-US"/>
        </w:rPr>
        <w:t xml:space="preserve"> </w:t>
      </w:r>
      <w:r w:rsidR="0028501A" w:rsidRPr="004424FA">
        <w:rPr>
          <w:rStyle w:val="csa16174ba2"/>
          <w:b/>
          <w:lang w:val="en-US"/>
        </w:rPr>
        <w:t>з дозами 100/6/12,5 мкг HFA-152А</w:t>
      </w:r>
      <w:r w:rsidR="0028501A" w:rsidRPr="004424FA">
        <w:rPr>
          <w:rStyle w:val="csa16174ba2"/>
          <w:lang w:val="en-US"/>
        </w:rPr>
        <w:t xml:space="preserve"> у порівнянні з дозованим аерозольним інгалятором </w:t>
      </w:r>
      <w:r w:rsidR="0028501A" w:rsidRPr="004424FA">
        <w:rPr>
          <w:rStyle w:val="csa16174ba2"/>
          <w:b/>
          <w:lang w:val="en-US"/>
        </w:rPr>
        <w:t>CHF5993 з дозами 100/6/12,5 мкг HFA-134А</w:t>
      </w:r>
      <w:r w:rsidR="0028501A" w:rsidRPr="004424FA">
        <w:rPr>
          <w:rStyle w:val="csa16174ba2"/>
          <w:lang w:val="en-US"/>
        </w:rPr>
        <w:t xml:space="preserve"> у пацієнтів із бронхіальною астмою легкого та середнього ступеня тяжкості (дослідження TRECONY)», код дослідження </w:t>
      </w:r>
      <w:r w:rsidR="0028501A" w:rsidRPr="004424FA">
        <w:rPr>
          <w:rStyle w:val="cs5e98e9302"/>
          <w:lang w:val="en-US"/>
        </w:rPr>
        <w:t>CLI-05993AA9-01</w:t>
      </w:r>
      <w:r w:rsidR="0028501A" w:rsidRPr="004424FA">
        <w:rPr>
          <w:rStyle w:val="csa16174ba2"/>
          <w:lang w:val="en-US"/>
        </w:rPr>
        <w:t>, версія 2.0 від 21 липня 2025 року, спонсор - «К’єзі Фармацевтічі С.п.А», Італія</w:t>
      </w:r>
    </w:p>
    <w:p w:rsidR="006427B0" w:rsidRPr="004424FA" w:rsidRDefault="0028501A" w:rsidP="004424FA">
      <w:pPr>
        <w:pStyle w:val="cs80d9435b"/>
        <w:rPr>
          <w:rFonts w:ascii="Arial" w:hAnsi="Arial" w:cs="Arial"/>
          <w:sz w:val="20"/>
        </w:rPr>
      </w:pPr>
      <w:r w:rsidRPr="004424FA">
        <w:rPr>
          <w:rStyle w:val="csa16174ba2"/>
          <w:lang w:val="en-US"/>
        </w:rPr>
        <w:t>Фаза - ІІ</w:t>
      </w:r>
    </w:p>
    <w:p w:rsidR="006427B0" w:rsidRPr="004424FA" w:rsidRDefault="0028501A" w:rsidP="004424FA">
      <w:pPr>
        <w:pStyle w:val="cs80d9435b"/>
        <w:rPr>
          <w:rFonts w:ascii="Arial" w:hAnsi="Arial" w:cs="Arial"/>
          <w:sz w:val="20"/>
          <w:szCs w:val="20"/>
          <w:lang w:val="en-US"/>
        </w:rPr>
      </w:pPr>
      <w:r w:rsidRPr="004424FA">
        <w:rPr>
          <w:rStyle w:val="csa16174ba2"/>
          <w:lang w:val="en-US"/>
        </w:rPr>
        <w:t>Заявник - ТОВ «ФОРТРІА ДЕВЕЛОПМЕНТ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6427B0" w:rsidRPr="004424FA" w:rsidTr="0076478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4424FA">
              <w:rPr>
                <w:rStyle w:val="cs5e98e9302"/>
                <w:b w:val="0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4424FA">
              <w:rPr>
                <w:rStyle w:val="cs5e98e9302"/>
                <w:b w:val="0"/>
              </w:rPr>
              <w:t>П.І.Б. відповідального дослідника,</w:t>
            </w:r>
          </w:p>
          <w:p w:rsidR="006427B0" w:rsidRPr="004424FA" w:rsidRDefault="0076478E" w:rsidP="004424FA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4424FA">
              <w:rPr>
                <w:rStyle w:val="cs5e98e9302"/>
                <w:b w:val="0"/>
              </w:rPr>
              <w:t>Н</w:t>
            </w:r>
            <w:r w:rsidR="0028501A" w:rsidRPr="004424FA">
              <w:rPr>
                <w:rStyle w:val="cs5e98e9302"/>
                <w:b w:val="0"/>
              </w:rPr>
              <w:t>азва місця проведення клінічного випробування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Асанов Е.О.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внутрішніх органів, загальнотерапевтичне відділення, м. Київ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к.м.н. Добрянський Д.В.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Федоров С.В.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4.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к.м.н. Мигович В.В.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5.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Константинович Т.В.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 xml:space="preserve">Комунальне некомерційне підприємство «Вінницька міська клінічна лікарня </w:t>
            </w:r>
            <w:r w:rsidR="0076478E" w:rsidRPr="004424FA">
              <w:rPr>
                <w:rStyle w:val="csa16174ba2"/>
              </w:rPr>
              <w:t xml:space="preserve">                               </w:t>
            </w:r>
            <w:r w:rsidRPr="004424FA">
              <w:rPr>
                <w:rStyle w:val="csa16174ba2"/>
              </w:rPr>
              <w:t>№1»,</w:t>
            </w:r>
            <w:r w:rsidR="0076478E" w:rsidRPr="004424FA">
              <w:rPr>
                <w:rStyle w:val="csa16174ba2"/>
              </w:rPr>
              <w:t xml:space="preserve"> </w:t>
            </w:r>
            <w:r w:rsidRPr="004424FA">
              <w:rPr>
                <w:rStyle w:val="csa16174ba2"/>
              </w:rPr>
              <w:t>Клінічне пульмонологічне відділення, Вінницький національн</w:t>
            </w:r>
            <w:r w:rsidR="0076478E" w:rsidRPr="004424FA">
              <w:rPr>
                <w:rStyle w:val="csa16174ba2"/>
              </w:rPr>
              <w:t xml:space="preserve">ий медичний університетім. </w:t>
            </w:r>
            <w:r w:rsidRPr="004424FA">
              <w:rPr>
                <w:rStyle w:val="csa16174ba2"/>
              </w:rPr>
              <w:t>М.І. Пирогова, Кафедра пропедевтики внутрішньої медицини, м. Вінниця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6.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Коваленко С.В.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Обласне комунальне некомерційне підприємство «Чернівецька обласна клінічна лікарня», відділення пульмонології, м. Чернівці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7.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лікар Криворучко І.Г.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Лікувально-діагностичний центр Товариства з обмеженою відповідальністю «Медичний лікувально-діагностичний центр «МЕДІОН», поліклінічне відділення, м. Полтава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lastRenderedPageBreak/>
              <w:t>8.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лікар Новосьолова Ю.Є.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Комунальне некомерційне підприємство «Одеська обласна клінічна лікарня» Одеської обласної ради, відділення пульмонології, м. Одеса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9.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Островський М.М.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Комунальне некомерційне підприємство «Центр інфекційних захворювань Івано-Франківської обласної ради», пульмонологічне відділення, м. Івано-Франківськ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10.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к.м.н. Примушко Н.А.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пульмонології, м. Київ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11.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д.м.н., проф. Шевчук С.В.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«Університетська клініка» Вінницького національного медичного університету</w:t>
            </w:r>
            <w:r w:rsidR="0076478E" w:rsidRPr="004424FA">
              <w:rPr>
                <w:rStyle w:val="csa16174ba2"/>
              </w:rPr>
              <w:t xml:space="preserve">                                 </w:t>
            </w:r>
            <w:r w:rsidRPr="004424FA">
              <w:rPr>
                <w:rStyle w:val="csa16174ba2"/>
              </w:rPr>
              <w:t>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6427B0" w:rsidRPr="004424FA" w:rsidTr="0076478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12.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>к.м.н. Слепченко Н.С.</w:t>
            </w:r>
          </w:p>
          <w:p w:rsidR="006427B0" w:rsidRPr="004424FA" w:rsidRDefault="0028501A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2"/>
              </w:rPr>
              <w:t xml:space="preserve">Комунальне некомерційне підприємство «Вінницька міська клінічна лікарня №1», </w:t>
            </w:r>
            <w:r w:rsidR="0076478E" w:rsidRPr="004424FA">
              <w:rPr>
                <w:rStyle w:val="csa16174ba2"/>
              </w:rPr>
              <w:t xml:space="preserve">             </w:t>
            </w:r>
            <w:r w:rsidRPr="004424FA">
              <w:rPr>
                <w:rStyle w:val="csa16174ba2"/>
              </w:rPr>
              <w:t>клінічне терапевтичне відділення №1, Вінницький національний медичний університет</w:t>
            </w:r>
            <w:r w:rsidR="0076478E" w:rsidRPr="004424FA">
              <w:rPr>
                <w:rStyle w:val="csa16174ba2"/>
              </w:rPr>
              <w:t xml:space="preserve">              </w:t>
            </w:r>
            <w:r w:rsidRPr="004424FA">
              <w:rPr>
                <w:rStyle w:val="csa16174ba2"/>
              </w:rPr>
              <w:t>ім. М.І. Пирогова, кафедра пропедевтики внутрішньої медицини, м. Вінниця</w:t>
            </w:r>
          </w:p>
        </w:tc>
      </w:tr>
    </w:tbl>
    <w:p w:rsidR="006427B0" w:rsidRPr="004424FA" w:rsidRDefault="006427B0" w:rsidP="004424FA">
      <w:pPr>
        <w:jc w:val="both"/>
        <w:rPr>
          <w:rFonts w:ascii="Arial" w:hAnsi="Arial" w:cs="Arial"/>
          <w:sz w:val="20"/>
          <w:szCs w:val="18"/>
        </w:rPr>
      </w:pPr>
    </w:p>
    <w:p w:rsidR="00572C1E" w:rsidRPr="004424FA" w:rsidRDefault="00572C1E" w:rsidP="004424FA">
      <w:pPr>
        <w:rPr>
          <w:rFonts w:ascii="Arial" w:hAnsi="Arial" w:cs="Arial"/>
          <w:b/>
          <w:sz w:val="20"/>
          <w:szCs w:val="20"/>
          <w:lang w:val="en-US"/>
        </w:rPr>
      </w:pPr>
    </w:p>
    <w:p w:rsidR="00572C1E" w:rsidRPr="004424FA" w:rsidRDefault="00572C1E" w:rsidP="004424FA">
      <w:pPr>
        <w:jc w:val="both"/>
        <w:rPr>
          <w:rStyle w:val="cs80d9435b1"/>
          <w:rFonts w:ascii="Arial" w:hAnsi="Arial" w:cs="Arial"/>
          <w:sz w:val="20"/>
        </w:rPr>
      </w:pPr>
      <w:r w:rsidRPr="004424FA">
        <w:rPr>
          <w:rStyle w:val="cs80d9435b1"/>
          <w:rFonts w:ascii="Arial" w:hAnsi="Arial" w:cs="Arial"/>
          <w:b/>
          <w:sz w:val="20"/>
          <w:szCs w:val="20"/>
          <w:lang w:val="en-US"/>
        </w:rPr>
        <w:t xml:space="preserve">3. </w:t>
      </w:r>
      <w:r w:rsidRPr="004424FA">
        <w:rPr>
          <w:rStyle w:val="cs5e98e9301"/>
        </w:rPr>
        <w:t>Оновлене Досьє досліджуваного лікарського засобу тифцемалімаб – Розділ Quality, версія 4.0 від 20 листопада 2025 року; Інформація для пацієнта і Форма інформованої згоди, Модель для України, версія 3.0 від 12 листопада 2025 року, українською та російською мовами</w:t>
      </w:r>
      <w:r w:rsidRPr="004424FA">
        <w:rPr>
          <w:rStyle w:val="csa16174ba1"/>
        </w:rPr>
        <w:t xml:space="preserve"> до протоколу клінічного дослідження «Рандомізоване, подвійне сліпе, плацебо-контрольоване, мультирегіональне клінічне дослідження III фази з оцінки </w:t>
      </w:r>
      <w:r w:rsidRPr="004424FA">
        <w:rPr>
          <w:rStyle w:val="cs5e98e9301"/>
        </w:rPr>
        <w:t xml:space="preserve">торипалімабу </w:t>
      </w:r>
      <w:r w:rsidRPr="004424FA">
        <w:rPr>
          <w:rStyle w:val="csa16174ba1"/>
        </w:rPr>
        <w:t xml:space="preserve">при його застосуванні у вигляді монотерапії або у комбінації з </w:t>
      </w:r>
      <w:r w:rsidRPr="004424FA">
        <w:rPr>
          <w:rStyle w:val="cs5e98e9301"/>
        </w:rPr>
        <w:t>тифцемалімабом (JS004/TAB004)</w:t>
      </w:r>
      <w:r w:rsidRPr="004424FA">
        <w:rPr>
          <w:rStyle w:val="csa16174ba1"/>
        </w:rPr>
        <w:t xml:space="preserve"> в якості консолідаційної терапії у пацієнтів з локалізованим дрібноклітинним раком легень без прогресування захворювання після проведеної хіміопроменевої терапії», код дослідження </w:t>
      </w:r>
      <w:r w:rsidRPr="004424FA">
        <w:rPr>
          <w:rStyle w:val="cs5e98e9301"/>
        </w:rPr>
        <w:t>JS004-008-III-SCLC</w:t>
      </w:r>
      <w:r w:rsidRPr="004424FA">
        <w:rPr>
          <w:rStyle w:val="csa16174ba1"/>
        </w:rPr>
        <w:t>, версія 3.0 від 28 травня 2024 року; спонсор - «Шанхай Цзюньші Байосайенсез Ко., Лтд.», Китай [Shanghai Junshi Biosciences Co., Ltd., China]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2"/>
          <w:rFonts w:ascii="Arial" w:hAnsi="Arial" w:cs="Arial"/>
          <w:sz w:val="20"/>
        </w:rPr>
      </w:pPr>
      <w:r w:rsidRPr="004424FA">
        <w:rPr>
          <w:rStyle w:val="cs80d9435b2"/>
          <w:rFonts w:ascii="Arial" w:hAnsi="Arial" w:cs="Arial"/>
          <w:b/>
          <w:sz w:val="20"/>
          <w:szCs w:val="20"/>
          <w:lang w:val="en-US"/>
        </w:rPr>
        <w:t xml:space="preserve">4. </w:t>
      </w:r>
      <w:r w:rsidRPr="004424FA">
        <w:rPr>
          <w:rStyle w:val="cs5e98e9302"/>
        </w:rPr>
        <w:t>Брошура дослідника для CND261, версія 4.0 від 12 листопада 2025 року, англійською мовою; Досьє з якості досліджуваного лікарського засобу (IMPD) CND261, версія 2.0 від</w:t>
      </w:r>
      <w:r w:rsidR="004424FA">
        <w:rPr>
          <w:rStyle w:val="cs5e98e9302"/>
        </w:rPr>
        <w:t xml:space="preserve"> </w:t>
      </w:r>
      <w:r w:rsidRPr="004424FA">
        <w:rPr>
          <w:rStyle w:val="cs5e98e9302"/>
        </w:rPr>
        <w:t>21 листопада 2025 року, англійською мовою</w:t>
      </w:r>
      <w:r w:rsidRPr="004424FA">
        <w:rPr>
          <w:rStyle w:val="csa16174ba2"/>
        </w:rPr>
        <w:t xml:space="preserve"> до протоколу клінічного дослідження «Відкрите багатоцентрове дослідження фази 1b для оцінки безпечності, переносимості, фармакокінетики, фармакодинаміки, імуногенності і попередньої оцінки клінічної активності препарату </w:t>
      </w:r>
      <w:r w:rsidRPr="004424FA">
        <w:rPr>
          <w:rStyle w:val="cs5e98e9302"/>
        </w:rPr>
        <w:t>CND261</w:t>
      </w:r>
      <w:r w:rsidRPr="004424FA">
        <w:rPr>
          <w:rStyle w:val="csa16174ba2"/>
        </w:rPr>
        <w:t xml:space="preserve"> у пацієнтів із серопозитивним ревматоїдним артритом», код дослідження </w:t>
      </w:r>
      <w:r w:rsidRPr="004424FA">
        <w:rPr>
          <w:rStyle w:val="cs5e98e9302"/>
        </w:rPr>
        <w:t>CND261-101</w:t>
      </w:r>
      <w:r w:rsidRPr="004424FA">
        <w:rPr>
          <w:rStyle w:val="csa16174ba2"/>
        </w:rPr>
        <w:t>, версія 4.0 від 27 серпня 2025 року; спонсор - Кандід Терапьютікс, Інк., США/ Candid Therapeutics, Inc., USA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3"/>
          <w:rFonts w:ascii="Arial" w:hAnsi="Arial" w:cs="Arial"/>
          <w:sz w:val="20"/>
        </w:rPr>
      </w:pPr>
      <w:r w:rsidRPr="004424FA">
        <w:rPr>
          <w:rStyle w:val="cs80d9435b3"/>
          <w:rFonts w:ascii="Arial" w:hAnsi="Arial" w:cs="Arial"/>
          <w:b/>
          <w:sz w:val="20"/>
          <w:szCs w:val="20"/>
          <w:lang w:val="en-US"/>
        </w:rPr>
        <w:t xml:space="preserve">5. </w:t>
      </w:r>
      <w:r w:rsidRPr="004424FA">
        <w:rPr>
          <w:rStyle w:val="cs5e98e9303"/>
        </w:rPr>
        <w:t>Включення додаткового місця проведення клінічного випробування</w:t>
      </w:r>
      <w:r w:rsidRPr="004424FA">
        <w:rPr>
          <w:rStyle w:val="csa16174ba3"/>
        </w:rPr>
        <w:t xml:space="preserve"> до протоколу клінічного дослідження «KEYMAKER-U01 піддослідження 01J: Рандомізоване парасолькове дослідження II фази з почерговими групами досліджуваних препаратів, для першої лінії лікування учасників із розповсюдженим або метастатичним неплоскоклітинним недрібноклітинним раком легенів (НДKРЛ) з мутаціями KRAS G12C», код дослідження </w:t>
      </w:r>
      <w:r w:rsidRPr="004424FA">
        <w:rPr>
          <w:rStyle w:val="cs5e98e9303"/>
        </w:rPr>
        <w:t>MK-3475-01J</w:t>
      </w:r>
      <w:r w:rsidRPr="004424FA">
        <w:rPr>
          <w:rStyle w:val="csa16174ba3"/>
        </w:rPr>
        <w:t xml:space="preserve">, версія 00 від 12 серпня 2025 року; спонсор - ТОВ Мерк Шарп енд Доум, США (Merck Sharp &amp; Dohme LLC), USA 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1"/>
      </w:tblGrid>
      <w:tr w:rsidR="00572C1E" w:rsidRPr="004424FA" w:rsidTr="00DD3BAB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№</w:t>
            </w:r>
          </w:p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П.І.Б. відповідального дослідника</w:t>
            </w:r>
          </w:p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572C1E" w:rsidRPr="004424FA" w:rsidTr="00DD3BAB">
        <w:trPr>
          <w:trHeight w:val="392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f06cd379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лікар Скуренко О.Я.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3"/>
              </w:rPr>
              <w:t>Товариство з обмеженою відповідальністю «Український центр томотерапії», Медичний центр, відділення хіміотерапії, м. Кропивницький</w:t>
            </w:r>
          </w:p>
        </w:tc>
      </w:tr>
    </w:tbl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4"/>
          <w:rFonts w:ascii="Arial" w:hAnsi="Arial" w:cs="Arial"/>
          <w:sz w:val="20"/>
        </w:rPr>
      </w:pPr>
      <w:r w:rsidRPr="004424FA">
        <w:rPr>
          <w:rStyle w:val="cs80d9435b4"/>
          <w:rFonts w:ascii="Arial" w:hAnsi="Arial" w:cs="Arial"/>
          <w:b/>
          <w:sz w:val="20"/>
          <w:szCs w:val="20"/>
          <w:lang w:val="en-US"/>
        </w:rPr>
        <w:t xml:space="preserve">6. </w:t>
      </w:r>
      <w:r w:rsidRPr="004424FA">
        <w:rPr>
          <w:rStyle w:val="cs5e98e9304"/>
        </w:rPr>
        <w:t>Зміна місця проведення клінічного випробування</w:t>
      </w:r>
      <w:r w:rsidRPr="004424FA">
        <w:rPr>
          <w:rStyle w:val="csa16174ba4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Pr="004424FA">
        <w:rPr>
          <w:rStyle w:val="cs5e98e9304"/>
        </w:rPr>
        <w:lastRenderedPageBreak/>
        <w:t>ФЕНЕБРУТИНІБУ</w:t>
      </w:r>
      <w:r w:rsidRPr="004424FA">
        <w:rPr>
          <w:rStyle w:val="csa16174ba4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Pr="004424FA">
        <w:rPr>
          <w:rStyle w:val="cs5e98e9304"/>
        </w:rPr>
        <w:t>GN41851</w:t>
      </w:r>
      <w:r w:rsidRPr="004424FA">
        <w:rPr>
          <w:rStyle w:val="csa16174ba4"/>
        </w:rPr>
        <w:t>, версія 8 від 13 лютого 2025 р.; спонсор - Ф.Хоффманн-Ля Рош Лтд, Швейцарія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«Рош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7"/>
      </w:tblGrid>
      <w:tr w:rsidR="00572C1E" w:rsidRPr="004424FA" w:rsidTr="00DD3BAB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4"/>
              </w:rPr>
              <w:t xml:space="preserve">СТАЛО </w:t>
            </w:r>
          </w:p>
        </w:tc>
      </w:tr>
      <w:tr w:rsidR="00572C1E" w:rsidRPr="004424FA" w:rsidTr="00DD3BAB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f06cd379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4"/>
              </w:rPr>
              <w:t>к.м.н. Хавунка М.Я.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5e98e9304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 відокремлений підрозділ, «5-а Лікарня», неврологічне відділення з медичною реабілітацією</w:t>
            </w:r>
            <w:r w:rsidRPr="004424FA">
              <w:rPr>
                <w:rStyle w:val="csa16174ba4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4"/>
              </w:rPr>
              <w:t>к.м.н. Хавунка М.Я.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5e98e9304"/>
              </w:rPr>
              <w:t>Товариство з обмеженою відповідальністю «НЕЙРОФОКУС»</w:t>
            </w:r>
            <w:r w:rsidRPr="004424FA">
              <w:rPr>
                <w:rStyle w:val="csa16174ba4"/>
              </w:rPr>
              <w:t>, м. Львів</w:t>
            </w:r>
          </w:p>
        </w:tc>
      </w:tr>
    </w:tbl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5"/>
          <w:rFonts w:ascii="Arial" w:hAnsi="Arial" w:cs="Arial"/>
          <w:sz w:val="20"/>
        </w:rPr>
      </w:pPr>
      <w:r w:rsidRPr="004424FA">
        <w:rPr>
          <w:rStyle w:val="cs80d9435b5"/>
          <w:rFonts w:ascii="Arial" w:hAnsi="Arial" w:cs="Arial"/>
          <w:b/>
          <w:sz w:val="20"/>
          <w:lang w:val="en-US"/>
        </w:rPr>
        <w:t xml:space="preserve">7. </w:t>
      </w:r>
      <w:r w:rsidRPr="004424FA">
        <w:rPr>
          <w:rStyle w:val="cs5e98e9305"/>
        </w:rPr>
        <w:t>Зміна місця проведення клінічного випробування</w:t>
      </w:r>
      <w:r w:rsidRPr="004424FA">
        <w:rPr>
          <w:rStyle w:val="csa16174ba5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Pr="004424FA">
        <w:rPr>
          <w:rStyle w:val="cs5e98e9305"/>
        </w:rPr>
        <w:t>ФЕНЕБРУТИНІБУ</w:t>
      </w:r>
      <w:r w:rsidRPr="004424FA">
        <w:rPr>
          <w:rStyle w:val="csa16174ba5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Pr="004424FA">
        <w:rPr>
          <w:rStyle w:val="cs5e98e9305"/>
        </w:rPr>
        <w:t>GN41791</w:t>
      </w:r>
      <w:r w:rsidRPr="004424FA">
        <w:rPr>
          <w:rStyle w:val="csa16174ba5"/>
        </w:rPr>
        <w:t>, версія 8 від 13 лютого       2025 р.; спонсор - Ф.Хоффманн-Ля Рош Лтд, Швейцарія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«Рош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572C1E" w:rsidRPr="004424FA" w:rsidTr="00DD3BAB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5"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5"/>
              </w:rPr>
              <w:t xml:space="preserve">СТАЛО </w:t>
            </w:r>
          </w:p>
        </w:tc>
      </w:tr>
      <w:tr w:rsidR="00572C1E" w:rsidRPr="004424FA" w:rsidTr="00DD3BAB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5"/>
              </w:rPr>
              <w:t>к.м.н. Хавунка М.Я.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5e98e9305"/>
              </w:rPr>
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</w:r>
            <w:r w:rsidRPr="004424FA">
              <w:rPr>
                <w:rStyle w:val="csa16174ba5"/>
              </w:rPr>
              <w:t>, м. Львів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5"/>
              </w:rPr>
              <w:t>к.м.н. Хавунка М.Я.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5e98e9305"/>
              </w:rPr>
              <w:t>Товариство з обмеженою відповідальністю «НЕЙРОФОКУС»</w:t>
            </w:r>
            <w:r w:rsidRPr="004424FA">
              <w:rPr>
                <w:rStyle w:val="csa16174ba5"/>
              </w:rPr>
              <w:t>, м. Львів</w:t>
            </w:r>
          </w:p>
        </w:tc>
      </w:tr>
    </w:tbl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6"/>
          <w:rFonts w:ascii="Arial" w:hAnsi="Arial" w:cs="Arial"/>
          <w:sz w:val="20"/>
        </w:rPr>
      </w:pPr>
      <w:r w:rsidRPr="004424FA">
        <w:rPr>
          <w:rStyle w:val="cs80d9435b6"/>
          <w:rFonts w:ascii="Arial" w:hAnsi="Arial" w:cs="Arial"/>
          <w:b/>
          <w:sz w:val="20"/>
          <w:lang w:val="en-US"/>
        </w:rPr>
        <w:t xml:space="preserve">8. </w:t>
      </w:r>
      <w:r w:rsidRPr="004424FA">
        <w:rPr>
          <w:rStyle w:val="cs5e98e9306"/>
        </w:rPr>
        <w:t>Брошура Дослідника Нордітропін® (Соматропін)- дефіцит гормону росту у дітей та дорослих, видання 5, фінальна версія 1.0 від 13 листопада 2025 року, англійською мовою</w:t>
      </w:r>
      <w:r w:rsidRPr="004424FA">
        <w:rPr>
          <w:rStyle w:val="csa16174ba6"/>
        </w:rPr>
        <w:t xml:space="preserve"> до протоколу клінічного випробування «Дослідження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</w:t>
      </w:r>
      <w:r w:rsidRPr="004424FA">
        <w:rPr>
          <w:rStyle w:val="cs5e98e9306"/>
        </w:rPr>
        <w:t>Нордітропін® (Norditropin®)</w:t>
      </w:r>
      <w:r w:rsidRPr="004424FA">
        <w:rPr>
          <w:rStyle w:val="csa16174ba6"/>
        </w:rPr>
        <w:t xml:space="preserve"> один раз на день у дітей із затримкою росту, що були народжені малими для гестаційного віку та не наздогнали у зрості до віку 2 роки та старше», код дослідження </w:t>
      </w:r>
      <w:r w:rsidRPr="004424FA">
        <w:rPr>
          <w:rStyle w:val="cs5e98e9306"/>
        </w:rPr>
        <w:t>NN8640-4245</w:t>
      </w:r>
      <w:r w:rsidRPr="004424FA">
        <w:rPr>
          <w:rStyle w:val="csa16174ba6"/>
        </w:rPr>
        <w:t xml:space="preserve">, фінальна версія 12.0 від 21 березня 2024 р.; спонсор - Novo Nordisk A/S (Denmark) 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«Ново Нордіск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7"/>
          <w:rFonts w:ascii="Arial" w:hAnsi="Arial" w:cs="Arial"/>
          <w:sz w:val="20"/>
        </w:rPr>
      </w:pPr>
      <w:r w:rsidRPr="004424FA">
        <w:rPr>
          <w:rStyle w:val="cs80d9435b7"/>
          <w:rFonts w:ascii="Arial" w:hAnsi="Arial" w:cs="Arial"/>
          <w:b/>
          <w:sz w:val="20"/>
          <w:szCs w:val="20"/>
          <w:lang w:val="en-US"/>
        </w:rPr>
        <w:t xml:space="preserve">9. </w:t>
      </w:r>
      <w:r w:rsidRPr="004424FA">
        <w:rPr>
          <w:rStyle w:val="cs5e98e9307"/>
        </w:rPr>
        <w:t>Збільшення терміну придатності досліджуваного лікарського засобу Сарупариб (Saruparib, AZD5305) 5 мг з 54 місяців до 60 місяців; Збільшення терміну придатності досліджуваного лікарського засобу Сарупариб (Saruparib, AZD5305) 20 мг з 54 місяців до 60 місяців; Оновлення розділів Досьє досліджуваного лікарського засобу Saruparib (AZD5305), таблетки, вкриті плівковою оболонкою, англійською мовою: Вступ Досьє досліджуваного лікарського засобу Saruparib (AZD5305), версія 1.0 від 04 листопада 2025 року; P.8 Стабільність лікарського засобу: P.8.1А Резюме щодо стабільності лікарського засобу, версія 13.0 від  27 жовтня 2025 року; P.8.1B Висновок щодо стабільності лікарського засобу, версія 13.0 від 27 жовтня 2025 року; P.8.3 Дані щодо стабільності лікарського засобу, версія 13.0 від 27 жовтня 2025 року; Оновлена брошура дослідника по препарату Трастузумаб дерукстекан (Trastuzumab deruxtecan (T-DXd)), версія 12.0 від 16 жовтня 2025 року англійською мовою</w:t>
      </w:r>
      <w:r w:rsidRPr="004424FA">
        <w:rPr>
          <w:rStyle w:val="csa16174ba7"/>
        </w:rPr>
        <w:t xml:space="preserve"> до протоколу клінічного дослідження «Модульна фаза І/ІІа, відкрите багатоцентрове дослідження для оцінки безпеки, переносимості, фармакокінетики, фармакодинаміки та попередньої ефективності зростаючих доз </w:t>
      </w:r>
      <w:r w:rsidRPr="004424FA">
        <w:rPr>
          <w:rStyle w:val="cs5e98e9307"/>
        </w:rPr>
        <w:t>AZD5305</w:t>
      </w:r>
      <w:r w:rsidRPr="004424FA">
        <w:rPr>
          <w:rStyle w:val="csa16174ba7"/>
        </w:rPr>
        <w:t xml:space="preserve">, як монотерапії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Pr="004424FA">
        <w:rPr>
          <w:rStyle w:val="cs5e98e9307"/>
        </w:rPr>
        <w:t>D9720C00001</w:t>
      </w:r>
      <w:r w:rsidRPr="004424FA">
        <w:rPr>
          <w:rStyle w:val="csa16174ba7"/>
        </w:rPr>
        <w:t>, версія 12.0, поправка 11.0 від 16 серпня 2024 року; спонсор - AstraZeneca AB, Sweden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8"/>
          <w:rFonts w:ascii="Arial" w:hAnsi="Arial" w:cs="Arial"/>
          <w:sz w:val="20"/>
        </w:rPr>
      </w:pPr>
      <w:r w:rsidRPr="004424FA">
        <w:rPr>
          <w:rStyle w:val="cs80d9435b8"/>
          <w:rFonts w:ascii="Arial" w:hAnsi="Arial" w:cs="Arial"/>
          <w:b/>
          <w:sz w:val="20"/>
          <w:lang w:val="en-US"/>
        </w:rPr>
        <w:t xml:space="preserve">10. </w:t>
      </w:r>
      <w:r w:rsidRPr="004424FA">
        <w:rPr>
          <w:rStyle w:val="cs5e98e9308"/>
        </w:rPr>
        <w:t>Досьє досліджуваного лікарського засобу SPY001-001 (I</w:t>
      </w:r>
      <w:r w:rsidR="004424FA">
        <w:rPr>
          <w:rStyle w:val="cs5e98e9308"/>
        </w:rPr>
        <w:t xml:space="preserve">MPD-Quality), редакція 10.0 від               </w:t>
      </w:r>
      <w:r w:rsidRPr="004424FA">
        <w:rPr>
          <w:rStyle w:val="cs5e98e9308"/>
        </w:rPr>
        <w:t>24 листопада 2025 р.; Досьє досліджуваного лікарського засобу SPYPBO-101 (IMPD-Quality), остаточна редакція 5.0 від 25 листопада 2025 р.; Досьє досліджуваного лікарського засобу SPYPBO-102 (IMPD-Quality), остаточна редакція 5.0 від 25 листопада 2025 р.; Подовження терміну придатності досліджуваного лікарського засобу SPY001-001, розчин для ін’єкцій, 180 мг/мл        (360 мг / 2 мл) з 18 до 24 місяців; Подовження терміну придатності досліджуваного лікарського засобу SPYPBO-101 Placebo, розчин для ін’єкцій з 18 до 24 місяців; Подовження терміну придатності досліджуваного лікарського засобу SPYPBO-102 Placebo, концентрат для приготування розчину для інфузій з 18 до 24 місяців</w:t>
      </w:r>
      <w:r w:rsidRPr="004424FA">
        <w:rPr>
          <w:rStyle w:val="csa16174ba8"/>
        </w:rPr>
        <w:t xml:space="preserve"> до протоколів клінічних досліджень: «Платформне дослідження ІІ фази з оцінки ефективності й безпечності антитіл тривалої дії при застосуванні в режимі моно- або комбінованої терапії з приводу середньотяжкого або тяжкого перебігу виразкового коліту в активній формі», код дослідження </w:t>
      </w:r>
      <w:r w:rsidRPr="004424FA">
        <w:rPr>
          <w:rStyle w:val="cs5e98e9308"/>
        </w:rPr>
        <w:t>SPY123-201</w:t>
      </w:r>
      <w:r w:rsidRPr="004424FA">
        <w:rPr>
          <w:rStyle w:val="csa16174ba8"/>
        </w:rPr>
        <w:t xml:space="preserve">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</w:t>
      </w:r>
      <w:r w:rsidRPr="004424FA">
        <w:rPr>
          <w:rStyle w:val="cs5e98e9308"/>
        </w:rPr>
        <w:t>SPY001</w:t>
      </w:r>
      <w:r w:rsidRPr="004424FA">
        <w:rPr>
          <w:rStyle w:val="csa16174ba8"/>
        </w:rPr>
        <w:t xml:space="preserve">, редакція 1.1 від 30 травня 2025 р.; «Платформне дослідження ІІ фази з оцінки ефективності й безпечності антитіл тривалої дії при застосуванні в режимі моно- або комбінованої терапії з приводу середньотяжкого або тяжкого перебігу виразкового коліту в активній формі», код дослідження </w:t>
      </w:r>
      <w:r w:rsidRPr="004424FA">
        <w:rPr>
          <w:rStyle w:val="cs5e98e9308"/>
        </w:rPr>
        <w:t>SPY123-201</w:t>
      </w:r>
      <w:r w:rsidRPr="004424FA">
        <w:rPr>
          <w:rStyle w:val="csa16174ba8"/>
        </w:rPr>
        <w:t xml:space="preserve">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комбінації </w:t>
      </w:r>
      <w:r w:rsidRPr="004424FA">
        <w:rPr>
          <w:rStyle w:val="cs5e98e9308"/>
        </w:rPr>
        <w:t>SPY120</w:t>
      </w:r>
      <w:r w:rsidRPr="004424FA">
        <w:rPr>
          <w:rStyle w:val="csa16174ba8"/>
        </w:rPr>
        <w:t>, редакція 1.0 від 21 серпня 2025 р.; спонсор - «Спаєр Терап’ютікс, Інк.» [Spyre Therapeutics, Inc.], США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9"/>
          <w:rFonts w:ascii="Arial" w:hAnsi="Arial" w:cs="Arial"/>
          <w:sz w:val="20"/>
        </w:rPr>
      </w:pPr>
      <w:r w:rsidRPr="004424FA">
        <w:rPr>
          <w:rStyle w:val="cs80d9435b9"/>
          <w:rFonts w:ascii="Arial" w:hAnsi="Arial" w:cs="Arial"/>
          <w:b/>
          <w:sz w:val="20"/>
          <w:lang w:val="en-US"/>
        </w:rPr>
        <w:t xml:space="preserve">11. </w:t>
      </w:r>
      <w:r w:rsidRPr="004424FA">
        <w:rPr>
          <w:rStyle w:val="cs5e98e9309"/>
        </w:rPr>
        <w:t>Подовження терміну проведення клінічного випробування в Україні до 31 грудня 2026 р.</w:t>
      </w:r>
      <w:r w:rsidRPr="004424FA">
        <w:rPr>
          <w:rStyle w:val="csa16174ba9"/>
        </w:rPr>
        <w:t xml:space="preserve"> до протоколу клінічного дослідження «Проспективне багатоцентрове відкрите непорівняльне дослідження II фази з метою вивчення безпеки, переносимості та фармакокінетики</w:t>
      </w:r>
      <w:r w:rsidRPr="004424FA">
        <w:rPr>
          <w:rStyle w:val="cs5e98e9309"/>
        </w:rPr>
        <w:t xml:space="preserve"> селексипагу</w:t>
      </w:r>
      <w:r w:rsidRPr="004424FA">
        <w:rPr>
          <w:rStyle w:val="csa16174ba9"/>
        </w:rPr>
        <w:t xml:space="preserve"> в дітей з легеневою артеріальною гіпертензією», код дослідження </w:t>
      </w:r>
      <w:r w:rsidRPr="004424FA">
        <w:rPr>
          <w:rStyle w:val="cs5e98e9309"/>
        </w:rPr>
        <w:t>AC-065A203</w:t>
      </w:r>
      <w:r w:rsidRPr="004424FA">
        <w:rPr>
          <w:rStyle w:val="csa16174ba9"/>
        </w:rPr>
        <w:t>, версія 9 від 11 лютого 2025 р.; спонсор - Актеліон Фармасьютікалс Лтд., Швейцарія (Actelion Pharmaceuticals Ltd, Switzerland)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«АЛЮСЕНТ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10"/>
          <w:rFonts w:ascii="Arial" w:hAnsi="Arial" w:cs="Arial"/>
          <w:sz w:val="20"/>
        </w:rPr>
      </w:pPr>
      <w:r w:rsidRPr="004424FA">
        <w:rPr>
          <w:rStyle w:val="cs80d9435b10"/>
          <w:rFonts w:ascii="Arial" w:hAnsi="Arial" w:cs="Arial"/>
          <w:b/>
          <w:sz w:val="20"/>
          <w:szCs w:val="20"/>
          <w:lang w:val="en-US"/>
        </w:rPr>
        <w:t xml:space="preserve">12. </w:t>
      </w:r>
      <w:r w:rsidRPr="004424FA">
        <w:rPr>
          <w:rStyle w:val="cs5e98e93010"/>
        </w:rPr>
        <w:t>Інформаційний листок і форма згоди для малолітніх дітей віком від 10 до 12 років, версія 2.0UKR(uk)1.0 від 12 грудня 2025 року, переклад українською мовою від 17 грудня 2025 року; Інформаційний листок і форма згоди для малолітніх дітей віком від 12 до 14 років, версія 2.0UKR(uk)1.0 від 12 грудня 2025 року, переклад українською мовою від 17 грудня 2025 року; Інформаційний листок і форма згоди неповнолітнього пацієнта для дітей віком від 14 до 18 років, версія 2.0UKR(uk)1.0 від 12 грудня 2025 року, переклад українською мовою від 17 грудня            2025 року; Інформаційний листок і форма інформованої згоди для учасників, яким виповнилося 18 років під час дослідження, версія 2.0UKR(uk)1.0 від 12 грудня 2025 року, переклад українською мовою від 17 грудня 2025 року; Інформаційний листок і форма інформованої згоди батьків, версія 2.0UKR(uk)1.0 від 12 грудня 2025 року, переклад українською мовою від 17 грудня            2025 року; Розкадрування анімаційного відео, яке демонструють після отримання згоди на участь у дослідженні FENerations1, версія V01 UKR(uk) від 11 вересня 2025 року, українською мовою; Квест на тему дослідження FENerations1 (розкадрування мультимедійного інтерактивного модуля), версія V01 UKR(uk) від 14 листопада 2025 року, українською мовою</w:t>
      </w:r>
      <w:r w:rsidRPr="004424FA">
        <w:rPr>
          <w:rStyle w:val="csa16174ba10"/>
        </w:rPr>
        <w:t xml:space="preserve"> до протоколу клінічного випробування «Відкрите дослідження з однією групою для оцінки фармакокінетики, фармакодинамічних ефектів, безпечності та переносимості </w:t>
      </w:r>
      <w:r w:rsidRPr="004424FA">
        <w:rPr>
          <w:rStyle w:val="cs5e98e93010"/>
        </w:rPr>
        <w:t>фенебрутинібу</w:t>
      </w:r>
      <w:r w:rsidRPr="004424FA">
        <w:rPr>
          <w:rStyle w:val="csa16174ba10"/>
        </w:rPr>
        <w:t xml:space="preserve"> у дітей та підлітків з рецидивуючим розсіяним склерозом», код дослідження </w:t>
      </w:r>
      <w:r w:rsidRPr="004424FA">
        <w:rPr>
          <w:rStyle w:val="cs5e98e93010"/>
        </w:rPr>
        <w:t>CN45847</w:t>
      </w:r>
      <w:r w:rsidRPr="004424FA">
        <w:rPr>
          <w:rStyle w:val="csa16174ba10"/>
        </w:rPr>
        <w:t>, версія 1 від 10 лютого 2025 року; спонсор - F. Hoffmann-La Roche Ltd, Швейцарія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11"/>
          <w:rFonts w:ascii="Arial" w:hAnsi="Arial" w:cs="Arial"/>
          <w:sz w:val="20"/>
        </w:rPr>
      </w:pPr>
      <w:r w:rsidRPr="004424FA">
        <w:rPr>
          <w:rStyle w:val="cs80d9435b11"/>
          <w:rFonts w:ascii="Arial" w:hAnsi="Arial" w:cs="Arial"/>
          <w:b/>
          <w:sz w:val="20"/>
          <w:lang w:val="en-US"/>
        </w:rPr>
        <w:t xml:space="preserve">13. </w:t>
      </w:r>
      <w:r w:rsidRPr="004424FA">
        <w:rPr>
          <w:rStyle w:val="cs5e98e93011"/>
        </w:rPr>
        <w:t>Брошура дослідника для досліджуваного лікарського засобу Упадацитиніб (АВТ-494), версія 16 від 06 жовтня 2025 року</w:t>
      </w:r>
      <w:r w:rsidRPr="004424FA">
        <w:rPr>
          <w:rStyle w:val="csa16174ba11"/>
        </w:rPr>
        <w:t xml:space="preserve"> до протоколів клінічних досліджень: «Рандомізоване, подвійне сліпе дослідження, ІІІ фази, для порівняння препарату </w:t>
      </w:r>
      <w:r w:rsidRPr="004424FA">
        <w:rPr>
          <w:rStyle w:val="cs5e98e93011"/>
        </w:rPr>
        <w:t>Упадацитиніб (АВТ-494)</w:t>
      </w:r>
      <w:r w:rsidRPr="004424FA">
        <w:rPr>
          <w:rStyle w:val="csa16174ba11"/>
        </w:rPr>
        <w:t xml:space="preserve">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код дослідження </w:t>
      </w:r>
      <w:r w:rsidRPr="004424FA">
        <w:rPr>
          <w:rStyle w:val="cs5e98e93011"/>
        </w:rPr>
        <w:t>M14-465</w:t>
      </w:r>
      <w:r w:rsidRPr="004424FA">
        <w:rPr>
          <w:rStyle w:val="csa16174ba11"/>
        </w:rPr>
        <w:t xml:space="preserve">, з інкорпорованими Адміністративними Змінами 1, 2, 3 і 4 та Поправками 0.01, 0.01.01, 1, 2, 2.02, 3, 3.01, 4, 4.03, 5, 6, 7 та 8 від 10 квітня 2023 року; «Багатоцентрове, тривале подовжене дослідження ІІІ фази з оцінки безпечності та ефективності </w:t>
      </w:r>
      <w:r w:rsidRPr="004424FA">
        <w:rPr>
          <w:rStyle w:val="cs5e98e93011"/>
        </w:rPr>
        <w:t>Упадацитинібу (ABT-494)</w:t>
      </w:r>
      <w:r w:rsidRPr="004424FA">
        <w:rPr>
          <w:rStyle w:val="csa16174ba11"/>
        </w:rPr>
        <w:t xml:space="preserve"> у пацієнтів з виразковим колітом», код дослідження </w:t>
      </w:r>
      <w:r w:rsidRPr="004424FA">
        <w:rPr>
          <w:rStyle w:val="cs5e98e93011"/>
        </w:rPr>
        <w:t>M14-533</w:t>
      </w:r>
      <w:r w:rsidRPr="004424FA">
        <w:rPr>
          <w:rStyle w:val="csa16174ba11"/>
        </w:rPr>
        <w:t xml:space="preserve">, з інкорпорованими Адміністративними </w:t>
      </w:r>
      <w:r w:rsidRPr="004424FA">
        <w:rPr>
          <w:rStyle w:val="csa16174ba11"/>
        </w:rPr>
        <w:lastRenderedPageBreak/>
        <w:t xml:space="preserve">змінами 1, 3, 5, 6, 7, 8 (тільки для Канади), 9, 10 і 11 (тільки для Польщі) та Поправками 0.01, 1, 2, 3, 4, 5, 6, 7, 7.02 (тільки для Німеччини), 7.03 (тільки для Кореї) та 8, 8.02 (тільки для ЄС) і 9 від 10 лютого 2025 року;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Pr="004424FA">
        <w:rPr>
          <w:rStyle w:val="cs5e98e93011"/>
        </w:rPr>
        <w:t>Упадацитинібу (ABT-494)</w:t>
      </w:r>
      <w:r w:rsidRPr="004424FA">
        <w:rPr>
          <w:rStyle w:val="csa16174ba11"/>
        </w:rPr>
        <w:t xml:space="preserve"> у пацієнтів з хворобою Крона, які завершили дослідження M14-431 чи M14-433», код дослідження </w:t>
      </w:r>
      <w:r w:rsidRPr="004424FA">
        <w:rPr>
          <w:rStyle w:val="cs5e98e93011"/>
        </w:rPr>
        <w:t>M14-430</w:t>
      </w:r>
      <w:r w:rsidRPr="004424FA">
        <w:rPr>
          <w:rStyle w:val="csa16174ba11"/>
        </w:rPr>
        <w:t>, з інкорпорованими Адміністративними змінами 5,6 і 7 і Поправками 1, 2, 3, 4, 5, 6, 7, 7.01, 7.02, 7.04, 8, 8.01, 9 та 10 від 11 березня 2024 року; спонсор - AbbVie Inc., USA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«ЕббВі Біофармасьютікалз ГмбХ», Швейцарія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12"/>
          <w:rFonts w:ascii="Arial" w:hAnsi="Arial" w:cs="Arial"/>
          <w:sz w:val="20"/>
        </w:rPr>
      </w:pPr>
      <w:r w:rsidRPr="004424FA">
        <w:rPr>
          <w:rStyle w:val="cs80d9435b12"/>
          <w:rFonts w:ascii="Arial" w:hAnsi="Arial" w:cs="Arial"/>
          <w:b/>
          <w:sz w:val="20"/>
          <w:szCs w:val="20"/>
          <w:lang w:val="en-US"/>
        </w:rPr>
        <w:t xml:space="preserve">14. </w:t>
      </w:r>
      <w:r w:rsidRPr="004424FA">
        <w:rPr>
          <w:rStyle w:val="cs5e98e93012"/>
        </w:rPr>
        <w:t>Зміна назви місця проведення випробування</w:t>
      </w:r>
      <w:r w:rsidRPr="004424FA">
        <w:rPr>
          <w:rStyle w:val="csa16174ba12"/>
        </w:rPr>
        <w:t xml:space="preserve"> до протоколу клінічного випробування «Дослідження з оцінки препарату </w:t>
      </w:r>
      <w:r w:rsidRPr="004424FA">
        <w:rPr>
          <w:rStyle w:val="cs5e98e93012"/>
        </w:rPr>
        <w:t>Іметельстат (GRN163L)</w:t>
      </w:r>
      <w:r w:rsidRPr="004424FA">
        <w:rPr>
          <w:rStyle w:val="csa16174ba12"/>
        </w:rPr>
        <w:t xml:space="preserve"> у лікуванні залежних від трансфузій пацієнтів з мієлодиспластичним синдромом (МДС) з «низьким» або «проміжним-1» ступенем ризику за шкалою IPSS, з прогресуванням або відсутністю відповіді на терапію еритропоез-стимулюючими агентами (ЕСА)», код дослідження </w:t>
      </w:r>
      <w:r w:rsidRPr="004424FA">
        <w:rPr>
          <w:rStyle w:val="cs5e98e93012"/>
        </w:rPr>
        <w:t>63935937MDS3001</w:t>
      </w:r>
      <w:r w:rsidRPr="004424FA">
        <w:rPr>
          <w:rStyle w:val="csa16174ba12"/>
        </w:rPr>
        <w:t>, з поправкою 8 від 30 листопада 2022 року; спонсор - Герон Корпорейшн, США / Geron Corporation, USA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572C1E" w:rsidRPr="004424FA" w:rsidRDefault="00572C1E" w:rsidP="004424FA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72C1E" w:rsidRPr="004424FA" w:rsidTr="00DD3BAB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4424FA">
              <w:rPr>
                <w:rStyle w:val="cs5e98e93012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4424FA">
              <w:rPr>
                <w:rStyle w:val="cs5e98e93012"/>
              </w:rPr>
              <w:t xml:space="preserve">СТАЛО </w:t>
            </w:r>
          </w:p>
        </w:tc>
      </w:tr>
      <w:tr w:rsidR="00572C1E" w:rsidRPr="004424FA" w:rsidTr="00DD3BAB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2"/>
              </w:rPr>
              <w:t>зав. від. Усенко Г.В.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2"/>
              </w:rPr>
              <w:t>Комунальне некомерційне підприємство «Міська клінічна лікарня №4» Дніпровської міської ради,</w:t>
            </w:r>
            <w:r w:rsidRPr="004424FA">
              <w:rPr>
                <w:rStyle w:val="cs5e98e93012"/>
              </w:rPr>
              <w:t xml:space="preserve"> гематологічне відділення</w:t>
            </w:r>
            <w:r w:rsidRPr="004424FA">
              <w:rPr>
                <w:rStyle w:val="csa16174ba12"/>
              </w:rPr>
              <w:t xml:space="preserve">, м. Дніпро 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2"/>
              </w:rPr>
              <w:t>зав. від. Усенко Г.В.</w:t>
            </w:r>
          </w:p>
          <w:p w:rsidR="00572C1E" w:rsidRPr="004424FA" w:rsidRDefault="00572C1E" w:rsidP="004424FA">
            <w:pPr>
              <w:pStyle w:val="cs80d9435b"/>
              <w:rPr>
                <w:rFonts w:ascii="Arial" w:hAnsi="Arial" w:cs="Arial"/>
                <w:sz w:val="20"/>
              </w:rPr>
            </w:pPr>
            <w:r w:rsidRPr="004424FA">
              <w:rPr>
                <w:rStyle w:val="csa16174ba12"/>
              </w:rPr>
              <w:t>Комунальне некомерційне підприємство «Міська клінічна лікарня №4» Дніпровської міської ради,</w:t>
            </w:r>
            <w:r w:rsidRPr="004424FA">
              <w:rPr>
                <w:rStyle w:val="cs5e98e93012"/>
              </w:rPr>
              <w:t xml:space="preserve"> гематологічне відділення з блоком трансплантації гемопоетичних стовбурових клітин</w:t>
            </w:r>
            <w:r w:rsidRPr="004424FA">
              <w:rPr>
                <w:rStyle w:val="csa16174ba12"/>
              </w:rPr>
              <w:t xml:space="preserve">, м. Дніпро </w:t>
            </w:r>
          </w:p>
        </w:tc>
      </w:tr>
    </w:tbl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13"/>
          <w:rFonts w:ascii="Arial" w:hAnsi="Arial" w:cs="Arial"/>
          <w:sz w:val="20"/>
        </w:rPr>
      </w:pPr>
      <w:r w:rsidRPr="004424FA">
        <w:rPr>
          <w:rStyle w:val="cs80d9435b13"/>
          <w:rFonts w:ascii="Arial" w:hAnsi="Arial" w:cs="Arial"/>
          <w:b/>
          <w:sz w:val="20"/>
          <w:szCs w:val="20"/>
          <w:lang w:val="en-US"/>
        </w:rPr>
        <w:t xml:space="preserve">15. </w:t>
      </w:r>
      <w:r w:rsidRPr="004424FA">
        <w:rPr>
          <w:rStyle w:val="cs5e98e93013"/>
        </w:rPr>
        <w:t>Брошура дослідника MK-2870/SKB264 (Сацитузумаб тирумотекан), видання 7 від 16 жовтня 2025 року, англійською мовою; Україна, MK-3475-01E, Інформація та документ про інформовану згоду для пацієнта, версія 03 від 05 грудня 2025 р., українською мовою; Збільшення запланованої кількості суб’єктів дослідження для включення у клінічне випробування в Україні з 37 до 70 осіб</w:t>
      </w:r>
      <w:r w:rsidRPr="004424FA">
        <w:rPr>
          <w:rStyle w:val="csa16174ba13"/>
        </w:rPr>
        <w:t xml:space="preserve"> до протоколу клінічного дослідження «KEYMAKER-U01, піддослідження 01E: парасолькове дослідження ІІ фази з почерговими групами досліджуваних препаратів з хіміотерапією або без неї у комбінації з </w:t>
      </w:r>
      <w:r w:rsidRPr="004424FA">
        <w:rPr>
          <w:rStyle w:val="cs5e98e93013"/>
        </w:rPr>
        <w:t>пембролізумабом</w:t>
      </w:r>
      <w:r w:rsidRPr="004424FA">
        <w:rPr>
          <w:rStyle w:val="csa16174ba13"/>
        </w:rPr>
        <w:t xml:space="preserve"> для лікування учасників з вперше діагностованим операбельним недрібноклітинним раком легенів (НДКРЛ) стадій II-IIIB (N2)», код дослідження </w:t>
      </w:r>
      <w:r w:rsidRPr="004424FA">
        <w:rPr>
          <w:rStyle w:val="cs5e98e93013"/>
        </w:rPr>
        <w:t>MK-3475-01E</w:t>
      </w:r>
      <w:r w:rsidRPr="004424FA">
        <w:rPr>
          <w:rStyle w:val="csa16174ba13"/>
        </w:rPr>
        <w:t>, версія з інкорпорованою поправкою 03 від 03 липня 2025 року; спонсор - ТОВ Мерк Шарп енд Доум, США (Merck Sharp &amp; Dohme LLC, USA)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Style w:val="cs80d9435b14"/>
          <w:rFonts w:ascii="Arial" w:hAnsi="Arial" w:cs="Arial"/>
          <w:sz w:val="20"/>
        </w:rPr>
      </w:pPr>
      <w:r w:rsidRPr="004424FA">
        <w:rPr>
          <w:rStyle w:val="cs80d9435b14"/>
          <w:rFonts w:ascii="Arial" w:hAnsi="Arial" w:cs="Arial"/>
          <w:b/>
          <w:sz w:val="20"/>
          <w:szCs w:val="20"/>
          <w:lang w:val="en-US"/>
        </w:rPr>
        <w:t xml:space="preserve">16. </w:t>
      </w:r>
      <w:r w:rsidRPr="004424FA">
        <w:rPr>
          <w:rStyle w:val="cs5e98e93014"/>
        </w:rPr>
        <w:t xml:space="preserve">Опитувальник для оцінки стану здоров’я (HAQ-DI Stanford University) від 20 серпня 2025 року англійською мовою; Опитувальник для оцінки стану здоров’я (HAQ-DI Stanford University) від </w:t>
      </w:r>
      <w:r w:rsidR="004424FA">
        <w:rPr>
          <w:rStyle w:val="cs5e98e93014"/>
        </w:rPr>
        <w:t xml:space="preserve">     </w:t>
      </w:r>
      <w:bookmarkStart w:id="0" w:name="_GoBack"/>
      <w:bookmarkEnd w:id="0"/>
      <w:r w:rsidRPr="004424FA">
        <w:rPr>
          <w:rStyle w:val="cs5e98e93014"/>
        </w:rPr>
        <w:t>09 жовтня 2025 року українською мовою; Опитувальник Загальна оцінка, надана пацієнтом (Версія SLE), версія 2.0 від 27 серпня 2025 року англійською мовою; Опитувальник Загальна оцінка, надана пацієнтом (Версія SLE), версія 2.0 від 09 жовтня 2025 року українською мовою; Опитувальник Загальна оцінка пацієнтом активності PA (PtGA), версія 1.0 від 21 серпня 2025 року англійською мовою; Опитувальник Загальна оцінка пацієнтом активності PA (PtGA), версія 1.0 від 09 жовтня 2025 року українською мовою; Картка-пам’ятка учасника дослідження, версія 2.0 від 20 листопада 2025 року англійською мовою; Картка-пам’ятка учасника дослідження, версія 2.0 від 17 грудня 2025 року українською мовою</w:t>
      </w:r>
      <w:r w:rsidRPr="004424FA">
        <w:rPr>
          <w:rStyle w:val="csa16174ba14"/>
        </w:rPr>
        <w:t xml:space="preserve"> до протоколу клінічного випробування «Відкрите дослідження І фази для оцінки безпечності, переносимості, фармакокінетики та фармакодинаміки препарату </w:t>
      </w:r>
      <w:r w:rsidRPr="004424FA">
        <w:rPr>
          <w:rStyle w:val="csa16174ba14"/>
          <w:b/>
        </w:rPr>
        <w:t>суроватаміг</w:t>
      </w:r>
      <w:r w:rsidRPr="004424FA">
        <w:rPr>
          <w:rStyle w:val="csa16174ba14"/>
        </w:rPr>
        <w:t xml:space="preserve"> після введення одноразової зростаючої дози та поступового збільшення дози, призначеної дорослим учасникам з ревматоїдним артритом або системним червоним вовчаком», код дослідження </w:t>
      </w:r>
      <w:r w:rsidRPr="004424FA">
        <w:rPr>
          <w:rStyle w:val="cs5e98e93014"/>
        </w:rPr>
        <w:t>D740AC00001</w:t>
      </w:r>
      <w:r w:rsidRPr="004424FA">
        <w:rPr>
          <w:rStyle w:val="csa16174ba14"/>
        </w:rPr>
        <w:t>, версія 1.0 від 04 червня 2025 року; спонсор - «АстраЗенека АБ» [AstraZeneca AB], Швеція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  <w:r w:rsidRPr="004424FA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20"/>
        </w:rPr>
      </w:pPr>
    </w:p>
    <w:p w:rsidR="00572C1E" w:rsidRPr="004424FA" w:rsidRDefault="00572C1E" w:rsidP="004424FA">
      <w:pPr>
        <w:jc w:val="both"/>
        <w:rPr>
          <w:rFonts w:ascii="Arial" w:hAnsi="Arial" w:cs="Arial"/>
          <w:sz w:val="20"/>
          <w:szCs w:val="18"/>
        </w:rPr>
      </w:pPr>
    </w:p>
    <w:sectPr w:rsidR="00572C1E" w:rsidRPr="00442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B0" w:rsidRDefault="0028501A">
      <w:pPr>
        <w:rPr>
          <w:lang w:val="ru-RU"/>
        </w:rPr>
      </w:pPr>
      <w:r>
        <w:rPr>
          <w:lang w:val="ru-RU"/>
        </w:rPr>
        <w:separator/>
      </w:r>
    </w:p>
    <w:p w:rsidR="006427B0" w:rsidRDefault="006427B0">
      <w:pPr>
        <w:rPr>
          <w:lang w:val="ru-RU"/>
        </w:rPr>
      </w:pPr>
    </w:p>
  </w:endnote>
  <w:endnote w:type="continuationSeparator" w:id="0">
    <w:p w:rsidR="006427B0" w:rsidRDefault="0028501A">
      <w:pPr>
        <w:rPr>
          <w:lang w:val="ru-RU"/>
        </w:rPr>
      </w:pPr>
      <w:r>
        <w:rPr>
          <w:lang w:val="ru-RU"/>
        </w:rPr>
        <w:continuationSeparator/>
      </w:r>
    </w:p>
    <w:p w:rsidR="006427B0" w:rsidRDefault="006427B0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Default="006427B0">
    <w:pPr>
      <w:pStyle w:val="a6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Pr="00572C1E" w:rsidRDefault="00572C1E" w:rsidP="00572C1E">
    <w:pPr>
      <w:pStyle w:val="a6"/>
      <w:jc w:val="right"/>
      <w:rPr>
        <w:sz w:val="20"/>
      </w:rPr>
    </w:pPr>
    <w:r w:rsidRPr="00572C1E">
      <w:rPr>
        <w:sz w:val="20"/>
      </w:rPr>
      <w:fldChar w:fldCharType="begin"/>
    </w:r>
    <w:r w:rsidRPr="00572C1E">
      <w:rPr>
        <w:sz w:val="20"/>
      </w:rPr>
      <w:instrText xml:space="preserve"> PAGE  \* MERGEFORMAT </w:instrText>
    </w:r>
    <w:r w:rsidRPr="00572C1E">
      <w:rPr>
        <w:sz w:val="20"/>
      </w:rPr>
      <w:fldChar w:fldCharType="separate"/>
    </w:r>
    <w:r w:rsidR="004424FA">
      <w:rPr>
        <w:noProof/>
        <w:sz w:val="20"/>
      </w:rPr>
      <w:t>5</w:t>
    </w:r>
    <w:r w:rsidRPr="00572C1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Default="006427B0">
    <w:pPr>
      <w:pStyle w:val="a6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B0" w:rsidRDefault="0028501A">
      <w:pPr>
        <w:rPr>
          <w:lang w:val="ru-RU"/>
        </w:rPr>
      </w:pPr>
      <w:r>
        <w:rPr>
          <w:lang w:val="ru-RU"/>
        </w:rPr>
        <w:separator/>
      </w:r>
    </w:p>
    <w:p w:rsidR="006427B0" w:rsidRDefault="006427B0">
      <w:pPr>
        <w:rPr>
          <w:lang w:val="ru-RU"/>
        </w:rPr>
      </w:pPr>
    </w:p>
  </w:footnote>
  <w:footnote w:type="continuationSeparator" w:id="0">
    <w:p w:rsidR="006427B0" w:rsidRDefault="0028501A">
      <w:pPr>
        <w:rPr>
          <w:lang w:val="ru-RU"/>
        </w:rPr>
      </w:pPr>
      <w:r>
        <w:rPr>
          <w:lang w:val="ru-RU"/>
        </w:rPr>
        <w:continuationSeparator/>
      </w:r>
    </w:p>
    <w:p w:rsidR="006427B0" w:rsidRDefault="006427B0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Default="006427B0">
    <w:pPr>
      <w:pStyle w:val="a4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Pr="00572C1E" w:rsidRDefault="006427B0" w:rsidP="00572C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0" w:rsidRDefault="006427B0">
    <w:pPr>
      <w:pStyle w:val="a4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8E"/>
    <w:rsid w:val="0028501A"/>
    <w:rsid w:val="004424FA"/>
    <w:rsid w:val="004D2854"/>
    <w:rsid w:val="00572C1E"/>
    <w:rsid w:val="006427B0"/>
    <w:rsid w:val="0076478E"/>
    <w:rsid w:val="00D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0FF9D92"/>
  <w15:chartTrackingRefBased/>
  <w15:docId w15:val="{243A8E3B-46E1-4237-A65B-A44740E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1">
    <w:name w:val="Заголовок 1 Знак"/>
    <w:basedOn w:val="a1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1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281fcd">
    <w:name w:val="cs27281f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65cb9a">
    <w:name w:val="cs7165cb9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572C1E"/>
    <w:pPr>
      <w:jc w:val="both"/>
    </w:pPr>
    <w:rPr>
      <w:rFonts w:eastAsiaTheme="minorEastAsia"/>
    </w:rPr>
  </w:style>
  <w:style w:type="character" w:customStyle="1" w:styleId="cs80d9435b3">
    <w:name w:val="cs80d9435b3"/>
    <w:basedOn w:val="a1"/>
    <w:rsid w:val="00572C1E"/>
  </w:style>
  <w:style w:type="character" w:customStyle="1" w:styleId="cs5e98e9303">
    <w:name w:val="cs5e98e9303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1"/>
    <w:rsid w:val="00572C1E"/>
  </w:style>
  <w:style w:type="character" w:customStyle="1" w:styleId="cs5e98e9304">
    <w:name w:val="cs5e98e9304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1"/>
    <w:rsid w:val="00572C1E"/>
  </w:style>
  <w:style w:type="character" w:customStyle="1" w:styleId="cs5e98e9305">
    <w:name w:val="cs5e98e9305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1"/>
    <w:rsid w:val="00572C1E"/>
  </w:style>
  <w:style w:type="character" w:customStyle="1" w:styleId="cs5e98e9306">
    <w:name w:val="cs5e98e9306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  <w:rsid w:val="00572C1E"/>
  </w:style>
  <w:style w:type="character" w:customStyle="1" w:styleId="cs5e98e9307">
    <w:name w:val="cs5e98e9307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1"/>
    <w:rsid w:val="00572C1E"/>
  </w:style>
  <w:style w:type="character" w:customStyle="1" w:styleId="cs5e98e9308">
    <w:name w:val="cs5e98e9308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  <w:rsid w:val="00572C1E"/>
  </w:style>
  <w:style w:type="character" w:customStyle="1" w:styleId="cs5e98e9309">
    <w:name w:val="cs5e98e9309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  <w:rsid w:val="00572C1E"/>
  </w:style>
  <w:style w:type="character" w:customStyle="1" w:styleId="cs5e98e93010">
    <w:name w:val="cs5e98e93010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1"/>
    <w:rsid w:val="00572C1E"/>
  </w:style>
  <w:style w:type="character" w:customStyle="1" w:styleId="cs5e98e93011">
    <w:name w:val="cs5e98e93011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1"/>
    <w:rsid w:val="00572C1E"/>
  </w:style>
  <w:style w:type="character" w:customStyle="1" w:styleId="cs5e98e93012">
    <w:name w:val="cs5e98e93012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1"/>
    <w:rsid w:val="00572C1E"/>
  </w:style>
  <w:style w:type="character" w:customStyle="1" w:styleId="cs5e98e93013">
    <w:name w:val="cs5e98e93013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1"/>
    <w:rsid w:val="00572C1E"/>
  </w:style>
  <w:style w:type="character" w:customStyle="1" w:styleId="cs5e98e93014">
    <w:name w:val="cs5e98e93014"/>
    <w:basedOn w:val="a1"/>
    <w:rsid w:val="00572C1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1"/>
    <w:rsid w:val="00572C1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D880-E141-4FC8-9449-730E6573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2514</Words>
  <Characters>17401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2026-01-07T14:35:00Z</cp:lastPrinted>
  <dcterms:created xsi:type="dcterms:W3CDTF">2026-01-07T15:59:00Z</dcterms:created>
  <dcterms:modified xsi:type="dcterms:W3CDTF">2026-01-07T15:59:00Z</dcterms:modified>
</cp:coreProperties>
</file>