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FE" w:rsidRDefault="00EC65FE"/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C65FE">
        <w:rPr>
          <w:lang w:val="ru-RU"/>
        </w:rPr>
        <w:t>1</w:t>
      </w:r>
    </w:p>
    <w:p w:rsidR="00D727AD" w:rsidRPr="00D727AD" w:rsidRDefault="00EC65FE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727AD">
        <w:rPr>
          <w:lang w:val="uk-UA"/>
        </w:rPr>
        <w:t>«</w:t>
      </w:r>
      <w:r w:rsidR="00D727AD"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 w:rsidR="00EC65FE"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Pr="000B496B" w:rsidRDefault="00EC65FE">
      <w:pPr>
        <w:rPr>
          <w:lang w:val="uk-UA"/>
        </w:rPr>
      </w:pPr>
    </w:p>
    <w:p w:rsidR="00EC65FE" w:rsidRPr="000B496B" w:rsidRDefault="00EC65F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0B496B" w:rsidRDefault="00EC65FE">
            <w:pPr>
              <w:rPr>
                <w:szCs w:val="24"/>
                <w:lang w:val="uk-UA"/>
              </w:rPr>
            </w:pPr>
            <w:r w:rsidRPr="000B496B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Розділ «Лікарський засіб» оновленого досьє досліджуваного лікарського засобу (IMPD) SAR443122, тверда капсула, 100 мг, версія від березня 2021р., англійською мовою; Збільшення терміну зберігання досліджуваного лікарського засобу SAR443122, тверда капсула, по 100 мг, до 24 місяців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614 від 01.04.2021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      </w:r>
            <w:r>
              <w:t>SAR</w:t>
            </w:r>
            <w:r w:rsidRPr="00EC65FE">
              <w:rPr>
                <w:lang w:val="ru-RU"/>
              </w:rPr>
              <w:t xml:space="preserve">443122 (інгібітора </w:t>
            </w:r>
            <w:r>
              <w:t>RIPK</w:t>
            </w:r>
            <w:r w:rsidRPr="00EC65FE">
              <w:rPr>
                <w:lang w:val="ru-RU"/>
              </w:rPr>
              <w:t xml:space="preserve">1) у пацієнтів з підгострим або дискоїдним/хронічним шкірним червоним вовчаком середнього і тяжкого ступеня», </w:t>
            </w:r>
            <w:r>
              <w:t>ACT</w:t>
            </w:r>
            <w:r w:rsidRPr="00EC65FE">
              <w:rPr>
                <w:lang w:val="ru-RU"/>
              </w:rPr>
              <w:t>16404, версія 1 від 11 грудня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«Санофі-Авентіс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Поправка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SAR440340 (REGN3500)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попередньо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наповнений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шприц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Оновлені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розділи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REGN3500: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.8.1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Резюме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стабільності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висновки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(VV-QUAL-0676957 1.0);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.8.3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Дані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стабільності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(VV-QUAL-0676956 1.0), </w:t>
            </w:r>
            <w:proofErr w:type="gramStart"/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Збільшення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зберігання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SAR440340/REGN3500/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ітепекимаб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150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попередньо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наповнених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шприцах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EC65FE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187 від 05.02.2021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</w:t>
            </w:r>
            <w:r>
              <w:t>SAR</w:t>
            </w:r>
            <w:r w:rsidRPr="00EC65FE">
              <w:rPr>
                <w:lang w:val="ru-RU"/>
              </w:rPr>
              <w:t>440340/</w:t>
            </w:r>
            <w:r>
              <w:t>REGN</w:t>
            </w:r>
            <w:r w:rsidRPr="00EC65FE">
              <w:rPr>
                <w:lang w:val="ru-RU"/>
              </w:rPr>
              <w:t xml:space="preserve">3500/ітепекімаб (моноклональні антитіла, специфічні до </w:t>
            </w:r>
            <w:r>
              <w:t>IL</w:t>
            </w:r>
            <w:r w:rsidRPr="00EC65FE">
              <w:rPr>
                <w:lang w:val="ru-RU"/>
              </w:rPr>
              <w:t xml:space="preserve">-33) у пацієнтів із помірним та важким хронічним обструктивним захворюванням легень (ХОЗЛ)», </w:t>
            </w:r>
            <w:r>
              <w:t>EFC</w:t>
            </w:r>
            <w:r w:rsidRPr="00EC65FE">
              <w:rPr>
                <w:lang w:val="ru-RU"/>
              </w:rPr>
              <w:t>16750, версія 1 від 25 вересня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«Санофі-Авентіс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OSE-127, 50 мг/мл, концентрат для розчину для інфузії до 48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2777 від 02.12.2020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 подвійне сліпе дослідження </w:t>
            </w:r>
            <w:r>
              <w:t>II</w:t>
            </w:r>
            <w:r w:rsidRPr="00EC65FE">
              <w:rPr>
                <w:lang w:val="ru-RU"/>
              </w:rPr>
              <w:t xml:space="preserve"> фази з оцінки ефективності та безпечності застосування </w:t>
            </w:r>
            <w:r>
              <w:t>OSE</w:t>
            </w:r>
            <w:r w:rsidRPr="00EC65FE">
              <w:rPr>
                <w:lang w:val="ru-RU"/>
              </w:rPr>
              <w:t xml:space="preserve">-127 в порівнянні з плацебо у пацієнтів з активним виразковим колітом середнього або важкого ступеня тяжкості, з неефективністю чи непереносимістю попереднього лікування», </w:t>
            </w:r>
            <w:r>
              <w:t>OSE</w:t>
            </w:r>
            <w:r w:rsidRPr="00EC65FE">
              <w:rPr>
                <w:lang w:val="ru-RU"/>
              </w:rPr>
              <w:t>-127-</w:t>
            </w:r>
            <w:r>
              <w:t>C</w:t>
            </w:r>
            <w:r w:rsidRPr="00EC65FE">
              <w:rPr>
                <w:lang w:val="ru-RU"/>
              </w:rPr>
              <w:t>201, остаточна версія 1.0 від 15 червня 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«МБ КВЕСТ», Україна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ОСЕ Імунотерапьютікс, СА, Франція (OSE Immunotherapeutics, SA, France)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4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 w:rsidP="00D727AD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тафаситамаб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(MOR00208),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№15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Стисла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характеристика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(SmPC):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Леналідомід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(Lenalidomide Alvogen)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тверді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15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25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застосування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леналідоміду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редакції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2.0),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proofErr w:type="gramStart"/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стосовно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супутніх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матеріалів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будуть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використовуватися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клінічному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випробуванні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MOR208C310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можливості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їх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ввезення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територію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Планшет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Apple iPad 6</w:t>
            </w:r>
            <w:r w:rsidRPr="00EC65FE">
              <w:rPr>
                <w:rStyle w:val="cs4dd685591"/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th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Gen A1954 (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електронний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використовується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метою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збирання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оцінки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якості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: «Apple Computer Trading (Shanghai) Co. Ltd.», </w:t>
            </w:r>
            <w:r w:rsidRPr="00EC65FE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Китай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516 від 22.03.2021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«Багатоцентрове рандомізоване, подвійно сліпе, плацебо-контрольоване дослідження </w:t>
            </w:r>
            <w:r>
              <w:t>III</w:t>
            </w:r>
            <w:r w:rsidRPr="00EC65FE">
              <w:rPr>
                <w:lang w:val="ru-RU"/>
              </w:rPr>
              <w:t xml:space="preserve"> фази з метою оцінки ефективності та безпечності лікування тафаситамабом у поєднанні з леналідомідом додатково до хіміотерапії за схемою </w:t>
            </w:r>
            <w:r>
              <w:t>R</w:t>
            </w:r>
            <w:r w:rsidRPr="00EC65FE">
              <w:rPr>
                <w:lang w:val="ru-RU"/>
              </w:rPr>
              <w:t>-</w:t>
            </w:r>
            <w:r>
              <w:t>CHOP</w:t>
            </w:r>
            <w:r w:rsidRPr="00EC65FE">
              <w:rPr>
                <w:lang w:val="ru-RU"/>
              </w:rPr>
              <w:t xml:space="preserve"> у порівнянні з хіміотерапією за схемою </w:t>
            </w:r>
            <w:r>
              <w:t>R</w:t>
            </w:r>
            <w:r w:rsidRPr="00EC65FE">
              <w:rPr>
                <w:lang w:val="ru-RU"/>
              </w:rPr>
              <w:t>-</w:t>
            </w:r>
            <w:r>
              <w:t>CHOP</w:t>
            </w:r>
            <w:r w:rsidRPr="00EC65FE">
              <w:rPr>
                <w:lang w:val="ru-RU"/>
              </w:rPr>
              <w:t xml:space="preserve"> у пацієнтів з уперше виявленою дифузною В-крупноклітинною лімфомою (ДВКЛ), які раніше не проходили лікування за цим показанням і входять до групи високого проміжного або високого ризику», </w:t>
            </w:r>
            <w:r>
              <w:t>MOR</w:t>
            </w:r>
            <w:r w:rsidRPr="00EC65FE">
              <w:rPr>
                <w:lang w:val="ru-RU"/>
              </w:rPr>
              <w:t>208</w:t>
            </w:r>
            <w:r>
              <w:t>C</w:t>
            </w:r>
            <w:r w:rsidRPr="00EC65FE">
              <w:rPr>
                <w:lang w:val="ru-RU"/>
              </w:rPr>
              <w:t>310, остаточна редакція 2.0, поправка 1, від 09 листопада 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«МорфоСис АГ» [MorphoSys AG], Німеччина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5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2.1.S.7 «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Стабільність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Памревлумаб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2.1.P.8 «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Стабільність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Памревлумаб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2020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лікарської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субстанції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памревлумаб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памревлумаб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коробки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замасковане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): FG-3019 ROW -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: FGCL-3019-095,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2020,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80 від 19.01.2021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«Зефірус </w:t>
            </w:r>
            <w:r>
              <w:t>II</w:t>
            </w:r>
            <w:r w:rsidRPr="00EC65FE">
              <w:rPr>
                <w:lang w:val="ru-RU"/>
              </w:rPr>
              <w:t xml:space="preserve">: Рандомізоване, подвійне сліпе, плацебо-контрольоване клінічне дослідження фази 3 з метою оцінки ефективності та безпеки препарату памревлумаб у пацієнтів з ідіопатичним легеневим фіброзом (ІЛФ)», </w:t>
            </w:r>
            <w:r>
              <w:t>FGCL</w:t>
            </w:r>
            <w:r w:rsidRPr="00EC65FE">
              <w:rPr>
                <w:lang w:val="ru-RU"/>
              </w:rPr>
              <w:t xml:space="preserve">-3019-095, протокол від 11 лютого 2020 року 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 «ВОРЛДВАЙД КЛІНІКАЛ ТРАІЛС УКР»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«ФіброГен, Інк</w:t>
            </w:r>
            <w:proofErr w:type="gramStart"/>
            <w:r>
              <w:t>.»</w:t>
            </w:r>
            <w:proofErr w:type="gramEnd"/>
            <w:r>
              <w:t xml:space="preserve"> (FibroGen, Inc.), Сполучені Штати Америки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6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 w:rsidP="00D727AD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ITI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-007-403 з інкорпорованою поправкою 2.0 від 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листопада 2020 року; Зміна назви клінічного досліджування: Попередня назва: Рандомізоване, подвійне сліпе, плацебо-контрольоване, багатоцентрове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фази 3 з оцінки ефективності та безпечності монотерапії препаратом луматеперон при лікуванні пацієнтів із великими депресивними епізодами, пов’язаними з біполярним розладом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або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II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типу (біполярною депресією) Нова назва: Рандомізоване, подвійне сліпе, плацебо-контрольоване, багатоцентрове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фази 3 з оцінки ефективності та безпечності монотерапії препаратом луматеперон при лікуванні пацієнтів із великими депресивними епізодами, пов’язаними з біполярним розладом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або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II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типу (біполярною депресією) або великим депресивним розладом; Роз’яснення від 06 січня 2021 року щодо діагностичної оцінки стосовно Поправки 2.0 до Протоколу клінічного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ідження, англійською мовою; Переклад українською мовою від 07 березня 2021 року Роз’яснення від 06 січня 2021 року щодо діагностичної оцінки стосовно Поправки 2.0 до Протоколу клінічного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ідження; І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нформаційний листок і форма інформованої згоди,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02 грудня 2020 року, переклад українською мовою від 01 березня 2021 року; Інформаційний листок і форма інформованої згоди,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)1.0 від 02 грудня 2020 року, переклад російською мовою від 01 березня 2021 року;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Вагітна партнерка: інформаційний листок і форма згоди на проведення аналізу на вагітність і відповідне подальше спостереження,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02 грудня 2020 року, переклад українською мовою від 26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2021 року; Вагітна партнерка: інформаційний листок і форма згоди на проведення аналізу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</w:t>
            </w:r>
            <w:proofErr w:type="gramEnd"/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ітність і відповідне подальше спостереження,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02 грудня 2020 року, переклад російською мовою від 01 березня 2021 року; Опитувальник щодо плацебо,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від 04 лютого 2021 року, переклад українською мовою від 12 березня 2021 року; Опитувальник щодо плацебо,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від 04 лютого 2021 року, переклад російською мовою від 12 березня 2021 року;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-19 – Форма підтвердження отримання досліджуваного засобу учасником дослідження,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1.3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 від 26 лютого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2021 року, переклад українською мовою від 11 березня 2021 року;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-19 – Форма підтвердження отримання досліджуваного засобу учасником дослідження,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1.3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від 26 лютого 2021 року, переклад російською мовою від 11 березня 2021 року;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-19 – Форма підтвердження отримання досліджуваного засобу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учасником дослідження,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1.3 від 26 лютого 2021 року, англійською мовою; Тренінг для пацієнтів «Участь у клінічних дослідженнях і ефект плацебо»,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від 04 лютого 2021 року, переклад українською мовою від 12 березня 2021року; Тренінг для пацієнтів «Участь у клінічних дослідженнях і ефект плацебо», версія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 від 04 лютого 2021 року, переклад російською мовою від 12 березня 2021 року; Ідентифікаційна картка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українською мовою; Ідентифікаційна картка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російською мовою; Картка з нагадуванням про візит,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українською мовою; Картка з нагадуванням про візит,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російською мовою; Брошура для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)01] від 14 січня 2021 року, українською мовою; Брошура для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)01] від 14 січня 2021 року, російською мовою; Посібник пацієнта щодо участі у дослідженні,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17 грудня 2020 року, українською мовою; Посібник пацієнта щодо участі у дослідженні,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17 грудня 2020 року, російською мовою; Листівка для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українською мовою; Листівка для пацієнта,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російською мовою; Плакат для пацієнтів,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українською мовою; Плакат для пацієнтів,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)] від 11 грудня 2020 року, російською мовою; Лист до лікаря щодо направлення пацієнтів,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)01] від 14 січня 2021 року, українською мовою; Лист до лікаря щодо направлення пацієнтів, версія [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)01] від 14 січня 2021 року, російською мовою; Шкала аномальних мимовільних рухів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AIMS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фінальна версія від 01 лютого 2021 року, українською мовою; Шкала аномальних мимовільних рухів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AIMS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фінальна версія від 01 лютого 2021 року, російською мовою; Шкала оцінки акатизії, викликаної лікарськими препаратами (Шкала оцінки акатизії Барнса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BARS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фінальна версія від 15 лютого 2021 року, українською мовою; Шкала оцінки акатизії, викликаної лікарськими препаратами (Шкала оцінки акатизії Барнса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BARS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фінальна версія від 15 лютого 2021 року, російською мовою; Шкала Сімпсона-Ангуса для оцінки екстрапірамідних побічних ефектів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SAS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фінальна версія від 08 лютого 2021 року, українською мовою; Шкала Сімпсона-Ангуса для оцінки екстрапірамідних побічних ефектів (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SAS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), фінальна версія від 08 лютого 2021 року, російською мовою; Додаток з розладів настрою до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-5, змішані характеристики і тривожний розлад, фінальна версія від 22 лютого 2021 року, українською мовою; Додаток з розладів настрою до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-5, змішані характеристики і тривожний розлад, фінальна версія від 05 березня 2021 року, російською мовою; «Пам’ятка щодо Дистанційного проведення оцінок безпечності та ефективності», версія 1 від 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04 лютого 2021 року, англійською мовою; Переклад українською мовою від 04 березня 2021 року «Пам’ятки щодо Дистанційного проведення оцінок безпечності та ефективності», версія 1 від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04 лютого 2021 року; </w:t>
            </w:r>
            <w:r w:rsidR="00E9110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більшення кількості досліджуваних в Україні з 83 до 110 осіб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№ 2110 від 16.09.2020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D25ECB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«Рандомізоване, подвійне сліпе, плацебо-контрольоване, багатоцентрове дослідження фази 3 з оцінки ефективності та безпечності м</w:t>
            </w:r>
            <w:r w:rsidRPr="00D25ECB">
              <w:rPr>
                <w:lang w:val="ru-RU"/>
              </w:rPr>
              <w:t xml:space="preserve">онотерапії препаратом луматеперон при лікуванні пацієнтів із великими депресивними епізодами, пов’язаними з біполярним розладом </w:t>
            </w:r>
            <w:r>
              <w:t>I</w:t>
            </w:r>
            <w:r w:rsidRPr="00D25ECB">
              <w:rPr>
                <w:lang w:val="ru-RU"/>
              </w:rPr>
              <w:t xml:space="preserve"> або </w:t>
            </w:r>
            <w:r>
              <w:t>II</w:t>
            </w:r>
            <w:r w:rsidRPr="00D25ECB">
              <w:rPr>
                <w:lang w:val="ru-RU"/>
              </w:rPr>
              <w:t xml:space="preserve"> типу (біполярною депресією)», </w:t>
            </w:r>
            <w:r>
              <w:t>ITI</w:t>
            </w:r>
            <w:r w:rsidRPr="00D25ECB">
              <w:rPr>
                <w:lang w:val="ru-RU"/>
              </w:rPr>
              <w:t>-007-403, версія від 07 листопада 2019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Intra-Cellular Therapies, Inc. (ITI), США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7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M13-545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інкорпорованими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Адміністративними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Змінами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1, 2, 3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Поправками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1, 2, 3, 4, 5, 6, 7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8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язковому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11.1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02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403 від 04.05.2016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«Рандомізоване, подвійне сліпе дослідження ІІІ фази для порівняння препарату Упадацитиніб</w:t>
            </w:r>
            <w:r>
              <w:rPr>
                <w:lang w:val="ru-RU"/>
              </w:rPr>
              <w:t xml:space="preserve"> </w:t>
            </w:r>
            <w:r w:rsidRPr="00EC65FE">
              <w:rPr>
                <w:lang w:val="ru-RU"/>
              </w:rPr>
              <w:t xml:space="preserve"> (АВТ-494)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артриту, що раніше не отримували метотрексат», </w:t>
            </w:r>
            <w:r>
              <w:t>M</w:t>
            </w:r>
            <w:r w:rsidRPr="00EC65FE">
              <w:rPr>
                <w:lang w:val="ru-RU"/>
              </w:rPr>
              <w:t xml:space="preserve">13-545, з інкорпорованими Адміністративними Змінами 1, 2, 3 і 4 та Поправками 1, 2, 3, 4, 5, 6 та 7 від 01 липня 2020 року 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ЕббВі Інк, США / AbbVie Inc., USA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8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D25ECB" w:rsidRDefault="00EC65FE">
            <w:pPr>
              <w:jc w:val="both"/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D25ECB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адреси</w:t>
            </w:r>
            <w:r w:rsidRPr="00D25ECB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D25ECB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D25ECB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D25ECB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EC65FE" w:rsidTr="00EC65FE">
              <w:trPr>
                <w:trHeight w:val="168"/>
              </w:trPr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EC65FE" w:rsidTr="00EC65FE">
              <w:trPr>
                <w:trHeight w:val="204"/>
              </w:trPr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95e872d0"/>
                    <w:rPr>
                      <w:b/>
                      <w:i/>
                    </w:rPr>
                  </w:pPr>
                  <w:r w:rsidRPr="00EC65FE">
                    <w:rPr>
                      <w:rStyle w:val="csed36d4af8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90 Harcourt Street, Dublin 2, Ireland (Ірландія)</w:t>
                  </w:r>
                </w:p>
              </w:tc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95e872d0"/>
                    <w:rPr>
                      <w:b/>
                      <w:i/>
                    </w:rPr>
                  </w:pPr>
                  <w:r w:rsidRPr="00EC65FE">
                    <w:rPr>
                      <w:rStyle w:val="csed36d4af8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45 Mespil Road, Dublin 4, Ireland (Ірландія)</w:t>
                  </w:r>
                </w:p>
              </w:tc>
            </w:tr>
          </w:tbl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Олеогель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-S10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відкритої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періоду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подальшого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4.1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Ресерч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2313 від 12.12.2018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EC65FE">
              <w:rPr>
                <w:lang w:val="ru-RU"/>
              </w:rPr>
              <w:t xml:space="preserve">Подвійне сліпе, рандомізоване, контрольоване наповнювачем дослідження фази </w:t>
            </w:r>
            <w:r>
              <w:t>III</w:t>
            </w:r>
            <w:r w:rsidRPr="00EC65FE">
              <w:rPr>
                <w:lang w:val="ru-RU"/>
              </w:rPr>
              <w:t xml:space="preserve"> для оцінки ефективності й безпечності застосування Олеогелю-</w:t>
            </w:r>
            <w:r>
              <w:t>S</w:t>
            </w:r>
            <w:r w:rsidRPr="00EC65FE">
              <w:rPr>
                <w:lang w:val="ru-RU"/>
              </w:rPr>
              <w:t>10 з відкритим 24-місячним подальшим спостереженням у пацієнтів із вродженим бульозним епідермолізом</w:t>
            </w:r>
            <w:r>
              <w:rPr>
                <w:lang w:val="ru-RU"/>
              </w:rPr>
              <w:t>»</w:t>
            </w:r>
            <w:r w:rsidRPr="00EC65FE">
              <w:rPr>
                <w:lang w:val="ru-RU"/>
              </w:rPr>
              <w:t xml:space="preserve">, </w:t>
            </w:r>
            <w:r>
              <w:t>BEB</w:t>
            </w:r>
            <w:r w:rsidRPr="00EC65FE">
              <w:rPr>
                <w:lang w:val="ru-RU"/>
              </w:rPr>
              <w:t>-13, фінальна версія 6.0 від 18 квітня 2019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EC65FE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Амрит Ресерч Лімітед, Ірландія (Amryt Research Limited, Ireland)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9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13-538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інкорпорованими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адміністративними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поправками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0.01, 0.02, 0.03, 1, 2, 3, 4, 5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6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періоду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31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11.1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адреси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«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ЕббВі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Біофармасьютікалз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ГмбХ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Швейцарія</w:t>
            </w:r>
            <w:r w:rsidRPr="00EC65FE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EC65FE" w:rsidTr="00EC65FE"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C65FE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EC65FE" w:rsidTr="00EC65FE"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rPr>
                      <w:b/>
                    </w:rPr>
                  </w:pPr>
                  <w:r w:rsidRPr="00EC65FE">
                    <w:rPr>
                      <w:rStyle w:val="csed36d4af9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Нейхофштрассе 23, 6341 м. Баар, Швейцарія (Neuhofstrasse 23, 6341 Baar, Switzerland) </w:t>
                  </w:r>
                </w:p>
                <w:p w:rsidR="00EC65FE" w:rsidRPr="00EC65FE" w:rsidRDefault="00EC65FE" w:rsidP="00EC65FE">
                  <w:pPr>
                    <w:pStyle w:val="cs95e872d0"/>
                    <w:rPr>
                      <w:b/>
                    </w:rPr>
                  </w:pPr>
                  <w:r w:rsidRPr="00EC65FE">
                    <w:rPr>
                      <w:rStyle w:val="csfdaf9b7a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5FE" w:rsidRPr="00EC65FE" w:rsidRDefault="00EC65FE" w:rsidP="00EC65FE">
                  <w:pPr>
                    <w:pStyle w:val="cs80d9435b"/>
                    <w:rPr>
                      <w:b/>
                    </w:rPr>
                  </w:pPr>
                  <w:r w:rsidRPr="00EC65FE">
                    <w:rPr>
                      <w:rStyle w:val="csed36d4af9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Альте Штайнхаузерштрассе 14, 6330 Хам, Швейцарія (Alte Steinhauserstrasse 14, 6330 Cham, Switzerland)</w:t>
                  </w:r>
                </w:p>
              </w:tc>
            </w:tr>
          </w:tbl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EC65FE" w:rsidRP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«Багатоцентрове відкрите продовжене дослідження (ВПД) фази 2 за участі пацієнтів, хворих на ревматоїдний артрит, які завершили участь у попередньому рандомізованому контрольованому випробуванні (РКВ) фази 2 з оцінювання препарату Упадацитиніб (АВТ-494)», </w:t>
            </w:r>
            <w:r>
              <w:t>M</w:t>
            </w:r>
            <w:r w:rsidRPr="00EC65FE">
              <w:rPr>
                <w:lang w:val="ru-RU"/>
              </w:rPr>
              <w:t>13-538, з інкорпорованими адміністративними змінами 1 та 2 та поправками 0.01, 0.02, 0.03, 1, 2, 3, 4 та 5 від 17 грудня 2019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Abbvie Inc, США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10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theme="minorBidi"/>
                <w:lang w:val="ru-RU"/>
              </w:rPr>
            </w:pPr>
            <w:r w:rsidRPr="00EC65FE">
              <w:rPr>
                <w:lang w:val="ru-RU"/>
              </w:rPr>
              <w:t>Зміна назви місця проведення клінічного випробування</w:t>
            </w:r>
            <w:r>
              <w:rPr>
                <w:rFonts w:cstheme="minorBidi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EC65FE" w:rsidTr="00EC65FE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2e86d3a6"/>
                  </w:pP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2e86d3a6"/>
                  </w:pP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C65FE" w:rsidRPr="000B496B" w:rsidTr="00EC65FE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80d9435b"/>
                    <w:rPr>
                      <w:lang w:val="ru-RU"/>
                    </w:rPr>
                  </w:pP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Яременко О.Б.</w:t>
                  </w:r>
                </w:p>
                <w:p w:rsidR="00EC65FE" w:rsidRPr="00EC65FE" w:rsidRDefault="00EC65FE" w:rsidP="00EC65FE">
                  <w:pPr>
                    <w:pStyle w:val="cs80d9435b"/>
                    <w:rPr>
                      <w:lang w:val="ru-RU"/>
                    </w:rPr>
                  </w:pP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 міська клінічна лікарня №3, ревматологічне відділення, Національний медичний університет імені О.О. Богомольця, кафедра внутрішньої медицини №3,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f06cd379"/>
                    <w:rPr>
                      <w:lang w:val="ru-RU"/>
                    </w:rPr>
                  </w:pP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Яременко О.Б. </w:t>
                  </w:r>
                </w:p>
                <w:p w:rsidR="00EC65FE" w:rsidRPr="00EC65FE" w:rsidRDefault="00EC65FE" w:rsidP="00EC65FE">
                  <w:pPr>
                    <w:pStyle w:val="cs80d9435b"/>
                    <w:rPr>
                      <w:lang w:val="ru-RU"/>
                    </w:rPr>
                  </w:pPr>
                  <w:r w:rsidRPr="00EC65FE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«Київська міська клінічна лікарня №3» </w:t>
                  </w:r>
                  <w:r w:rsidRPr="00EC65FE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 органу Київської міської ради (Київської міської державної адміністрації), кардіологічне відділення з палатою інтенсивної терапії, в т.ч. з ліжками інфарктного та ревматологічного профілю</w:t>
                  </w:r>
                  <w:r w:rsidRPr="00EC65FE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Національний медичний університет імені О.О. Богомольця, кафедра внутрішньої медицини №3, м. Київ</w:t>
                  </w:r>
                </w:p>
              </w:tc>
            </w:tr>
          </w:tbl>
          <w:p w:rsidR="00EC65FE" w:rsidRPr="00EC65FE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 w:rsidTr="00EC65FE">
        <w:trPr>
          <w:trHeight w:val="8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1207 від 25.06.2018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контрольоване, подвійне сліпе продовжене дослідження з оцінки віддаленої безпеки та ефективності препарату Орелво (воклоспорин) (при прийомі 23,7 мг два рази на день щодня) в порівнянні з плацебо у пацієнтів з вовчаковим нефритом», </w:t>
            </w:r>
            <w:r>
              <w:t>AUR</w:t>
            </w:r>
            <w:r w:rsidRPr="00EC65FE">
              <w:rPr>
                <w:lang w:val="ru-RU"/>
              </w:rPr>
              <w:t>-</w:t>
            </w:r>
            <w:r>
              <w:t>VCS</w:t>
            </w:r>
            <w:r w:rsidRPr="00EC65FE">
              <w:rPr>
                <w:lang w:val="ru-RU"/>
              </w:rPr>
              <w:t>-2016-02, версія 3.0 від 21 грудня 2018 р.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 «ВОРЛДВАЙД КЛІНІКАЛ ТРАІЛС УКР»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«Аурініа» (Aurinia Pharmaceuticals Inc.), Canada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11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Заява про згоду на обробку персональних даних у базі даних учасників досліджень, керованої компанією «Веріфайд Клінікал Траялз Ел-Ел-Сі» (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VCT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), версія 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1.0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26 січня </w:t>
            </w:r>
            <w:r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2021 року, переклад українською мовою від 04 лютого 2021 року; Заява про згоду на обробку персональних даних у базі даних учасників досліджень, керованої компанією «Веріфайд Клінікал Траялз Ел-Ел-Сі» (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VCT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), версія 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1.0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C65FE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)1.0 від 26 січня 2021 року, переклад російською мовою від 04 лютого 2021 року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662 від 16.03.2020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      </w:r>
            <w:r>
              <w:t>SEP</w:t>
            </w:r>
            <w:r w:rsidRPr="00EC65FE">
              <w:rPr>
                <w:lang w:val="ru-RU"/>
              </w:rPr>
              <w:t xml:space="preserve">-363856 у пацієнтів із шизофренією», </w:t>
            </w:r>
            <w:r>
              <w:t>SEP</w:t>
            </w:r>
            <w:r w:rsidRPr="00EC65FE">
              <w:rPr>
                <w:lang w:val="ru-RU"/>
              </w:rPr>
              <w:t xml:space="preserve">361-304, версія 3.00 з інкорпорованою суттєвою поправкою </w:t>
            </w:r>
            <w:r>
              <w:t>2.00 від 14 січня 2021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«Суновіон Фармасьютікалс Інк</w:t>
            </w:r>
            <w:proofErr w:type="gramStart"/>
            <w:r>
              <w:t>.»</w:t>
            </w:r>
            <w:proofErr w:type="gramEnd"/>
            <w:r>
              <w:t xml:space="preserve"> (Sunovion Pharmaceuticals Inc.), США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12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Включення додаткового місця проведення клінічного випробування</w:t>
            </w:r>
            <w:r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C65FE" w:rsidRPr="000B496B" w:rsidTr="00EC65F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Default="00EC65F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EC65FE" w:rsidRDefault="00EC65FE">
                  <w:pPr>
                    <w:jc w:val="center"/>
                    <w:rPr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C65FE" w:rsidRPr="000B496B" w:rsidTr="00EC65F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2e86d3a6"/>
                    <w:rPr>
                      <w:b/>
                      <w:color w:val="000000" w:themeColor="text1"/>
                    </w:rPr>
                  </w:pPr>
                  <w:r w:rsidRPr="00EC65F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 w:rsidP="00EC65F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EC65FE">
                    <w:rPr>
                      <w:rStyle w:val="cs9b006261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Лисенко С.А.</w:t>
                  </w:r>
                </w:p>
                <w:p w:rsidR="00EC65FE" w:rsidRPr="00EC65FE" w:rsidRDefault="00EC65FE" w:rsidP="00EC65F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EC65F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торакальне відділення, м. Вінниця</w:t>
                  </w:r>
                </w:p>
              </w:tc>
            </w:tr>
          </w:tbl>
          <w:p w:rsidR="00EC65FE" w:rsidRPr="00EC65FE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187 від 05.02.2021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багатоцентрове, фази </w:t>
            </w:r>
            <w:r>
              <w:t>IB</w:t>
            </w:r>
            <w:r w:rsidRPr="00EC65FE">
              <w:rPr>
                <w:lang w:val="ru-RU"/>
              </w:rPr>
              <w:t>/</w:t>
            </w:r>
            <w:r>
              <w:t>III</w:t>
            </w:r>
            <w:r w:rsidRPr="00EC65FE">
              <w:rPr>
                <w:lang w:val="ru-RU"/>
              </w:rPr>
              <w:t xml:space="preserve">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легень», </w:t>
            </w:r>
            <w:r>
              <w:t>BP</w:t>
            </w:r>
            <w:r w:rsidRPr="00EC65FE">
              <w:rPr>
                <w:lang w:val="ru-RU"/>
              </w:rPr>
              <w:t>40657, версія 4 від 28 серпня 2020 р.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EC65FE" w:rsidRPr="000B496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Ф.Хоффманн-Ля Рош Лтд, Швейцарія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13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«S.4 CONTROL OF DRUG SUBSTANCE»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MK-6482,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05QG8Q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 w:rsidRP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AC5355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«Відкрите, рандомізоване дослідження </w:t>
            </w:r>
            <w:r>
              <w:t>III</w:t>
            </w:r>
            <w:r w:rsidRPr="00EC65FE">
              <w:rPr>
                <w:lang w:val="ru-RU"/>
              </w:rPr>
              <w:t xml:space="preserve"> фази для оцінки ефективності та безпечності пембролізумабу (</w:t>
            </w:r>
            <w:r>
              <w:t>MK</w:t>
            </w:r>
            <w:r w:rsidRPr="00EC65FE">
              <w:rPr>
                <w:lang w:val="ru-RU"/>
              </w:rPr>
              <w:t>-3475) у комбінації з белзутифаном (</w:t>
            </w:r>
            <w:r>
              <w:t>MK</w:t>
            </w:r>
            <w:r w:rsidRPr="00EC65FE">
              <w:rPr>
                <w:lang w:val="ru-RU"/>
              </w:rPr>
              <w:t>-6482) та ленватинібом (</w:t>
            </w:r>
            <w:r>
              <w:t>MK</w:t>
            </w:r>
            <w:r w:rsidRPr="00EC65FE">
              <w:rPr>
                <w:lang w:val="ru-RU"/>
              </w:rPr>
              <w:t xml:space="preserve">-7902), або </w:t>
            </w:r>
            <w:r>
              <w:t>MK</w:t>
            </w:r>
            <w:r w:rsidRPr="00EC65FE">
              <w:rPr>
                <w:lang w:val="ru-RU"/>
              </w:rPr>
              <w:t>-1308</w:t>
            </w:r>
            <w:r>
              <w:t>A</w:t>
            </w:r>
            <w:r w:rsidRPr="00EC65FE">
              <w:rPr>
                <w:lang w:val="ru-RU"/>
              </w:rPr>
      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</w:t>
            </w:r>
            <w:r>
              <w:t>MK</w:t>
            </w:r>
            <w:r w:rsidRPr="00EC65FE">
              <w:rPr>
                <w:lang w:val="ru-RU"/>
              </w:rPr>
              <w:t xml:space="preserve">-6482-012, з інкорпорованою поправкою </w:t>
            </w:r>
            <w:r>
              <w:t>01 від 26 січня 2021 року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14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AC5355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Брошура дослідника для препарату </w:t>
            </w:r>
            <w:r w:rsidRPr="00AC5355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>STELARA</w:t>
            </w:r>
            <w:r w:rsidRPr="00AC5355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® (</w:t>
            </w:r>
            <w:r w:rsidRPr="00AC5355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>ustekinumab</w:t>
            </w:r>
            <w:r w:rsidRPr="00AC5355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видання 22 від 17 лютого 2021 року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70 від 31.01.2017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>«Рандомізоване подвійне сліпе плацебо-контрольоване багатоцентрове дослідження фази 2</w:t>
            </w:r>
            <w:r>
              <w:t>b</w:t>
            </w:r>
            <w:r w:rsidRPr="00EC65FE">
              <w:rPr>
                <w:lang w:val="ru-RU"/>
              </w:rPr>
              <w:t xml:space="preserve">, що проводиться у паралельних групах з метою оцінки безпечності та ефективності застосування препарату </w:t>
            </w:r>
            <w:r>
              <w:t>JNJ</w:t>
            </w:r>
            <w:r w:rsidRPr="00EC65FE">
              <w:rPr>
                <w:lang w:val="ru-RU"/>
              </w:rPr>
              <w:t>-64304500 у пацієнтів з хворобою Крона в активній фазі від середнього до важкого ступеня тяжкості», 64304500</w:t>
            </w:r>
            <w:r>
              <w:t>CRD</w:t>
            </w:r>
            <w:r w:rsidRPr="00EC65FE">
              <w:rPr>
                <w:lang w:val="ru-RU"/>
              </w:rPr>
              <w:t xml:space="preserve">2001, з інкорпорованою поправкою </w:t>
            </w:r>
            <w:r>
              <w:t>6 від 04 лютого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«ПАРЕКСЕЛ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«Янссен-Сілаг Інтернешнл НВ", Бельгія» / Janssen-Silag International NV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15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 w:rsidP="00D727AD">
            <w:pPr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DRM06-AD05/J2T-DM-KGAC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09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дорослих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13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неповнолітніх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14‒17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4.1.0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реєстрації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прийому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Мобільний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«Medidata Patient Cloud»,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стандартні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скріншоти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режим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дослідницького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: Medidata Patient Cloud App Standard Screens_Site Mode, © 2018 Medidata Solutions Worldwide,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2.1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Мобільний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«Medidata Patient Cloud»,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стандартні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скріншоти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режим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дослідницького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: Medidata Patient Cloud App Standard Screens_Site Mode, © 2018 Medidata Solutions Worldwide,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2.3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Лебрікізумаб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, LY3650150,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Ресерч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AC5355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1468 від 26.06.2020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 дослідження для оцінки ефективності та безпеки лебрікізумаба у пацієнтів з атопічним дерматитом помірного і тяжкого ступеня», </w:t>
            </w:r>
            <w:r w:rsidR="00E91101">
              <w:rPr>
                <w:lang w:val="ru-RU"/>
              </w:rPr>
              <w:t xml:space="preserve">                 </w:t>
            </w:r>
            <w:r>
              <w:t>DRM</w:t>
            </w:r>
            <w:r w:rsidRPr="00EC65FE">
              <w:rPr>
                <w:lang w:val="ru-RU"/>
              </w:rPr>
              <w:t>06-</w:t>
            </w:r>
            <w:r>
              <w:t>AD</w:t>
            </w:r>
            <w:r w:rsidRPr="00EC65FE">
              <w:rPr>
                <w:lang w:val="ru-RU"/>
              </w:rPr>
              <w:t xml:space="preserve">05/ </w:t>
            </w:r>
            <w:r>
              <w:t>J</w:t>
            </w:r>
            <w:r w:rsidRPr="00EC65FE">
              <w:rPr>
                <w:lang w:val="ru-RU"/>
              </w:rPr>
              <w:t>2</w:t>
            </w:r>
            <w:r>
              <w:t>T</w:t>
            </w:r>
            <w:r w:rsidRPr="00EC65FE">
              <w:rPr>
                <w:lang w:val="ru-RU"/>
              </w:rPr>
              <w:t>-</w:t>
            </w:r>
            <w:r>
              <w:t>DM</w:t>
            </w:r>
            <w:r w:rsidRPr="00EC65FE">
              <w:rPr>
                <w:lang w:val="ru-RU"/>
              </w:rPr>
              <w:t>-</w:t>
            </w:r>
            <w:r>
              <w:t>KGAC</w:t>
            </w:r>
            <w:r w:rsidRPr="00EC65FE">
              <w:rPr>
                <w:lang w:val="ru-RU"/>
              </w:rPr>
              <w:t xml:space="preserve">, з поправкою </w:t>
            </w:r>
            <w:r>
              <w:t>2 від 20 травня 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«Сінеос Хелс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«Дерміра, Інк.» дочірня компанія, що знаходиться у повній власності компанії «Елі Ліллі енд </w:t>
            </w:r>
            <w:r>
              <w:lastRenderedPageBreak/>
              <w:t>Компані, США (Dermira, Inc., a wholly-owned subsidiary of Eli Lilly and Company, USA)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16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Tr="00AC5355">
        <w:trPr>
          <w:trHeight w:val="527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 w:rsidP="00D727AD">
            <w:pPr>
              <w:spacing w:after="240"/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14-17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14-17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7.1.0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11-13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A3921165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науковому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11-13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рівні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5.1.0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0B496B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та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дата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наказу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МОЗ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щодо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затвердження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клінічного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342 від 26.02.2018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lastRenderedPageBreak/>
              <w:t>Назва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клінічного</w:t>
            </w:r>
            <w:r w:rsidRPr="000B496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випробування</w:t>
            </w:r>
            <w:r w:rsidRPr="000B496B">
              <w:rPr>
                <w:szCs w:val="24"/>
                <w:lang w:val="ru-RU"/>
              </w:rPr>
              <w:t xml:space="preserve">, </w:t>
            </w:r>
            <w:r w:rsidRPr="00EC65FE">
              <w:rPr>
                <w:szCs w:val="24"/>
                <w:lang w:val="ru-RU"/>
              </w:rPr>
              <w:t>код</w:t>
            </w:r>
            <w:r w:rsidRPr="000B496B">
              <w:rPr>
                <w:szCs w:val="24"/>
                <w:lang w:val="ru-RU"/>
              </w:rPr>
              <w:t xml:space="preserve">, </w:t>
            </w:r>
            <w:r w:rsidRPr="00EC65FE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«Ефективність, безпечність, переносимість і фармакокенетика Тофацитинібу при лікуванні системного ювенільного ідіопатичного артриту (сЮІА) з активними системними проявами у дітей та підлітків», А3921165, з інкорпорованою поправкою </w:t>
            </w:r>
            <w:r>
              <w:t>3 від 04 травня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«Інвентів Хелс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Пфайзер Інк, США [Pfizer Inc, USA]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17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C65FE" w:rsidRDefault="000B496B" w:rsidP="00D727AD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spacing w:after="240"/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3.2.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Лікарський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Засіб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45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капсули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05.02.2021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JNJ-61393215, 45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36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ДЛЗ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JNJ-61393215, 45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капсули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пляшках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ДЛЗ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JNJ-61393215, 45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капсули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блістерах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296 від 11.02.2020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«Подвійне сліпе, плацебо-контрольоване, багатоцентрове клінічне дослідження, що вивчає ефективність, безпечність та переносимість </w:t>
            </w:r>
            <w:r>
              <w:t>JNJ</w:t>
            </w:r>
            <w:r w:rsidRPr="00EC65FE">
              <w:rPr>
                <w:lang w:val="ru-RU"/>
              </w:rPr>
              <w:t>-61393215,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антидепресанти», 61393215</w:t>
            </w:r>
            <w:r>
              <w:t>MDD</w:t>
            </w:r>
            <w:r w:rsidRPr="00EC65FE">
              <w:rPr>
                <w:lang w:val="ru-RU"/>
              </w:rPr>
              <w:t xml:space="preserve">2001, з Поправкою </w:t>
            </w:r>
            <w:r>
              <w:t>2 від 05.08.2020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18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AVT02,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AVT02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Скорочене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AVT02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767 від 02.04.2020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«Багатоцентрове, подвійне сліпе, рандомізоване дослідження, що проводиться у паралельних групах з метою вивчення фармакокінетики, ефективності, безпеки та імуногенності у пацієнтів з хронічним бляшковим псоріазом від помірного до тяжкого ступеня, які отримують препарат Хуміра®, та у пацієнтів (або порівняно з пацієнтами) з хронічним бляшковим псоріазом від помірного до тяжкого ступеня, які знаходяться у стадії повторного переходу від лікування препаратом Хуміра® на лікування препаратом </w:t>
            </w:r>
            <w:r>
              <w:t>AVT</w:t>
            </w:r>
            <w:r w:rsidRPr="00EC65FE">
              <w:rPr>
                <w:lang w:val="ru-RU"/>
              </w:rPr>
              <w:t xml:space="preserve">02 з наступною подовженою фазою вивчення безпеки </w:t>
            </w:r>
            <w:r>
              <w:t>AVT</w:t>
            </w:r>
            <w:r w:rsidRPr="00EC65FE">
              <w:rPr>
                <w:lang w:val="ru-RU"/>
              </w:rPr>
              <w:t>02 (</w:t>
            </w:r>
            <w:r>
              <w:t>ALVOPAD</w:t>
            </w:r>
            <w:r w:rsidRPr="00EC65FE">
              <w:rPr>
                <w:lang w:val="ru-RU"/>
              </w:rPr>
              <w:t>-</w:t>
            </w:r>
            <w:r>
              <w:t>X</w:t>
            </w:r>
            <w:r w:rsidRPr="00EC65FE">
              <w:rPr>
                <w:lang w:val="ru-RU"/>
              </w:rPr>
              <w:t xml:space="preserve">)», </w:t>
            </w:r>
            <w:r>
              <w:t>AVT</w:t>
            </w:r>
            <w:r w:rsidRPr="00EC65FE">
              <w:rPr>
                <w:lang w:val="ru-RU"/>
              </w:rPr>
              <w:t>02-</w:t>
            </w:r>
            <w:r>
              <w:t>GL</w:t>
            </w:r>
            <w:r w:rsidRPr="00EC65FE">
              <w:rPr>
                <w:lang w:val="ru-RU"/>
              </w:rPr>
              <w:t xml:space="preserve">-302, версія 3.0 з інкорпорованою поправкою </w:t>
            </w:r>
            <w:r>
              <w:t>2 від 03 серпня 2020 р.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 «ВОРЛДВАЙД КЛІНІКАЛ ТРАІЛС УКР»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«Алвотек Свісс АГ» (Alvotech Swiss AG), Швейцарія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19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jc w:val="both"/>
              <w:rPr>
                <w:rFonts w:cstheme="minorBidi"/>
              </w:rPr>
            </w:pPr>
            <w:r>
              <w:t xml:space="preserve">Досьє досліджуваного лікарського засобу для CT-P16 (Bevacizumab), Розділ Якість, версія 7.0 від </w:t>
            </w:r>
            <w:r w:rsidR="00AC5355">
              <w:rPr>
                <w:lang w:val="uk-UA"/>
              </w:rPr>
              <w:t xml:space="preserve">            </w:t>
            </w:r>
            <w:r>
              <w:t>28 січня 2020 р.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415 від 18.02.2019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      </w:r>
            <w:r>
              <w:t>CT</w:t>
            </w:r>
            <w:r w:rsidRPr="00EC65FE">
              <w:rPr>
                <w:lang w:val="ru-RU"/>
              </w:rPr>
              <w:t>-</w:t>
            </w:r>
            <w:r>
              <w:t>P</w:t>
            </w:r>
            <w:r w:rsidRPr="00EC65FE">
              <w:rPr>
                <w:lang w:val="ru-RU"/>
              </w:rPr>
              <w:t xml:space="preserve">16 та Авастину, схваленого в ЄС, як першої лінії лікування метастатичного або рецидивуючого неплоскоклітинного недрібноклітинного раку легень», </w:t>
            </w:r>
            <w:r>
              <w:t>CT</w:t>
            </w:r>
            <w:r w:rsidRPr="00EC65FE">
              <w:rPr>
                <w:lang w:val="ru-RU"/>
              </w:rPr>
              <w:t>-</w:t>
            </w:r>
            <w:r>
              <w:t>P</w:t>
            </w:r>
            <w:r w:rsidRPr="00EC65FE">
              <w:rPr>
                <w:lang w:val="ru-RU"/>
              </w:rPr>
              <w:t>16 3.1, версія 2.0 від 14 червня 2019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«ЦЕЛЛТРІОН, Інк.», Республіка Корея (CELLTRION, Inc., Republic of Korea)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20</w:t>
      </w:r>
    </w:p>
    <w:p w:rsidR="00D727AD" w:rsidRPr="00D727AD" w:rsidRDefault="00D727AD" w:rsidP="00D727A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D727AD" w:rsidRPr="00D727AD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D727AD" w:rsidP="00D727AD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jc w:val="both"/>
              <w:rPr>
                <w:rFonts w:cstheme="minorBidi"/>
              </w:rPr>
            </w:pPr>
            <w:r>
              <w:t>Брошура Дослідника JNJ-70033093; BMS-986177 (Milvexian) видання 7 від 29.01.2021</w:t>
            </w:r>
            <w:r>
              <w:rPr>
                <w:rFonts w:cstheme="minorBidi"/>
              </w:rPr>
              <w:t xml:space="preserve"> 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2006 від 02.10.2019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«Рандомізоване, відкрите, з засліпленим дозуванням досліджуваного препарату, багатоцентрове клінічне дослідження для вивчення ефективності та безпечності лікування </w:t>
            </w:r>
            <w:r>
              <w:t>JNJ</w:t>
            </w:r>
            <w:r w:rsidRPr="00EC65FE">
              <w:rPr>
                <w:lang w:val="ru-RU"/>
              </w:rPr>
              <w:t xml:space="preserve">-70033093 </w:t>
            </w:r>
            <w:r w:rsidR="00E91101">
              <w:rPr>
                <w:lang w:val="ru-RU"/>
              </w:rPr>
              <w:t xml:space="preserve">                    </w:t>
            </w:r>
            <w:r w:rsidRPr="00EC65FE">
              <w:rPr>
                <w:lang w:val="ru-RU"/>
              </w:rPr>
              <w:t>(</w:t>
            </w:r>
            <w:r>
              <w:t>BMS</w:t>
            </w:r>
            <w:r w:rsidRPr="00EC65FE">
              <w:rPr>
                <w:lang w:val="ru-RU"/>
              </w:rPr>
              <w:t xml:space="preserve">-986177), пероральним інгібітором </w:t>
            </w:r>
            <w:r>
              <w:t>XIa</w:t>
            </w:r>
            <w:r w:rsidRPr="00EC65FE">
              <w:rPr>
                <w:lang w:val="ru-RU"/>
              </w:rPr>
              <w:t xml:space="preserve"> фактору, у порівнянні з підшкірним введенням еноксапарину у пацієнтів, яким проводиться планова хірургічна операція повної заміни колінного суглобу», 70033093</w:t>
            </w:r>
            <w:r>
              <w:t>THR</w:t>
            </w:r>
            <w:r w:rsidRPr="00EC65FE">
              <w:rPr>
                <w:lang w:val="ru-RU"/>
              </w:rPr>
              <w:t xml:space="preserve">2001, з поправкою </w:t>
            </w:r>
            <w:r>
              <w:t>Amendment 1 від 10.09.2019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D727AD" w:rsidRDefault="00EC65FE">
      <w:pPr>
        <w:rPr>
          <w:b/>
          <w:szCs w:val="24"/>
          <w:lang w:val="uk-UA"/>
        </w:rPr>
      </w:pPr>
      <w:r w:rsidRPr="00D727A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727AD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D727A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727AD">
        <w:rPr>
          <w:b/>
          <w:lang w:val="uk-UA"/>
        </w:rPr>
        <w:t> </w:t>
      </w:r>
      <w:r w:rsidRPr="00D727A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727AD">
        <w:rPr>
          <w:b/>
          <w:lang w:val="uk-UA" w:eastAsia="uk-UA"/>
        </w:rPr>
        <w:t xml:space="preserve">_______________________      </w:t>
      </w:r>
      <w:r w:rsidRPr="00D727A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21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jc w:val="both"/>
              <w:rPr>
                <w:rFonts w:cstheme="minorBidi"/>
              </w:rPr>
            </w:pPr>
            <w:r>
              <w:t>Брошура дослідника JNJ-67896049 / ACT-293987 / NS-304 Uptravi® (selexipag), Видання 16 від 02.02.2021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310 від 23.02.2021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«Багатоцентрове, з одним рукавом лікування, відкрите, довготривале клінічне дослідження спостереження безпечності Селексіпагу у учасників, які брали участь у попередньому клінічному дослідженні Селексіпагу», 67896049</w:t>
            </w:r>
            <w:r>
              <w:t>PUH</w:t>
            </w:r>
            <w:r w:rsidRPr="00EC65FE">
              <w:rPr>
                <w:lang w:val="ru-RU"/>
              </w:rPr>
              <w:t>3001, версія 1.0 від 04.03.2020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«ЯНССЕН ФАРМАЦЕВТИКА НВ», Бельгія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22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GPGN-UA-UA-FACT-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ARD_04FEB21_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Рекомендації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діареї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; GPGN_UA_RU_FACT_CARD_04FEB21_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випадку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діареї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; GPGN-UA-UA-HYPO-12JAN21_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Гіпоглікемія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ознаки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симптоми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способи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пониженого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цукру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крові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; GPGN-UA-RU-HYPO-08JAN21_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Гіпоглікемія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ознаки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симптоми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способи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пониженого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рівня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цукру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крові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; GPGN-UA-UA-LOG-SHEET-04FEB21_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випадки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гіпоглікемії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SURPASS-CVOT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>GPGN_UA_UA_LOG_SHEET_04FEB21_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випадки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гіпоглікемії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SURPASS-CVOT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D25ECB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та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дата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наказу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МОЗ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щодо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затвердження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клінічного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700 від 24.03.2020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клінічного</w:t>
            </w:r>
            <w:r w:rsidRPr="00D25ECB">
              <w:rPr>
                <w:szCs w:val="24"/>
                <w:lang w:val="ru-RU"/>
              </w:rPr>
              <w:t xml:space="preserve"> </w:t>
            </w:r>
            <w:r w:rsidRPr="00EC65FE">
              <w:rPr>
                <w:szCs w:val="24"/>
                <w:lang w:val="ru-RU"/>
              </w:rPr>
              <w:t>випробування</w:t>
            </w:r>
            <w:r w:rsidRPr="00D25ECB">
              <w:rPr>
                <w:szCs w:val="24"/>
                <w:lang w:val="ru-RU"/>
              </w:rPr>
              <w:t xml:space="preserve">, </w:t>
            </w:r>
            <w:r w:rsidRPr="00EC65FE">
              <w:rPr>
                <w:szCs w:val="24"/>
                <w:lang w:val="ru-RU"/>
              </w:rPr>
              <w:t>код</w:t>
            </w:r>
            <w:r w:rsidRPr="00D25ECB">
              <w:rPr>
                <w:szCs w:val="24"/>
                <w:lang w:val="ru-RU"/>
              </w:rPr>
              <w:t xml:space="preserve">, </w:t>
            </w:r>
            <w:r w:rsidRPr="00EC65FE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>«Дослідження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2 типу (</w:t>
            </w:r>
            <w:r>
              <w:t>SURPASS</w:t>
            </w:r>
            <w:r w:rsidRPr="00EC65FE">
              <w:rPr>
                <w:lang w:val="ru-RU"/>
              </w:rPr>
              <w:t>-</w:t>
            </w:r>
            <w:r>
              <w:t>CVOT</w:t>
            </w:r>
            <w:r w:rsidRPr="00EC65FE">
              <w:rPr>
                <w:lang w:val="ru-RU"/>
              </w:rPr>
              <w:t xml:space="preserve">)», </w:t>
            </w:r>
            <w:r>
              <w:t>I</w:t>
            </w:r>
            <w:r w:rsidRPr="00EC65FE">
              <w:rPr>
                <w:lang w:val="ru-RU"/>
              </w:rPr>
              <w:t>8</w:t>
            </w:r>
            <w:r>
              <w:t>F</w:t>
            </w:r>
            <w:r w:rsidRPr="00EC65FE">
              <w:rPr>
                <w:lang w:val="ru-RU"/>
              </w:rPr>
              <w:t>-</w:t>
            </w:r>
            <w:r>
              <w:t>MC</w:t>
            </w:r>
            <w:r w:rsidRPr="00EC65FE">
              <w:rPr>
                <w:lang w:val="ru-RU"/>
              </w:rPr>
              <w:t>-</w:t>
            </w:r>
            <w:r>
              <w:t>GPGN</w:t>
            </w:r>
            <w:r w:rsidRPr="00EC65FE">
              <w:rPr>
                <w:lang w:val="ru-RU"/>
              </w:rPr>
              <w:t xml:space="preserve">, з інкорпорованою поправкою </w:t>
            </w:r>
            <w:r>
              <w:t>(с) від 12 листопада 2020 року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23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jc w:val="both"/>
              <w:rPr>
                <w:rFonts w:cstheme="minorBidi"/>
              </w:rPr>
            </w:pPr>
            <w:r>
              <w:t>Брошура дослідника HD204, версія 5.0 від 15.03.2021 англійською мовою; Досьє досліджуваного лікарського засобу HD204, версія 4.0 від 15.03.2021 англійською мовою; Залучення нової виробничої ділянки Prestige Boilogics Co. Ltd (Республіка Корея) для HD204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1804 від 15.08.2019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подвійне сліпе, багатоцентрове дослідження еквівалентності фази </w:t>
            </w:r>
            <w:r>
              <w:t>III</w:t>
            </w:r>
            <w:r w:rsidRPr="00EC65FE">
              <w:rPr>
                <w:lang w:val="ru-RU"/>
              </w:rPr>
              <w:t xml:space="preserve"> у паралельних групах для порівняння ефективності, безпеки, фармакокінетики та імуногенності </w:t>
            </w:r>
            <w:r>
              <w:t>HD</w:t>
            </w:r>
            <w:r w:rsidRPr="00EC65FE">
              <w:rPr>
                <w:lang w:val="ru-RU"/>
              </w:rPr>
              <w:t xml:space="preserve">204 та Авастину® у пацієнтів з метастатичним або рецидивним неплоскоклітинним недрібноклітинним раком легень» , </w:t>
            </w:r>
            <w:r>
              <w:t>SAMSON</w:t>
            </w:r>
            <w:r w:rsidRPr="00EC65FE">
              <w:rPr>
                <w:lang w:val="ru-RU"/>
              </w:rPr>
              <w:t>-</w:t>
            </w:r>
            <w:r>
              <w:t>II</w:t>
            </w:r>
            <w:r w:rsidRPr="00EC65FE">
              <w:rPr>
                <w:lang w:val="ru-RU"/>
              </w:rPr>
              <w:t>, версія 3.0 від 19 травня 2020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 «Кромосфарма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Prestige BioPharma Limited, Сінгапур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24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theme="minorBidi"/>
                <w:lang w:val="ru-RU"/>
              </w:rPr>
            </w:pPr>
            <w:r w:rsidRPr="00EC65FE">
              <w:rPr>
                <w:lang w:val="ru-RU"/>
              </w:rPr>
              <w:t xml:space="preserve">Зміна назви місця проведення клінічного випробування; Зміна відповідального дослідника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AC5355" w:rsidTr="00E9110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AC5355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AC5355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AC5355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C5355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AC5355" w:rsidRPr="000B496B" w:rsidTr="00E9110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</w:t>
                  </w: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/>
                      <w:lang w:val="ru-RU"/>
                    </w:rPr>
                    <w:t>Маркевич І.Л.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Київська міська клінічна лікарня №1, 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терапевтичне відділення №2, м. 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иїв</w:t>
                  </w: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Скибало С.А. 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AC5355">
                    <w:rPr>
                      <w:rStyle w:val="cs9b00626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ерапевтичне відділення №2, м. 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AC5355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иїв</w:t>
                  </w:r>
                </w:p>
              </w:tc>
            </w:tr>
          </w:tbl>
          <w:p w:rsidR="00EC65FE" w:rsidRPr="00AC5355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1360 від 10.06.2020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«Багатоцентрове, рандомізоване, подвійне сліпе, плацебо-контрольоване дослідження фази 2б з підбором оптимальних доз для оцінювання ефективності, безпечності й фармакокінетики препарату </w:t>
            </w:r>
            <w:r>
              <w:t>PF</w:t>
            </w:r>
            <w:r w:rsidRPr="00EC65FE">
              <w:rPr>
                <w:lang w:val="ru-RU"/>
              </w:rPr>
              <w:t xml:space="preserve">-06480605 у дорослих учасників із виразковим колітом помірного або важкого ступеня тяжкості», </w:t>
            </w:r>
            <w:r>
              <w:t>B</w:t>
            </w:r>
            <w:r w:rsidRPr="00EC65FE">
              <w:rPr>
                <w:lang w:val="ru-RU"/>
              </w:rPr>
              <w:t>7541007, остаточна версія протоколу від 18 липня 2019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Пфайзер Інк., США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Пфайзер Інк., США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25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AC5355">
            <w:pPr>
              <w:jc w:val="both"/>
              <w:rPr>
                <w:rFonts w:cs="Times New Roman"/>
                <w:b/>
                <w:szCs w:val="24"/>
              </w:rPr>
            </w:pP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Нірапариб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(Zejula),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11,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2020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затверджений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CJNJ-67652000 (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КФД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нірапариб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абіратерону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ацетат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1,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затверджений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C5355">
              <w:rPr>
                <w:rStyle w:val="cs9b006262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EC65FE" w:rsidRP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AC5355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нірапарибу 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залози», 67652000</w:t>
            </w:r>
            <w:r>
              <w:t>PCR</w:t>
            </w:r>
            <w:r w:rsidRPr="00EC65FE">
              <w:rPr>
                <w:lang w:val="ru-RU"/>
              </w:rPr>
              <w:t>1001, версія Поправка 1 від 06 жовтня 2020 року</w:t>
            </w:r>
          </w:p>
        </w:tc>
      </w:tr>
      <w:tr w:rsidR="00EC65FE" w:rsidRPr="000B496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Янссен Фармацевтика НВ /Janssen Pharmaceutica NV 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Pr="00C6245F" w:rsidRDefault="00EC65FE">
      <w:pPr>
        <w:rPr>
          <w:b/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6245F">
        <w:rPr>
          <w:b/>
          <w:lang w:val="ru-RU"/>
        </w:rPr>
        <w:t xml:space="preserve"> </w:t>
      </w:r>
      <w:r w:rsidRPr="00C6245F">
        <w:rPr>
          <w:b/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26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theme="minorBidi"/>
                <w:lang w:val="ru-RU"/>
              </w:rPr>
            </w:pPr>
            <w:r w:rsidRPr="00EC65FE">
              <w:rPr>
                <w:lang w:val="ru-RU"/>
              </w:rPr>
              <w:t>Зміна відповідального дослідника в місці проведення випробування; Зміна назви МПВ</w:t>
            </w:r>
            <w:r w:rsidRPr="00EC65FE">
              <w:rPr>
                <w:rFonts w:cstheme="minorBidi"/>
                <w:lang w:val="ru-RU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AC5355" w:rsidTr="00E9110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2e86d3a6"/>
                  </w:pP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2e86d3a6"/>
                  </w:pP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AC5355" w:rsidRPr="000B496B" w:rsidTr="00E9110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</w:t>
                  </w:r>
                  <w:r w:rsidRPr="00AC5355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/>
                      <w:lang w:val="ru-RU"/>
                    </w:rPr>
                    <w:t>Маркевич І.Л.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 міська клінічна лікарня №1, терапевтичне відділення №2,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f06cd379"/>
                    <w:rPr>
                      <w:lang w:val="ru-RU"/>
                    </w:rPr>
                  </w:pP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</w:t>
                  </w:r>
                  <w:r w:rsidRPr="00AC5355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Скибало С.А.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«Київська міська клінічна лікарня №1» </w:t>
                  </w:r>
                  <w:r w:rsidRPr="00AC5355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 органу Київської міської ради (Київської міської державної адміністрації)</w:t>
                  </w:r>
                  <w:r w:rsidRPr="00AC5355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терапевтичне відділення №2, м. Київ</w:t>
                  </w:r>
                </w:p>
              </w:tc>
            </w:tr>
          </w:tbl>
          <w:p w:rsidR="00EC65FE" w:rsidRPr="00AC5355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1896 від 27.08.2019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плацебо-контрольоване, 12-тижневе дослідження фази 3 для оцінки ефективності та безпечності етрасімоду в пацієнтів з активним виразковим колітом від помірного до важкого ступеня тяжкості», </w:t>
            </w:r>
            <w:r>
              <w:t>APD</w:t>
            </w:r>
            <w:r w:rsidRPr="00EC65FE">
              <w:rPr>
                <w:lang w:val="ru-RU"/>
              </w:rPr>
              <w:t xml:space="preserve">334-302, з інкорпорованою поправкою </w:t>
            </w:r>
            <w:r>
              <w:t>2.0 від 07 лютого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«Арена Фармасьютікалз, Інк</w:t>
            </w:r>
            <w:proofErr w:type="gramStart"/>
            <w:r>
              <w:t>.»</w:t>
            </w:r>
            <w:proofErr w:type="gramEnd"/>
            <w:r>
              <w:t xml:space="preserve"> (Arena Pharmaceuticals, Inc.),United States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6245F" w:rsidRDefault="00C6245F">
      <w:pPr>
        <w:rPr>
          <w:lang w:val="uk-UA"/>
        </w:rPr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27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C6245F" w:rsidRDefault="00C6245F">
      <w:pPr>
        <w:ind w:left="9072"/>
        <w:rPr>
          <w:lang w:val="uk-UA"/>
        </w:rPr>
      </w:pPr>
    </w:p>
    <w:p w:rsidR="00C6245F" w:rsidRDefault="00C6245F">
      <w:pPr>
        <w:ind w:left="9072"/>
        <w:rPr>
          <w:lang w:val="uk-UA"/>
        </w:rPr>
      </w:pPr>
    </w:p>
    <w:p w:rsidR="00C6245F" w:rsidRDefault="00C6245F">
      <w:pPr>
        <w:ind w:left="9072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 w:rsidTr="00C6245F">
        <w:tc>
          <w:tcPr>
            <w:tcW w:w="2841" w:type="dxa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Включення додаткового місця проведення клінічного дослідження</w:t>
            </w:r>
            <w:r w:rsidR="00AC5355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C65FE" w:rsidRPr="000B496B" w:rsidTr="00E9110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Default="00EC65F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EC65FE" w:rsidRDefault="00EC65FE">
                  <w:pPr>
                    <w:jc w:val="center"/>
                    <w:rPr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C5355" w:rsidRPr="000B496B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b/>
                    </w:rPr>
                  </w:pPr>
                  <w:r w:rsidRPr="00AC5355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b/>
                    </w:rPr>
                  </w:pPr>
                  <w:r w:rsidRPr="00AC5355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Кисельова О.А.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«Ок!Клінік+» товариства з обмеженою відповідальністю «Міжнародний інститут клінічних досліджень», відділ гематології стаціонарного відділення, м. Київ</w:t>
                  </w:r>
                </w:p>
              </w:tc>
            </w:tr>
          </w:tbl>
          <w:p w:rsidR="00EC65FE" w:rsidRPr="00D727AD" w:rsidRDefault="00EC65FE">
            <w:pPr>
              <w:rPr>
                <w:rFonts w:asciiTheme="minorHAnsi" w:hAnsiTheme="minorHAnsi"/>
                <w:vanish/>
                <w:sz w:val="22"/>
                <w:lang w:val="ru-RU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5103"/>
            </w:tblGrid>
            <w:tr w:rsidR="00EC65FE" w:rsidRPr="000B496B" w:rsidTr="00E91101">
              <w:trPr>
                <w:trHeight w:val="379"/>
              </w:trPr>
              <w:tc>
                <w:tcPr>
                  <w:tcW w:w="10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C65FE" w:rsidRPr="00EC65FE" w:rsidRDefault="00AC5355">
                  <w:pPr>
                    <w:jc w:val="both"/>
                    <w:rPr>
                      <w:rFonts w:cstheme="minorBidi"/>
                      <w:lang w:val="ru-RU"/>
                    </w:rPr>
                  </w:pPr>
                  <w:r w:rsidRPr="00EC65FE">
                    <w:rPr>
                      <w:lang w:val="ru-RU"/>
                    </w:rPr>
                    <w:t>Зміна назви місця пр</w:t>
                  </w:r>
                  <w:r>
                    <w:rPr>
                      <w:lang w:val="ru-RU"/>
                    </w:rPr>
                    <w:t xml:space="preserve">оведення клінічного </w:t>
                  </w:r>
                  <w:proofErr w:type="gramStart"/>
                  <w:r>
                    <w:rPr>
                      <w:lang w:val="ru-RU"/>
                    </w:rPr>
                    <w:t>досл</w:t>
                  </w:r>
                  <w:proofErr w:type="gramEnd"/>
                  <w:r>
                    <w:rPr>
                      <w:lang w:val="ru-RU"/>
                    </w:rPr>
                    <w:t>ідження:</w:t>
                  </w:r>
                </w:p>
              </w:tc>
            </w:tr>
            <w:tr w:rsidR="00AC5355" w:rsidTr="00E91101">
              <w:trPr>
                <w:trHeight w:hRule="exact" w:val="353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2e86d3a6"/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2e86d3a6"/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AC5355" w:rsidRPr="000B496B" w:rsidTr="00E91101">
              <w:trPr>
                <w:trHeight w:val="352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Гартовська І.Р.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«Київський обласний онкологічний диспансер», гематологічне відділення, м. Київ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Гартовська І.Р.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lang w:val="ru-RU"/>
                    </w:rPr>
                  </w:pP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«Київський обласний онкологічний диспансер», </w:t>
                  </w:r>
                  <w:r w:rsidRPr="00AC5355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 гематології та трансплантації кісткового мозку</w:t>
                  </w:r>
                  <w:r w:rsidRPr="00AC535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EC65FE" w:rsidRPr="00AC5355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 w:rsidTr="00C6245F">
        <w:trPr>
          <w:trHeight w:val="514"/>
        </w:trPr>
        <w:tc>
          <w:tcPr>
            <w:tcW w:w="2841" w:type="dxa"/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hideMark/>
          </w:tcPr>
          <w:p w:rsidR="00EC65FE" w:rsidRDefault="00EC65FE">
            <w:pPr>
              <w:jc w:val="both"/>
            </w:pPr>
            <w:r>
              <w:t>№ 1849 від 11.08.2020</w:t>
            </w:r>
          </w:p>
        </w:tc>
      </w:tr>
      <w:tr w:rsidR="00EC65FE" w:rsidRPr="000B496B" w:rsidTr="00C6245F">
        <w:trPr>
          <w:trHeight w:val="1111"/>
        </w:trPr>
        <w:tc>
          <w:tcPr>
            <w:tcW w:w="2841" w:type="dxa"/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 контрольоване, відкрите дослідження ІІІ фази з метою порівняльної оцінки мелфлуфену, що застосовується в поєднанні з даратумумабом, і даратумумабу при лікуванні пацієнтів із рецидивною або рецидивною та рефрактерною множинною мієломою», </w:t>
            </w:r>
            <w:r>
              <w:t>OP</w:t>
            </w:r>
            <w:r w:rsidRPr="00EC65FE">
              <w:rPr>
                <w:lang w:val="ru-RU"/>
              </w:rPr>
              <w:t>-108, редакція 2.1, Поправка 2 від 25 листопада 2020 р.</w:t>
            </w:r>
          </w:p>
        </w:tc>
      </w:tr>
      <w:tr w:rsidR="00EC65FE" w:rsidTr="00C6245F">
        <w:trPr>
          <w:trHeight w:val="379"/>
        </w:trPr>
        <w:tc>
          <w:tcPr>
            <w:tcW w:w="2841" w:type="dxa"/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hideMark/>
          </w:tcPr>
          <w:p w:rsidR="00EC65FE" w:rsidRDefault="00EC65F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EC65FE" w:rsidTr="00C6245F">
        <w:trPr>
          <w:trHeight w:val="353"/>
        </w:trPr>
        <w:tc>
          <w:tcPr>
            <w:tcW w:w="2841" w:type="dxa"/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hideMark/>
          </w:tcPr>
          <w:p w:rsidR="00EC65FE" w:rsidRDefault="00EC65FE">
            <w:pPr>
              <w:jc w:val="both"/>
            </w:pPr>
            <w:r>
              <w:t>"Онкопептайдс АБ" [Oncopeptides AB], Швеція</w:t>
            </w:r>
          </w:p>
        </w:tc>
      </w:tr>
      <w:tr w:rsidR="00EC65FE" w:rsidTr="00C6245F">
        <w:trPr>
          <w:trHeight w:val="732"/>
        </w:trPr>
        <w:tc>
          <w:tcPr>
            <w:tcW w:w="2841" w:type="dxa"/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C6245F" w:rsidRDefault="00C6245F">
      <w:pPr>
        <w:rPr>
          <w:color w:val="000000"/>
          <w:shd w:val="clear" w:color="auto" w:fill="FFFFFF"/>
          <w:lang w:val="uk-UA"/>
        </w:rPr>
      </w:pPr>
    </w:p>
    <w:p w:rsidR="00C6245F" w:rsidRDefault="00C6245F">
      <w:pPr>
        <w:rPr>
          <w:color w:val="000000"/>
          <w:shd w:val="clear" w:color="auto" w:fill="FFFFFF"/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 w:rsidRPr="00C6245F">
        <w:rPr>
          <w:lang w:val="ru-RU"/>
        </w:rPr>
        <w:t>28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AC5355" w:rsidRDefault="00EC65FE">
            <w:pPr>
              <w:jc w:val="both"/>
              <w:rPr>
                <w:lang w:val="uk-UA"/>
              </w:rPr>
            </w:pPr>
            <w:r w:rsidRPr="00AC5355">
              <w:rPr>
                <w:lang w:val="ru-RU"/>
              </w:rPr>
              <w:t>Включення додаткових місць проведення випробування</w:t>
            </w:r>
            <w:r w:rsidR="00AC5355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C65FE" w:rsidRPr="000B496B" w:rsidTr="00E9110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Default="00EC65F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EC65FE" w:rsidRDefault="00EC65FE">
                  <w:pPr>
                    <w:jc w:val="center"/>
                    <w:rPr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C5355" w:rsidRPr="000B496B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95e872d0"/>
                    <w:rPr>
                      <w:b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f06cd379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Резнікова В.Д.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b/>
                      <w:lang w:val="ru-RU"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№13» Харківської міської ради, гастроентерологічне відділення, м. Харків</w:t>
                  </w:r>
                </w:p>
              </w:tc>
            </w:tr>
            <w:tr w:rsidR="00AC5355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95e872d0"/>
                    <w:rPr>
                      <w:b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355" w:rsidRPr="00AC5355" w:rsidRDefault="00AC5355" w:rsidP="00AC5355">
                  <w:pPr>
                    <w:pStyle w:val="csf06cd379"/>
                    <w:rPr>
                      <w:b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 Скибало С.А.</w:t>
                  </w:r>
                </w:p>
                <w:p w:rsidR="00AC5355" w:rsidRPr="00AC5355" w:rsidRDefault="00AC5355" w:rsidP="00AC5355">
                  <w:pPr>
                    <w:pStyle w:val="cs80d9435b"/>
                    <w:rPr>
                      <w:b/>
                    </w:rPr>
                  </w:pPr>
                  <w:r w:rsidRPr="00AC535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терапевтичне відділення №2, м. Київ</w:t>
                  </w:r>
                </w:p>
              </w:tc>
            </w:tr>
          </w:tbl>
          <w:p w:rsidR="00EC65FE" w:rsidRDefault="00EC65FE">
            <w:pPr>
              <w:rPr>
                <w:rFonts w:asciiTheme="minorHAnsi" w:hAnsiTheme="minorHAnsi"/>
                <w:sz w:val="22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516 від 22.03.2021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 52-тижневе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тяжкості», </w:t>
            </w:r>
            <w:r>
              <w:t>APD</w:t>
            </w:r>
            <w:r w:rsidRPr="00EC65FE">
              <w:rPr>
                <w:lang w:val="ru-RU"/>
              </w:rPr>
              <w:t>334-210, версія 0.0 від 20 липня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«Арена Фармасьютікалз, Інк</w:t>
            </w:r>
            <w:proofErr w:type="gramStart"/>
            <w:r>
              <w:t>.»</w:t>
            </w:r>
            <w:proofErr w:type="gramEnd"/>
            <w:r>
              <w:t xml:space="preserve"> (Arena Pharmaceuticals, Inc.), United States 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29</w:t>
      </w:r>
    </w:p>
    <w:p w:rsidR="00C6245F" w:rsidRPr="00D727AD" w:rsidRDefault="00C6245F" w:rsidP="00C6245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C6245F" w:rsidRPr="00D727AD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C6245F" w:rsidP="00C6245F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7556B0" w:rsidRDefault="00EC65FE">
            <w:pPr>
              <w:jc w:val="both"/>
              <w:rPr>
                <w:lang w:val="uk-UA"/>
              </w:rPr>
            </w:pPr>
            <w:r w:rsidRPr="007556B0">
              <w:rPr>
                <w:lang w:val="ru-RU"/>
              </w:rPr>
              <w:t>Включення додаткових місць проведення випробування</w:t>
            </w:r>
            <w:r w:rsidR="007556B0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C65FE" w:rsidRPr="000B496B" w:rsidTr="00E9110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Default="00EC65FE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5FE" w:rsidRPr="00EC65FE" w:rsidRDefault="00EC65FE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EC65FE" w:rsidRDefault="00EC65FE">
                  <w:pPr>
                    <w:jc w:val="center"/>
                    <w:rPr>
                      <w:lang w:val="ru-RU"/>
                    </w:rPr>
                  </w:pPr>
                  <w:r w:rsidRPr="00EC65FE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7556B0" w:rsidRPr="000B496B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2e86d3a6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eeeeb43"/>
                    <w:rPr>
                      <w:lang w:val="ru-RU"/>
                    </w:rPr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Пономарьова О.В.</w:t>
                  </w:r>
                </w:p>
                <w:p w:rsidR="007556B0" w:rsidRPr="007556B0" w:rsidRDefault="007556B0" w:rsidP="007556B0">
                  <w:pPr>
                    <w:pStyle w:val="cs80d9435b"/>
                    <w:rPr>
                      <w:lang w:val="ru-RU"/>
                    </w:rPr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відділення хіміотерапії №1, м. Київ</w:t>
                  </w:r>
                </w:p>
              </w:tc>
            </w:tr>
            <w:tr w:rsidR="007556B0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2e86d3a6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eeeeb43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лікар Сінєльніков І.В.</w:t>
                  </w:r>
                </w:p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відділення, м. Луцьк</w:t>
                  </w:r>
                </w:p>
              </w:tc>
            </w:tr>
            <w:tr w:rsidR="007556B0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2e86d3a6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eeeeb43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лікар Осипчук Ю.Я.</w:t>
                  </w:r>
                </w:p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«Одеська обласна клінічна лікарня» Одеської обласної ради», відділення загальної хірургії, м. Одеса</w:t>
                  </w:r>
                </w:p>
              </w:tc>
            </w:tr>
            <w:tr w:rsidR="007556B0" w:rsidTr="00E911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2e86d3a6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eeeeb43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к.м.н. Адамчук Г.А.</w:t>
                  </w:r>
                </w:p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підприємство «Криворізький онкологічний диспансер» Дніпропетровської обласної ради», хіміотерапевтичне відділення, м. Кривий Ріг</w:t>
                  </w:r>
                </w:p>
              </w:tc>
            </w:tr>
          </w:tbl>
          <w:p w:rsidR="00EC65FE" w:rsidRDefault="00EC65FE">
            <w:pPr>
              <w:rPr>
                <w:rFonts w:asciiTheme="minorHAnsi" w:hAnsiTheme="minorHAnsi"/>
                <w:sz w:val="22"/>
              </w:rPr>
            </w:pPr>
          </w:p>
        </w:tc>
      </w:tr>
      <w:tr w:rsidR="00EC65FE" w:rsidTr="007556B0">
        <w:trPr>
          <w:trHeight w:val="8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422 від 10.03.2021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«</w:t>
            </w:r>
            <w:r>
              <w:t>PRESERVE</w:t>
            </w:r>
            <w:r w:rsidRPr="00EC65FE">
              <w:rPr>
                <w:lang w:val="ru-RU"/>
              </w:rPr>
              <w:t xml:space="preserve"> 1: Фаза 3, рандомізоване, подвійне сліпе дослідження трилациклібу у порівнянні з плацебо у пацієнтів, які отримують терапію із застосуванням </w:t>
            </w:r>
            <w:r>
              <w:t>FOLFOXIRI</w:t>
            </w:r>
            <w:r w:rsidRPr="00EC65FE">
              <w:rPr>
                <w:lang w:val="ru-RU"/>
              </w:rPr>
              <w:t xml:space="preserve">/бевацизумабу для лікування метастатичного колоректального раку», </w:t>
            </w:r>
            <w:r>
              <w:t>G</w:t>
            </w:r>
            <w:r w:rsidRPr="00EC65FE">
              <w:rPr>
                <w:lang w:val="ru-RU"/>
              </w:rPr>
              <w:t>1</w:t>
            </w:r>
            <w:r>
              <w:t>T</w:t>
            </w:r>
            <w:r w:rsidRPr="00EC65FE">
              <w:rPr>
                <w:lang w:val="ru-RU"/>
              </w:rPr>
              <w:t>28-207, версія 1.0 від 12 червня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G1 Therapeutics, Inc., United States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C6245F" w:rsidRDefault="00EC65FE">
      <w:pPr>
        <w:rPr>
          <w:b/>
          <w:szCs w:val="24"/>
          <w:lang w:val="uk-UA"/>
        </w:rPr>
      </w:pPr>
      <w:r w:rsidRPr="00C6245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6245F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C6245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6245F">
        <w:rPr>
          <w:b/>
          <w:lang w:val="uk-UA"/>
        </w:rPr>
        <w:t> </w:t>
      </w:r>
      <w:r w:rsidRPr="00C6245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6245F">
        <w:rPr>
          <w:b/>
          <w:lang w:val="uk-UA" w:eastAsia="uk-UA"/>
        </w:rPr>
        <w:t xml:space="preserve">_______________________      </w:t>
      </w:r>
      <w:r w:rsidRPr="00C6245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30</w:t>
      </w:r>
    </w:p>
    <w:p w:rsidR="000A18D1" w:rsidRPr="00D727AD" w:rsidRDefault="000A18D1" w:rsidP="000A18D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0A18D1" w:rsidRPr="00D727AD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0B496B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C65FE" w:rsidRDefault="000B496B" w:rsidP="000A18D1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theme="minorBidi"/>
                <w:lang w:val="ru-RU"/>
              </w:rPr>
            </w:pPr>
            <w:r w:rsidRPr="00EC65FE">
              <w:rPr>
                <w:lang w:val="ru-RU"/>
              </w:rPr>
              <w:t>Зміна назви місця проведення клінічного дослідження</w:t>
            </w:r>
            <w:r w:rsidR="007556B0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556B0" w:rsidTr="00E9110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7556B0" w:rsidTr="00E9110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b006263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Неффа М.Ю.</w:t>
                  </w:r>
                </w:p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f0a404030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некомерційне підприємство Харківської обласної ради «Обласний клінічний спеціалізований диспансер радіаційного захисту населення», </w:t>
                  </w:r>
                  <w:r w:rsidRPr="007556B0">
                    <w:rPr>
                      <w:rStyle w:val="cs9b006263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хірургічне відділення</w:t>
                  </w:r>
                  <w:r w:rsidRPr="007556B0">
                    <w:rPr>
                      <w:rStyle w:val="cs9f0a404030"/>
                      <w:rFonts w:ascii="Times New Roman" w:hAnsi="Times New Roman" w:cs="Times New Roman"/>
                      <w:sz w:val="24"/>
                      <w:szCs w:val="24"/>
                    </w:rPr>
                    <w:t>, м. Харків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06cd379"/>
                  </w:pPr>
                  <w:r w:rsidRPr="007556B0">
                    <w:rPr>
                      <w:rStyle w:val="cs9b006263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Неффа М.Ю.</w:t>
                  </w:r>
                </w:p>
                <w:p w:rsidR="007556B0" w:rsidRPr="007556B0" w:rsidRDefault="007556B0" w:rsidP="007556B0">
                  <w:pPr>
                    <w:pStyle w:val="cs80d9435b"/>
                  </w:pPr>
                  <w:r w:rsidRPr="007556B0">
                    <w:rPr>
                      <w:rStyle w:val="cs9f0a404030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</w:t>
                  </w:r>
                  <w:r w:rsidRPr="007556B0">
                    <w:rPr>
                      <w:rStyle w:val="cs9b006263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хірургічне відділення з онкологічними ліжками, </w:t>
                  </w:r>
                  <w:r w:rsidRPr="007556B0">
                    <w:rPr>
                      <w:rStyle w:val="cs9f0a404030"/>
                      <w:rFonts w:ascii="Times New Roman" w:hAnsi="Times New Roman" w:cs="Times New Roman"/>
                      <w:sz w:val="24"/>
                      <w:szCs w:val="24"/>
                    </w:rPr>
                    <w:t>м. Харків</w:t>
                  </w:r>
                </w:p>
              </w:tc>
            </w:tr>
          </w:tbl>
          <w:p w:rsidR="00EC65FE" w:rsidRDefault="00EC65FE">
            <w:pPr>
              <w:rPr>
                <w:rFonts w:asciiTheme="minorHAnsi" w:hAnsiTheme="minorHAnsi"/>
                <w:sz w:val="22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415 від 18.02.2019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>Відкрите рандомізоване дослідження ІІІ фази з оцінки адаглоксаду сімоленіну (</w:t>
            </w:r>
            <w:r>
              <w:t>OBI</w:t>
            </w:r>
            <w:r w:rsidRPr="00EC65FE">
              <w:rPr>
                <w:lang w:val="ru-RU"/>
              </w:rPr>
              <w:t>-822)/</w:t>
            </w:r>
            <w:r>
              <w:t>OBI</w:t>
            </w:r>
            <w:r w:rsidRPr="00EC65FE">
              <w:rPr>
                <w:lang w:val="ru-RU"/>
              </w:rPr>
              <w:t xml:space="preserve">-821 (вакцини на основі антигену </w:t>
            </w:r>
            <w:r>
              <w:t>Globo</w:t>
            </w:r>
            <w:r w:rsidRPr="00EC65FE">
              <w:rPr>
                <w:lang w:val="ru-RU"/>
              </w:rPr>
              <w:t xml:space="preserve"> </w:t>
            </w:r>
            <w:r>
              <w:t>H</w:t>
            </w:r>
            <w:r w:rsidRPr="00EC65FE">
              <w:rPr>
                <w:lang w:val="ru-RU"/>
              </w:rPr>
              <w:t xml:space="preserve">) при проведенні ад'ювантної терапії пацієнтам із тричі негативним раком молочної залози на ранній стадії, у яких відмічається експресія </w:t>
            </w:r>
            <w:r>
              <w:t>Globo</w:t>
            </w:r>
            <w:r w:rsidRPr="00EC65FE">
              <w:rPr>
                <w:lang w:val="ru-RU"/>
              </w:rPr>
              <w:t xml:space="preserve"> </w:t>
            </w:r>
            <w:r>
              <w:t>H</w:t>
            </w:r>
            <w:r w:rsidRPr="00EC65FE">
              <w:rPr>
                <w:lang w:val="ru-RU"/>
              </w:rPr>
              <w:t xml:space="preserve"> і є високий ризик розвитку рецидиву (кодове позначення дослідження: </w:t>
            </w:r>
            <w:r>
              <w:t>GLORIA</w:t>
            </w:r>
            <w:r w:rsidRPr="00EC65FE">
              <w:rPr>
                <w:lang w:val="ru-RU"/>
              </w:rPr>
              <w:t xml:space="preserve">), </w:t>
            </w:r>
            <w:r>
              <w:t>OBI</w:t>
            </w:r>
            <w:r w:rsidRPr="00EC65FE">
              <w:rPr>
                <w:lang w:val="ru-RU"/>
              </w:rPr>
              <w:t>-822-011, остаточна редакція 6.0 від 17 червня 2020 р.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OBI Pharma, Inc., Тайвань, Китайська Республіка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0A18D1" w:rsidRDefault="00EC65FE">
      <w:pPr>
        <w:rPr>
          <w:b/>
          <w:szCs w:val="24"/>
          <w:lang w:val="uk-UA"/>
        </w:rPr>
      </w:pPr>
      <w:r w:rsidRPr="000A18D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A18D1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0A18D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A18D1">
        <w:rPr>
          <w:b/>
          <w:lang w:val="uk-UA"/>
        </w:rPr>
        <w:t> </w:t>
      </w:r>
      <w:r w:rsidRPr="000A18D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A18D1">
        <w:rPr>
          <w:b/>
          <w:lang w:val="uk-UA" w:eastAsia="uk-UA"/>
        </w:rPr>
        <w:t xml:space="preserve">_______________________      </w:t>
      </w:r>
      <w:r w:rsidRPr="000A18D1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31</w:t>
      </w:r>
    </w:p>
    <w:p w:rsidR="000A18D1" w:rsidRPr="00D727AD" w:rsidRDefault="000A18D1" w:rsidP="000A18D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0A18D1" w:rsidRPr="00D727AD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</w:p>
    <w:p w:rsidR="00EC65FE" w:rsidRDefault="00EC65FE">
      <w:pPr>
        <w:rPr>
          <w:lang w:val="ru-RU"/>
        </w:rPr>
      </w:pPr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 w:rsidRPr="000B496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EC65FE" w:rsidRDefault="00EC65FE">
            <w:pPr>
              <w:jc w:val="both"/>
              <w:rPr>
                <w:rFonts w:cstheme="minorBidi"/>
                <w:lang w:val="ru-RU"/>
              </w:rPr>
            </w:pPr>
            <w:r w:rsidRPr="00EC65FE">
              <w:rPr>
                <w:lang w:val="ru-RU"/>
              </w:rPr>
              <w:t xml:space="preserve">Зміна відповідального дослідника в </w:t>
            </w:r>
            <w:r w:rsidR="007556B0">
              <w:rPr>
                <w:lang w:val="ru-RU"/>
              </w:rPr>
              <w:t>місці проведення випробування; З</w:t>
            </w:r>
            <w:r w:rsidRPr="00EC65FE">
              <w:rPr>
                <w:lang w:val="ru-RU"/>
              </w:rPr>
              <w:t>міна назви МПВ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556B0" w:rsidTr="00E9110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  <w:jc w:val="center"/>
                    <w:rPr>
                      <w:lang w:val="uk-UA"/>
                    </w:rPr>
                  </w:pP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7556B0">
                    <w:rPr>
                      <w:rStyle w:val="cs9f0a4040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7556B0" w:rsidRPr="000B496B" w:rsidTr="00E9110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80d9435b"/>
                    <w:rPr>
                      <w:b/>
                      <w:lang w:val="ru-RU"/>
                    </w:rPr>
                  </w:pP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</w:t>
                  </w: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/>
                      <w:lang w:val="ru-RU"/>
                    </w:rPr>
                    <w:t>Маркевич І.Л.</w:t>
                  </w: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556B0" w:rsidRPr="007556B0" w:rsidRDefault="007556B0" w:rsidP="007556B0">
                  <w:pPr>
                    <w:pStyle w:val="cs80d9435b"/>
                    <w:rPr>
                      <w:b/>
                      <w:lang w:val="ru-RU"/>
                    </w:rPr>
                  </w:pP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 міська клінічна лікарня №1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терапевтичне відділення №2, 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pStyle w:val="csf06cd379"/>
                    <w:rPr>
                      <w:b/>
                      <w:lang w:val="ru-RU"/>
                    </w:rPr>
                  </w:pP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Скибало С.А. </w:t>
                  </w:r>
                </w:p>
                <w:p w:rsidR="007556B0" w:rsidRPr="007556B0" w:rsidRDefault="007556B0" w:rsidP="007556B0">
                  <w:pPr>
                    <w:pStyle w:val="cs80d9435b"/>
                    <w:rPr>
                      <w:b/>
                      <w:lang w:val="ru-RU"/>
                    </w:rPr>
                  </w:pPr>
                  <w:r w:rsidRPr="007556B0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 відділення №2</w:t>
                  </w:r>
                  <w:r w:rsidRPr="007556B0">
                    <w:rPr>
                      <w:rStyle w:val="cs9b00626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7556B0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Київ</w:t>
                  </w:r>
                </w:p>
              </w:tc>
            </w:tr>
          </w:tbl>
          <w:p w:rsidR="00EC65FE" w:rsidRPr="007556B0" w:rsidRDefault="00EC65FE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1896 від 27.08.2019</w:t>
            </w: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 w:rsidRPr="00EC65FE">
              <w:rPr>
                <w:lang w:val="ru-RU"/>
              </w:rPr>
              <w:t xml:space="preserve">«Рандомізоване, подвійне сліпе, плацебо-контрольоване, 52-тижневе дослідження фази 3 для оцінки ефективності та безпечності застосування етрасімоду в пацієнтів з активним виразковим колітом від помірного до важкого ступеня тяжкості», </w:t>
            </w:r>
            <w:r>
              <w:t>APD</w:t>
            </w:r>
            <w:r w:rsidRPr="00EC65FE">
              <w:rPr>
                <w:lang w:val="ru-RU"/>
              </w:rPr>
              <w:t xml:space="preserve">334-301, з інкорпорованою поправкою </w:t>
            </w:r>
            <w:r>
              <w:t>3.0 від</w:t>
            </w:r>
            <w:r w:rsidR="007556B0">
              <w:rPr>
                <w:lang w:val="uk-UA"/>
              </w:rPr>
              <w:t xml:space="preserve">                    </w:t>
            </w:r>
            <w:r>
              <w:t xml:space="preserve"> 07 лютого 2020 року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«Арена Фармасьютікалз, Інк.», США (Arena Pharmaceuticals, Inc.), United States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0A18D1" w:rsidRDefault="00EC65FE">
      <w:pPr>
        <w:rPr>
          <w:b/>
          <w:szCs w:val="24"/>
          <w:lang w:val="uk-UA"/>
        </w:rPr>
      </w:pPr>
      <w:r w:rsidRPr="000A18D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A18D1">
        <w:rPr>
          <w:b/>
          <w:lang w:val="uk-UA"/>
        </w:rPr>
        <w:t xml:space="preserve"> </w:t>
      </w:r>
    </w:p>
    <w:p w:rsidR="00EC65FE" w:rsidRDefault="00EC65FE">
      <w:pPr>
        <w:rPr>
          <w:lang w:val="ru-RU"/>
        </w:rPr>
      </w:pPr>
      <w:r w:rsidRPr="000A18D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A18D1">
        <w:rPr>
          <w:b/>
          <w:lang w:val="uk-UA"/>
        </w:rPr>
        <w:t> </w:t>
      </w:r>
      <w:r w:rsidRPr="000A18D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A18D1">
        <w:rPr>
          <w:b/>
          <w:lang w:val="uk-UA" w:eastAsia="uk-UA"/>
        </w:rPr>
        <w:t xml:space="preserve">_______________________      </w:t>
      </w:r>
      <w:r w:rsidRPr="000A18D1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C65FE" w:rsidRDefault="00EC65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 w:rsidRPr="00D25ECB">
        <w:rPr>
          <w:lang w:val="ru-RU"/>
        </w:rPr>
        <w:t>32</w:t>
      </w:r>
    </w:p>
    <w:p w:rsidR="000A18D1" w:rsidRPr="00D727AD" w:rsidRDefault="000A18D1" w:rsidP="000A18D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727AD">
        <w:rPr>
          <w:lang w:val="uk-UA"/>
        </w:rPr>
        <w:t>Про затвердження суттєвих</w:t>
      </w:r>
    </w:p>
    <w:p w:rsidR="000A18D1" w:rsidRPr="00D727AD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поправок до протоколів</w:t>
      </w:r>
    </w:p>
    <w:p w:rsidR="00EC65FE" w:rsidRDefault="000A18D1" w:rsidP="000A18D1">
      <w:pPr>
        <w:ind w:left="9072"/>
        <w:rPr>
          <w:lang w:val="uk-UA"/>
        </w:rPr>
      </w:pPr>
      <w:r w:rsidRPr="00D727A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EC65FE">
        <w:rPr>
          <w:lang w:val="uk-UA"/>
        </w:rPr>
        <w:t xml:space="preserve"> </w:t>
      </w:r>
    </w:p>
    <w:p w:rsidR="00EC65FE" w:rsidRDefault="000B496B">
      <w:pPr>
        <w:ind w:left="9072"/>
        <w:rPr>
          <w:lang w:val="uk-UA"/>
        </w:rPr>
      </w:pPr>
      <w:r w:rsidRPr="000B496B">
        <w:rPr>
          <w:u w:val="single"/>
          <w:lang w:val="uk-UA"/>
        </w:rPr>
        <w:t>23.04.2021</w:t>
      </w:r>
      <w:r>
        <w:rPr>
          <w:lang w:val="uk-UA"/>
        </w:rPr>
        <w:t xml:space="preserve"> № </w:t>
      </w:r>
      <w:r w:rsidRPr="000B496B">
        <w:rPr>
          <w:u w:val="single"/>
          <w:lang w:val="uk-UA"/>
        </w:rPr>
        <w:t>801</w:t>
      </w:r>
      <w:bookmarkStart w:id="0" w:name="_GoBack"/>
      <w:bookmarkEnd w:id="0"/>
    </w:p>
    <w:p w:rsidR="00EC65FE" w:rsidRDefault="00EC65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C65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5FE" w:rsidRPr="007556B0" w:rsidRDefault="007556B0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BIG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16-05/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AFT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-27/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WO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39391, версія 7 від 17 лютого 2021 року англійською мовою. Інформаційний листок пацієнта та форма інформованої згоди для України, версія 7.0 від </w:t>
            </w:r>
            <w:r w:rsidR="00D25ECB" w:rsidRPr="00D25ECB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10 березня 2021 року українською та російською мовами; Залучення додаткової виробничої ділянки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DHL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Solutions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Fashion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GmbH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 Німеччина для: досліджуваного лікарського засобу Атезолізумаб/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Atezolizumab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; концентрат для розчину для інфузій; 1200 мг/20 мл;досліджуваного лікарського засобу Атезолізумаб/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Atezolizumab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 840 мг/14 мл у флаконі №1, концентрат для розчину для внутрішньовенних інфузій; препарату порівняння Паклітаксел (Сіндаксел)/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Paclitaxel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Sindaxel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); концентрат для розчину для інфузій; 150 мг / 25 мл (6 мг/мл); препарату порівняння Доксорубіцин/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Doxorubicin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; концентрат для розчину для інфузій; 50 мг / 25 мл (2 мг/мл); препарату порівняння Циклофосфамід (Ендоксан)/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Cyclophosphamide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Endoxan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); порошок для розчину для ін’єкцій; 1000 мг (1 г); препарату порівняння Епірубіцин /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Epirubicin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; розчин для ін’єкцій; 200 мг/</w:t>
            </w:r>
            <w:r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100 мл (2 мг/мл); препарату порівняння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DOXO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cell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® (міжнародна непатентована назва –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Doxorubicin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/Доксорубіцин; активний фармацевтичний інгредієнт – доксорубіцину гідрохлорид/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DOXORUBICIN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HYDROCHLORIDE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50 мг/25 мл, 2 мл/мл, концентрат для розчину для інфузії; препарату порівняння Епірубіцин/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Epirubicin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(активний фармацевтичний інгредієнт –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EPIRUBICIN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HYDROCHLORIDE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200 мг/100 мл (2 мг/мл), розчин для ін’єкцій для внутрішньовенних інфузій; препарату порівняння Паклітаксел/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Paclitaxel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(активний фармацевтичний інгредієнт –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PACLITAXEL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150 мг/25 мл (6 мл/мл), концентрат для розчину для інфузій для внутрішньовенного застосування; препарату порівняння Епірубіцин Тева/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Epirubicin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Teva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(активний фармацевтичний інгредієнт –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EPIRUBICIN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HYDROCHLORIDE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), 200 мг/100 мл (2 мг/мл), розчин для ін’єкцій для внутрішньовенних інфузій; препарату порівняння Сіндаксел /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Sindaxel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(активний фармацевтичний інгредієнт – 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PACLITAXEL</w:t>
            </w:r>
            <w:r w:rsidRPr="007556B0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150 мг/25 мл (6 мл/мл), концентрат для розчину для інфузій для внутрішньовенного застосування; Зміна місця проведення клінічного випробування</w:t>
            </w:r>
            <w:r w:rsidRPr="007556B0">
              <w:rPr>
                <w:rFonts w:cs="Times New Roman"/>
                <w:szCs w:val="24"/>
                <w:lang w:val="ru-RU"/>
              </w:rPr>
              <w:t>:</w:t>
            </w:r>
          </w:p>
          <w:p w:rsidR="00EC65FE" w:rsidRPr="007556B0" w:rsidRDefault="00EC65FE">
            <w:pPr>
              <w:rPr>
                <w:rFonts w:cs="Times New Roman"/>
                <w:vanish/>
                <w:szCs w:val="24"/>
                <w:lang w:val="ru-RU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7556B0" w:rsidRPr="007556B0" w:rsidTr="007556B0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jc w:val="center"/>
                    <w:rPr>
                      <w:rFonts w:cs="Times New Roman"/>
                      <w:color w:val="000000"/>
                      <w:szCs w:val="24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jc w:val="center"/>
                    <w:rPr>
                      <w:rFonts w:cs="Times New Roman"/>
                      <w:color w:val="000000"/>
                      <w:szCs w:val="24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</w:rPr>
                    <w:t>СТАЛО</w:t>
                  </w:r>
                </w:p>
              </w:tc>
            </w:tr>
            <w:tr w:rsidR="007556B0" w:rsidRPr="007556B0" w:rsidTr="007556B0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jc w:val="both"/>
                    <w:rPr>
                      <w:rFonts w:cs="Times New Roman"/>
                      <w:color w:val="000000"/>
                      <w:szCs w:val="24"/>
                      <w:lang w:val="ru-RU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д.м.н., проф. Ковальов О.О. </w:t>
                  </w:r>
                </w:p>
                <w:p w:rsidR="007556B0" w:rsidRPr="007556B0" w:rsidRDefault="007556B0" w:rsidP="007556B0">
                  <w:pPr>
                    <w:jc w:val="both"/>
                    <w:rPr>
                      <w:rFonts w:cs="Times New Roman"/>
                      <w:color w:val="000000"/>
                      <w:szCs w:val="24"/>
                      <w:lang w:val="ru-RU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Комунальна установа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uk-UA"/>
                    </w:rPr>
                    <w:t>«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Запорізький обласний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lastRenderedPageBreak/>
                    <w:t>клінічний онкологічний диспансер»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uk-UA"/>
                    </w:rPr>
                    <w:t xml:space="preserve">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Запорізької обласної ради, відділення патології молочної залози, Державний заклад «Запорізька медична академія післядипломної освіти Міністерства охорони здоров`я України», кафедра онкології,    м. Запоріжжя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B0" w:rsidRPr="007556B0" w:rsidRDefault="007556B0" w:rsidP="007556B0">
                  <w:pPr>
                    <w:spacing w:line="276" w:lineRule="auto"/>
                    <w:jc w:val="both"/>
                    <w:rPr>
                      <w:rFonts w:cs="Times New Roman"/>
                      <w:color w:val="000000"/>
                      <w:szCs w:val="24"/>
                      <w:highlight w:val="yellow"/>
                      <w:lang w:val="ru-RU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lastRenderedPageBreak/>
                    <w:t xml:space="preserve">д.м.н., проф. Ковальов О.О. </w:t>
                  </w:r>
                </w:p>
                <w:p w:rsidR="007556B0" w:rsidRPr="007556B0" w:rsidRDefault="007556B0" w:rsidP="007556B0">
                  <w:pPr>
                    <w:jc w:val="both"/>
                    <w:rPr>
                      <w:rFonts w:cs="Times New Roman"/>
                      <w:color w:val="000000"/>
                      <w:szCs w:val="24"/>
                    </w:rPr>
                  </w:pP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Медичний центр товариства з обмеженою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ru-RU"/>
                    </w:rPr>
                    <w:lastRenderedPageBreak/>
                    <w:t xml:space="preserve">відповідальністю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en-GB"/>
                    </w:rPr>
                    <w:t>«ЮЛІС»</w:t>
                  </w:r>
                  <w:r w:rsidRPr="007556B0">
                    <w:rPr>
                      <w:rFonts w:cs="Times New Roman"/>
                      <w:color w:val="000000"/>
                      <w:szCs w:val="24"/>
                    </w:rPr>
                    <w:t xml:space="preserve">, </w:t>
                  </w:r>
                  <w:r w:rsidRPr="007556B0">
                    <w:rPr>
                      <w:rFonts w:cs="Times New Roman"/>
                      <w:color w:val="000000"/>
                      <w:szCs w:val="24"/>
                      <w:lang w:val="en-GB"/>
                    </w:rPr>
                    <w:t>м. Запоріжжя</w:t>
                  </w:r>
                </w:p>
              </w:tc>
            </w:tr>
          </w:tbl>
          <w:p w:rsidR="00EC65FE" w:rsidRPr="007556B0" w:rsidRDefault="00EC65FE">
            <w:pPr>
              <w:rPr>
                <w:rFonts w:cs="Times New Roman"/>
                <w:szCs w:val="24"/>
              </w:rPr>
            </w:pPr>
          </w:p>
        </w:tc>
      </w:tr>
      <w:tr w:rsidR="00EC65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№ 1532 від 21.08.2018</w:t>
            </w:r>
          </w:p>
        </w:tc>
      </w:tr>
      <w:tr w:rsidR="00EC65FE" w:rsidRPr="000B496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szCs w:val="24"/>
                <w:lang w:val="ru-RU"/>
              </w:rPr>
            </w:pPr>
            <w:r w:rsidRPr="00EC65FE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jc w:val="both"/>
              <w:rPr>
                <w:lang w:val="ru-RU"/>
              </w:rPr>
            </w:pPr>
            <w:r w:rsidRPr="00EC65FE">
              <w:rPr>
                <w:lang w:val="ru-RU"/>
              </w:rPr>
              <w:t xml:space="preserve">«Багатоцентрове, рандомізоване, відкрите дослідження </w:t>
            </w:r>
            <w:r>
              <w:t>III</w:t>
            </w:r>
            <w:r w:rsidRPr="00EC65FE">
              <w:rPr>
                <w:lang w:val="ru-RU"/>
              </w:rPr>
              <w:t xml:space="preserve"> фази з порівняння комбінації Атезолізумабу (анти-</w:t>
            </w:r>
            <w:r>
              <w:t>Pd</w:t>
            </w:r>
            <w:r w:rsidRPr="00EC65FE">
              <w:rPr>
                <w:lang w:val="ru-RU"/>
              </w:rPr>
              <w:t>-</w:t>
            </w:r>
            <w:r>
              <w:t>L</w:t>
            </w:r>
            <w:r w:rsidRPr="00EC65FE">
              <w:rPr>
                <w:lang w:val="ru-RU"/>
              </w:rPr>
              <w:t>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</w:t>
            </w:r>
            <w:r>
              <w:t>IMpassion</w:t>
            </w:r>
            <w:r w:rsidR="007556B0">
              <w:rPr>
                <w:lang w:val="ru-RU"/>
              </w:rPr>
              <w:t>030)</w:t>
            </w:r>
            <w:r w:rsidRPr="00EC65FE">
              <w:rPr>
                <w:lang w:val="ru-RU"/>
              </w:rPr>
              <w:t xml:space="preserve">, </w:t>
            </w:r>
            <w:r>
              <w:t>BIG</w:t>
            </w:r>
            <w:r w:rsidRPr="00EC65FE">
              <w:rPr>
                <w:lang w:val="ru-RU"/>
              </w:rPr>
              <w:t xml:space="preserve"> 16-05/</w:t>
            </w:r>
            <w:r>
              <w:t>AFT</w:t>
            </w:r>
            <w:r w:rsidRPr="00EC65FE">
              <w:rPr>
                <w:lang w:val="ru-RU"/>
              </w:rPr>
              <w:t>-27/</w:t>
            </w:r>
            <w:r>
              <w:t>WO</w:t>
            </w:r>
            <w:r w:rsidRPr="00EC65FE">
              <w:rPr>
                <w:lang w:val="ru-RU"/>
              </w:rPr>
              <w:t xml:space="preserve">39391, версія 6 від 14 лютого 2020 р. </w:t>
            </w:r>
          </w:p>
        </w:tc>
      </w:tr>
      <w:tr w:rsidR="00EC65F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EC65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F. Hoffmann-La Roche Ltd. /Ф. Хоффманн-Ля Рош Лтд. /Ф. Гоффманн-Ля Рош Лтд., Швейцарія </w:t>
            </w:r>
          </w:p>
        </w:tc>
      </w:tr>
      <w:tr w:rsidR="00EC65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Pr="00EC65FE" w:rsidRDefault="00EC65F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EC65FE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FE" w:rsidRDefault="00EC65FE">
            <w:pPr>
              <w:jc w:val="both"/>
            </w:pPr>
            <w:r>
              <w:t xml:space="preserve">― </w:t>
            </w:r>
          </w:p>
        </w:tc>
      </w:tr>
    </w:tbl>
    <w:p w:rsidR="00EC65FE" w:rsidRDefault="00EC65FE">
      <w:pPr>
        <w:rPr>
          <w:lang w:val="uk-UA"/>
        </w:rPr>
      </w:pPr>
    </w:p>
    <w:p w:rsidR="00EC65FE" w:rsidRPr="000A18D1" w:rsidRDefault="00EC65FE">
      <w:pPr>
        <w:rPr>
          <w:b/>
          <w:szCs w:val="24"/>
          <w:lang w:val="uk-UA"/>
        </w:rPr>
      </w:pPr>
      <w:r w:rsidRPr="000A18D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A18D1">
        <w:rPr>
          <w:b/>
          <w:lang w:val="uk-UA"/>
        </w:rPr>
        <w:t xml:space="preserve"> </w:t>
      </w:r>
    </w:p>
    <w:p w:rsidR="00EC65FE" w:rsidRPr="000A18D1" w:rsidRDefault="00EC65FE">
      <w:pPr>
        <w:rPr>
          <w:b/>
          <w:lang w:val="ru-RU"/>
        </w:rPr>
      </w:pPr>
      <w:r w:rsidRPr="000A18D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A18D1">
        <w:rPr>
          <w:b/>
          <w:lang w:val="uk-UA"/>
        </w:rPr>
        <w:t> </w:t>
      </w:r>
      <w:r w:rsidRPr="000A18D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A18D1">
        <w:rPr>
          <w:b/>
          <w:lang w:val="uk-UA" w:eastAsia="uk-UA"/>
        </w:rPr>
        <w:t xml:space="preserve">_______________________      </w:t>
      </w:r>
      <w:r w:rsidRPr="000A18D1">
        <w:rPr>
          <w:b/>
          <w:color w:val="000000"/>
          <w:shd w:val="clear" w:color="auto" w:fill="FFFFFF"/>
          <w:lang w:val="uk-UA"/>
        </w:rPr>
        <w:t>Олександр  КОМАРІДА</w:t>
      </w:r>
    </w:p>
    <w:p w:rsidR="00EC65FE" w:rsidRDefault="00EC65FE">
      <w:pPr>
        <w:ind w:left="142"/>
      </w:pPr>
    </w:p>
    <w:p w:rsidR="00EC65FE" w:rsidRDefault="00EC65FE">
      <w:pPr>
        <w:rPr>
          <w:lang w:val="uk-UA"/>
        </w:rPr>
      </w:pPr>
    </w:p>
    <w:sectPr w:rsidR="00EC65F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7A"/>
    <w:rsid w:val="000A18D1"/>
    <w:rsid w:val="000B496B"/>
    <w:rsid w:val="00161C9D"/>
    <w:rsid w:val="0016297A"/>
    <w:rsid w:val="0042155E"/>
    <w:rsid w:val="007556B0"/>
    <w:rsid w:val="00A9040B"/>
    <w:rsid w:val="00AC5355"/>
    <w:rsid w:val="00C6245F"/>
    <w:rsid w:val="00D00B14"/>
    <w:rsid w:val="00D25ECB"/>
    <w:rsid w:val="00D727AD"/>
    <w:rsid w:val="00D93A11"/>
    <w:rsid w:val="00E91101"/>
    <w:rsid w:val="00E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d685591">
    <w:name w:val="cs4dd685591"/>
    <w:basedOn w:val="a0"/>
    <w:rsid w:val="00EC65FE"/>
    <w:rPr>
      <w:rFonts w:ascii="Arial" w:hAnsi="Arial" w:cs="Arial" w:hint="default"/>
      <w:b/>
      <w:bCs/>
      <w:i/>
      <w:iCs/>
      <w:color w:val="102B56"/>
      <w:sz w:val="12"/>
      <w:szCs w:val="12"/>
      <w:shd w:val="clear" w:color="auto" w:fill="auto"/>
    </w:rPr>
  </w:style>
  <w:style w:type="character" w:customStyle="1" w:styleId="cs9b006265">
    <w:name w:val="cs9b006265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C65FE"/>
    <w:pPr>
      <w:jc w:val="both"/>
    </w:pPr>
    <w:rPr>
      <w:rFonts w:eastAsiaTheme="minorEastAsia" w:cs="Times New Roman"/>
      <w:szCs w:val="24"/>
    </w:rPr>
  </w:style>
  <w:style w:type="character" w:customStyle="1" w:styleId="cs9f0a40406">
    <w:name w:val="cs9f0a40406"/>
    <w:basedOn w:val="a0"/>
    <w:rsid w:val="00EC65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EC65FE"/>
    <w:rPr>
      <w:rFonts w:eastAsiaTheme="minorEastAsia" w:cs="Times New Roman"/>
      <w:szCs w:val="24"/>
    </w:rPr>
  </w:style>
  <w:style w:type="character" w:customStyle="1" w:styleId="csed36d4af8">
    <w:name w:val="csed36d4af8"/>
    <w:basedOn w:val="a0"/>
    <w:rsid w:val="00EC65F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sid w:val="00EC65F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sid w:val="00EC65FE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2e86d3a6">
    <w:name w:val="cs2e86d3a6"/>
    <w:basedOn w:val="a"/>
    <w:rsid w:val="00EC65FE"/>
    <w:pPr>
      <w:jc w:val="center"/>
    </w:pPr>
    <w:rPr>
      <w:rFonts w:eastAsiaTheme="minorEastAsia" w:cs="Times New Roman"/>
      <w:szCs w:val="24"/>
    </w:rPr>
  </w:style>
  <w:style w:type="character" w:customStyle="1" w:styleId="cs9f0a404010">
    <w:name w:val="cs9f0a404010"/>
    <w:basedOn w:val="a0"/>
    <w:rsid w:val="00EC65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C65FE"/>
    <w:pPr>
      <w:jc w:val="both"/>
    </w:pPr>
    <w:rPr>
      <w:rFonts w:eastAsiaTheme="minorEastAsia" w:cs="Times New Roman"/>
      <w:szCs w:val="24"/>
    </w:rPr>
  </w:style>
  <w:style w:type="character" w:customStyle="1" w:styleId="cs9b0062610">
    <w:name w:val="cs9b0062610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C65F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6">
    <w:name w:val="cs9b0062626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7">
    <w:name w:val="cs9b0062627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8">
    <w:name w:val="cs9b0062628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556B0"/>
    <w:rPr>
      <w:rFonts w:eastAsiaTheme="minorEastAsia" w:cs="Times New Roman"/>
      <w:szCs w:val="24"/>
    </w:rPr>
  </w:style>
  <w:style w:type="character" w:customStyle="1" w:styleId="cs9f0a404029">
    <w:name w:val="cs9f0a404029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0">
    <w:name w:val="cs9b0062630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d685591">
    <w:name w:val="cs4dd685591"/>
    <w:basedOn w:val="a0"/>
    <w:rsid w:val="00EC65FE"/>
    <w:rPr>
      <w:rFonts w:ascii="Arial" w:hAnsi="Arial" w:cs="Arial" w:hint="default"/>
      <w:b/>
      <w:bCs/>
      <w:i/>
      <w:iCs/>
      <w:color w:val="102B56"/>
      <w:sz w:val="12"/>
      <w:szCs w:val="12"/>
      <w:shd w:val="clear" w:color="auto" w:fill="auto"/>
    </w:rPr>
  </w:style>
  <w:style w:type="character" w:customStyle="1" w:styleId="cs9b006265">
    <w:name w:val="cs9b006265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C65FE"/>
    <w:pPr>
      <w:jc w:val="both"/>
    </w:pPr>
    <w:rPr>
      <w:rFonts w:eastAsiaTheme="minorEastAsia" w:cs="Times New Roman"/>
      <w:szCs w:val="24"/>
    </w:rPr>
  </w:style>
  <w:style w:type="character" w:customStyle="1" w:styleId="cs9f0a40406">
    <w:name w:val="cs9f0a40406"/>
    <w:basedOn w:val="a0"/>
    <w:rsid w:val="00EC65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EC65FE"/>
    <w:rPr>
      <w:rFonts w:eastAsiaTheme="minorEastAsia" w:cs="Times New Roman"/>
      <w:szCs w:val="24"/>
    </w:rPr>
  </w:style>
  <w:style w:type="character" w:customStyle="1" w:styleId="csed36d4af8">
    <w:name w:val="csed36d4af8"/>
    <w:basedOn w:val="a0"/>
    <w:rsid w:val="00EC65F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sid w:val="00EC65F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sid w:val="00EC65FE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2e86d3a6">
    <w:name w:val="cs2e86d3a6"/>
    <w:basedOn w:val="a"/>
    <w:rsid w:val="00EC65FE"/>
    <w:pPr>
      <w:jc w:val="center"/>
    </w:pPr>
    <w:rPr>
      <w:rFonts w:eastAsiaTheme="minorEastAsia" w:cs="Times New Roman"/>
      <w:szCs w:val="24"/>
    </w:rPr>
  </w:style>
  <w:style w:type="character" w:customStyle="1" w:styleId="cs9f0a404010">
    <w:name w:val="cs9f0a404010"/>
    <w:basedOn w:val="a0"/>
    <w:rsid w:val="00EC65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C65FE"/>
    <w:pPr>
      <w:jc w:val="both"/>
    </w:pPr>
    <w:rPr>
      <w:rFonts w:eastAsiaTheme="minorEastAsia" w:cs="Times New Roman"/>
      <w:szCs w:val="24"/>
    </w:rPr>
  </w:style>
  <w:style w:type="character" w:customStyle="1" w:styleId="cs9b0062610">
    <w:name w:val="cs9b0062610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EC65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C65F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6">
    <w:name w:val="cs9b0062626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sid w:val="00AC53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7">
    <w:name w:val="cs9b0062627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8">
    <w:name w:val="cs9b0062628"/>
    <w:basedOn w:val="a0"/>
    <w:rsid w:val="00AC53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556B0"/>
    <w:rPr>
      <w:rFonts w:eastAsiaTheme="minorEastAsia" w:cs="Times New Roman"/>
      <w:szCs w:val="24"/>
    </w:rPr>
  </w:style>
  <w:style w:type="character" w:customStyle="1" w:styleId="cs9f0a404029">
    <w:name w:val="cs9f0a404029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0">
    <w:name w:val="cs9b0062630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sid w:val="007556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7556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39387</Words>
  <Characters>22451</Characters>
  <Application>Microsoft Office Word</Application>
  <DocSecurity>0</DocSecurity>
  <Lines>187</Lines>
  <Paragraphs>123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2021-04-26T06:56:00Z</dcterms:created>
  <dcterms:modified xsi:type="dcterms:W3CDTF">2021-04-26T06:59:00Z</dcterms:modified>
</cp:coreProperties>
</file>