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F6" w:rsidRDefault="00E712F6">
      <w:pPr>
        <w:rPr>
          <w:lang w:val="en-US"/>
        </w:rPr>
      </w:pPr>
    </w:p>
    <w:p w:rsidR="00E712F6" w:rsidRDefault="00F45269">
      <w:pPr>
        <w:rPr>
          <w:lang w:val="uk-UA"/>
        </w:rPr>
      </w:pPr>
      <w:r>
        <w:rPr>
          <w:lang w:val="uk-UA"/>
        </w:rPr>
        <w:t xml:space="preserve">                                                                                                                                                       Додаток </w:t>
      </w:r>
      <w:r w:rsidRPr="0080690F">
        <w:t>1</w:t>
      </w:r>
    </w:p>
    <w:p w:rsidR="00E712F6" w:rsidRDefault="00F45269" w:rsidP="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9074B3">
        <w:rPr>
          <w:lang w:val="uk-UA"/>
        </w:rPr>
        <w:t>«</w:t>
      </w:r>
      <w:r w:rsidR="009074B3" w:rsidRPr="009074B3">
        <w:rPr>
          <w:lang w:val="uk-UA"/>
        </w:rPr>
        <w:t>Про затвердження суттєвих</w:t>
      </w:r>
      <w:r w:rsidR="009074B3">
        <w:rPr>
          <w:lang w:val="uk-UA"/>
        </w:rPr>
        <w:t xml:space="preserve"> </w:t>
      </w:r>
      <w:r w:rsidR="009074B3" w:rsidRPr="009074B3">
        <w:rPr>
          <w:lang w:val="uk-UA"/>
        </w:rPr>
        <w:t>поправок до протоколів</w:t>
      </w:r>
      <w:r w:rsidR="009074B3">
        <w:rPr>
          <w:lang w:val="uk-UA"/>
        </w:rPr>
        <w:t xml:space="preserve"> </w:t>
      </w:r>
      <w:r w:rsidR="009074B3" w:rsidRPr="009074B3">
        <w:rPr>
          <w:lang w:val="uk-UA"/>
        </w:rPr>
        <w:t>клінічних випробувань</w:t>
      </w:r>
      <w:r w:rsidR="009074B3">
        <w:rPr>
          <w:lang w:val="uk-UA"/>
        </w:rPr>
        <w:t>»</w:t>
      </w:r>
    </w:p>
    <w:p w:rsidR="00E712F6" w:rsidRDefault="0052591D">
      <w:pPr>
        <w:ind w:left="9072"/>
        <w:rPr>
          <w:lang w:val="uk-UA"/>
        </w:rPr>
      </w:pPr>
      <w:r>
        <w:rPr>
          <w:u w:val="single"/>
          <w:lang w:val="uk-UA"/>
        </w:rPr>
        <w:t>17.05.2022</w:t>
      </w:r>
      <w:r w:rsidR="00F45269">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rsidTr="003A4BD1">
        <w:trPr>
          <w:trHeight w:val="646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rsidP="003A4BD1">
            <w:pPr>
              <w:jc w:val="both"/>
              <w:rPr>
                <w:rFonts w:cstheme="minorBidi"/>
              </w:rPr>
            </w:pPr>
            <w:r>
              <w:t>Оновлений Протокол клінічного випробування TP0004 з поправкою 2 від 03 грудня 2021 року; Оновлений Протокол клінічного випробування TP0004 з поправкою 3 від 09 грудня 2021 року; Оновлений Розділ 3. «Якість» Досьє досліджуваного лікарського засобу Rozanolixizumab, видання e21030110 від 30 березня 2021 року, для клінічного випробування TP0004; Додання форми випуску досліджуваного лікарського засобу Розаноліксізумаб 140 мг/мл у флаконі 2 мл (виробник Vetter Pharma-Fertigung GmbH &amp; CO.KG, Німеччина); Зразки маркування українською мовою первинної та вторинної упаковки досліджуваного лікарського засобу Розаноліксізумаб 140 мг/мл, для дози 2 мл; Подовження строку придатності досліджуваного лікарського засобу Розаноліксізумаб 140 мг/мл до 42 місяців; Інформація для учасника дослідження і Форма інформованої згоди на участь у дослідженні TP0004 (myOpportunITy 3), модель для України, версія 3.0 від 27 січня 2022 року, українською та російською мовами; Інформація для учасника дослідження і Форма інформованої згоди на участь у фармакогеномному дослідженні в рамках основного дослідження TP0004 (myOpportunITy 3), модель для України, версія 2.0 від 27 січня 2022 року, українською та російською мовами; Матеріали для пацієнтів: Оцінка самостійного введення ін’єкції (SIAQ), версія для самостійної інфузії, для заповнення перед самостійним введенням інфузії, версія 1.0 від 2021 року, українською мовою; «Опросник для оценки самостоятельных иньекций (SIAQ), версия для самостоятельной инфузии, до самостоятельной инфузии», версія 1.0 від 2021 року, російською мовою; Оцінка самостійного введення ін’єкцій (SIAQ), версія для самостійної інфузії, для заповнення після самостійного введення інфузії, версія 1.0 від 2021 року, українською мовою; «Опросник для оценки самостоятельных иньекций (SIAQ), версия для самостоятельной инфузии, после самостоятельной инфузии», версія 1.0 від 2021 року, російською мовою; Інформаційний лист для самостійного введення розаноліксизумабу вдома, “Вітаємо!», редакція 1 від 28 травня 2021 року, українською мовою; Інформаційні листи для самостійного введення розаноліксизумабу вдома, «ІТП та розаноліксизумаб», редакція 1 від 28 травня 2021 року, українською мовою; Інформаційні листи</w:t>
            </w:r>
          </w:p>
        </w:tc>
      </w:tr>
    </w:tbl>
    <w:p w:rsidR="003A4BD1" w:rsidRDefault="003A4BD1">
      <w:r>
        <w:br w:type="page"/>
      </w:r>
    </w:p>
    <w:p w:rsidR="003A4BD1" w:rsidRDefault="003A4BD1">
      <w:pPr>
        <w:rPr>
          <w:lang w:val="uk-UA"/>
        </w:rPr>
      </w:pPr>
      <w:r>
        <w:rPr>
          <w:lang w:val="uk-UA"/>
        </w:rPr>
        <w:lastRenderedPageBreak/>
        <w:t xml:space="preserve">                                                                                                           2                                                                       продовження додатка 1</w:t>
      </w:r>
    </w:p>
    <w:p w:rsidR="003A4BD1" w:rsidRPr="003A4BD1" w:rsidRDefault="003A4BD1">
      <w:pPr>
        <w:rPr>
          <w:lang w:val="uk-UA"/>
        </w:rPr>
      </w:pPr>
    </w:p>
    <w:tbl>
      <w:tblPr>
        <w:tblStyle w:val="a6"/>
        <w:tblW w:w="0" w:type="auto"/>
        <w:tblInd w:w="0" w:type="dxa"/>
        <w:tblLayout w:type="fixed"/>
        <w:tblLook w:val="04A0" w:firstRow="1" w:lastRow="0" w:firstColumn="1" w:lastColumn="0" w:noHBand="0" w:noVBand="1"/>
      </w:tblPr>
      <w:tblGrid>
        <w:gridCol w:w="2841"/>
        <w:gridCol w:w="10479"/>
      </w:tblGrid>
      <w:tr w:rsidR="003A4BD1">
        <w:trPr>
          <w:trHeight w:val="984"/>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3A4BD1" w:rsidRDefault="003A4BD1" w:rsidP="003A4BD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3A4BD1" w:rsidRDefault="003A4BD1" w:rsidP="003A4BD1">
            <w:pPr>
              <w:jc w:val="both"/>
            </w:pPr>
            <w:r>
              <w:t xml:space="preserve"> для самостійного введення розаноліксизумабу вдома, «Розаноліксизумаб та можливі побічні ефекти», редакція 1 від 28 травня 2021 року, українською мовою; Інструкція із застосування, версія 1 від 21 серпня 2021 року, українською мовою; «Тренувальна таблиця пацієнта для обліку самостійного виконання інфузії» для дослідженя TP0004, версія 1.0 від 10 вересня 2021 року, українською та російською мовами; Картка учасника клінічного дослідження, версія 2.0 від 10 грудня 2021 року, дата перекладу від 08 лютого 2022 року, українською та російською мовами; Подовження тривалості клінічного випробування в Україні до 30 вересня 2025 року</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2777 від 02.12.2020</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«Відкрите дослідження подовження терапії для вивчення довготривалої безпечності, переносимості та ефективності препарату розаноліксізумаб у пацієнтів з персистуючою або хронічною первинною імунною тромбоцитопенією (ІТП)», TP0004, від 21 листопада 2019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«ПАРЕКСЕЛ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ЮСіБі Біофарма ЕсАрЕл, Бельгія / UCB Biopharma SRL, Belgium</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Залучення досліджуваного лікарського засобу Бендамустин, 100 мг ліофілізованого порошку для розчину для інфузій альтернативного виробника SINDAN-PHARMA S.R.L., Румунія</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1246 від 26.05.2020</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«Рандомізоване, відкрите, багатоцентрове дослідження фази 3 для вивчення комбінації занубрутінібу (BGB-3111)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 BGB-3111-306, версія з поправкою 2.0 від 16 грудня 2020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Товариство з обмеженою відповідальністю «ЛАБКОРП КЛІНІКАЛ ДЕВЕЛОПМЕНТ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БейДжен Лтд [BeiGene Ltd], США</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3</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rsidRPr="0052591D" w:rsidTr="009E36A3">
        <w:trPr>
          <w:trHeight w:val="429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Pr="009E36A3" w:rsidRDefault="00F45269">
            <w:pPr>
              <w:jc w:val="both"/>
            </w:pPr>
            <w:r>
              <w:t>Включення додаткових місць проведення клінічного випробування</w:t>
            </w:r>
            <w:r w:rsidR="009E36A3" w:rsidRPr="009E36A3">
              <w:t>:</w:t>
            </w:r>
          </w:p>
          <w:tbl>
            <w:tblPr>
              <w:tblStyle w:val="a6"/>
              <w:tblW w:w="0" w:type="auto"/>
              <w:tblInd w:w="0" w:type="dxa"/>
              <w:tblLayout w:type="fixed"/>
              <w:tblLook w:val="04A0" w:firstRow="1" w:lastRow="0" w:firstColumn="1" w:lastColumn="0" w:noHBand="0" w:noVBand="1"/>
            </w:tblPr>
            <w:tblGrid>
              <w:gridCol w:w="643"/>
              <w:gridCol w:w="9405"/>
            </w:tblGrid>
            <w:tr w:rsidR="00E712F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E712F6" w:rsidRDefault="00F45269">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E712F6" w:rsidRDefault="00F45269">
                  <w:pPr>
                    <w:jc w:val="center"/>
                    <w:rPr>
                      <w:rFonts w:ascii="Bookman Old Style" w:hAnsi="Bookman Old Style" w:cs="Bookman Old Style"/>
                    </w:rPr>
                  </w:pPr>
                  <w:r>
                    <w:rPr>
                      <w:rFonts w:cs="Bookman Old Style"/>
                    </w:rPr>
                    <w:t>П.І.Б. відповідального дослідника</w:t>
                  </w:r>
                </w:p>
                <w:p w:rsidR="00E712F6" w:rsidRDefault="00F45269">
                  <w:pPr>
                    <w:jc w:val="center"/>
                  </w:pPr>
                  <w:r>
                    <w:rPr>
                      <w:rFonts w:cs="Bookman Old Style"/>
                    </w:rPr>
                    <w:t>Назва місця проведення клінічного випробування</w:t>
                  </w:r>
                </w:p>
              </w:tc>
            </w:tr>
            <w:tr w:rsidR="009E36A3">
              <w:trPr>
                <w:trHeight w:val="352"/>
              </w:trPr>
              <w:tc>
                <w:tcPr>
                  <w:tcW w:w="643" w:type="dxa"/>
                  <w:tcBorders>
                    <w:top w:val="single" w:sz="4" w:space="0" w:color="auto"/>
                    <w:left w:val="single" w:sz="4" w:space="0" w:color="auto"/>
                    <w:bottom w:val="single" w:sz="4" w:space="0" w:color="auto"/>
                    <w:right w:val="single" w:sz="4" w:space="0" w:color="auto"/>
                  </w:tcBorders>
                  <w:hideMark/>
                </w:tcPr>
                <w:p w:rsidR="009E36A3" w:rsidRPr="009E36A3" w:rsidRDefault="009E36A3" w:rsidP="009E36A3">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9E36A3" w:rsidRPr="009E36A3" w:rsidRDefault="009E36A3" w:rsidP="009E36A3">
                  <w:pPr>
                    <w:pStyle w:val="csf06cd379"/>
                    <w:rPr>
                      <w:b/>
                      <w:lang w:val="ru-RU"/>
                    </w:rPr>
                  </w:pPr>
                  <w:r w:rsidRPr="009E36A3">
                    <w:rPr>
                      <w:rStyle w:val="cs9b006263"/>
                      <w:rFonts w:ascii="Times New Roman" w:hAnsi="Times New Roman" w:cs="Times New Roman"/>
                      <w:b w:val="0"/>
                      <w:sz w:val="24"/>
                      <w:szCs w:val="24"/>
                      <w:lang w:val="ru-RU"/>
                    </w:rPr>
                    <w:t>лікар Страшнов А.М.</w:t>
                  </w:r>
                </w:p>
                <w:p w:rsidR="009E36A3" w:rsidRPr="009E36A3" w:rsidRDefault="009E36A3" w:rsidP="009E36A3">
                  <w:pPr>
                    <w:pStyle w:val="cs80d9435b"/>
                    <w:rPr>
                      <w:b/>
                      <w:lang w:val="ru-RU"/>
                    </w:rPr>
                  </w:pPr>
                  <w:r w:rsidRPr="009E36A3">
                    <w:rPr>
                      <w:rStyle w:val="cs9b006263"/>
                      <w:rFonts w:ascii="Times New Roman" w:hAnsi="Times New Roman" w:cs="Times New Roman"/>
                      <w:b w:val="0"/>
                      <w:sz w:val="24"/>
                      <w:szCs w:val="24"/>
                      <w:lang w:val="ru-RU"/>
                    </w:rPr>
                    <w:t>Медичний центр товариства з обмеженою відповідальністю «Медифаст», хірургічне відділення із стаціонаром, м. Маріуполь</w:t>
                  </w:r>
                </w:p>
              </w:tc>
            </w:tr>
            <w:tr w:rsidR="009E36A3">
              <w:trPr>
                <w:trHeight w:val="352"/>
              </w:trPr>
              <w:tc>
                <w:tcPr>
                  <w:tcW w:w="643" w:type="dxa"/>
                  <w:tcBorders>
                    <w:top w:val="single" w:sz="4" w:space="0" w:color="auto"/>
                    <w:left w:val="single" w:sz="4" w:space="0" w:color="auto"/>
                    <w:bottom w:val="single" w:sz="4" w:space="0" w:color="auto"/>
                    <w:right w:val="single" w:sz="4" w:space="0" w:color="auto"/>
                  </w:tcBorders>
                  <w:hideMark/>
                </w:tcPr>
                <w:p w:rsidR="009E36A3" w:rsidRPr="009E36A3" w:rsidRDefault="009E36A3" w:rsidP="009E36A3">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9E36A3" w:rsidRPr="009E36A3" w:rsidRDefault="009E36A3" w:rsidP="009E36A3">
                  <w:pPr>
                    <w:pStyle w:val="csf06cd379"/>
                    <w:rPr>
                      <w:b/>
                      <w:lang w:val="ru-RU"/>
                    </w:rPr>
                  </w:pPr>
                  <w:r w:rsidRPr="009E36A3">
                    <w:rPr>
                      <w:rStyle w:val="cs9b006263"/>
                      <w:rFonts w:ascii="Times New Roman" w:hAnsi="Times New Roman" w:cs="Times New Roman"/>
                      <w:b w:val="0"/>
                      <w:sz w:val="24"/>
                      <w:szCs w:val="24"/>
                      <w:lang w:val="ru-RU"/>
                    </w:rPr>
                    <w:t>лікар Вігуро М.С.</w:t>
                  </w:r>
                </w:p>
                <w:p w:rsidR="009E36A3" w:rsidRPr="009E36A3" w:rsidRDefault="009E36A3" w:rsidP="009E36A3">
                  <w:pPr>
                    <w:pStyle w:val="cs80d9435b"/>
                    <w:rPr>
                      <w:b/>
                      <w:lang w:val="ru-RU"/>
                    </w:rPr>
                  </w:pPr>
                  <w:r w:rsidRPr="009E36A3">
                    <w:rPr>
                      <w:rStyle w:val="cs9b006263"/>
                      <w:rFonts w:ascii="Times New Roman" w:hAnsi="Times New Roman" w:cs="Times New Roman"/>
                      <w:b w:val="0"/>
                      <w:sz w:val="24"/>
                      <w:szCs w:val="24"/>
                      <w:lang w:val="ru-RU"/>
                    </w:rPr>
                    <w:t>Медичний центр товариства з обмеженою відповідальністю «Мрія Мед-Сервіс», відділ клінічних досліджень, м. Кривий Ріг</w:t>
                  </w:r>
                </w:p>
              </w:tc>
            </w:tr>
            <w:tr w:rsidR="009E36A3" w:rsidRPr="0052591D">
              <w:trPr>
                <w:trHeight w:val="352"/>
              </w:trPr>
              <w:tc>
                <w:tcPr>
                  <w:tcW w:w="643" w:type="dxa"/>
                  <w:tcBorders>
                    <w:top w:val="single" w:sz="4" w:space="0" w:color="auto"/>
                    <w:left w:val="single" w:sz="4" w:space="0" w:color="auto"/>
                    <w:bottom w:val="single" w:sz="4" w:space="0" w:color="auto"/>
                    <w:right w:val="single" w:sz="4" w:space="0" w:color="auto"/>
                  </w:tcBorders>
                  <w:hideMark/>
                </w:tcPr>
                <w:p w:rsidR="009E36A3" w:rsidRPr="009E36A3" w:rsidRDefault="009E36A3" w:rsidP="009E36A3">
                  <w:pPr>
                    <w:rPr>
                      <w:rFonts w:cstheme="minorBidi"/>
                      <w:lang w:val="en-US"/>
                    </w:rPr>
                  </w:pPr>
                  <w:r>
                    <w:rPr>
                      <w:rFonts w:cstheme="minorBidi"/>
                      <w:lang w:val="en-US"/>
                    </w:rPr>
                    <w:t>3.</w:t>
                  </w:r>
                </w:p>
              </w:tc>
              <w:tc>
                <w:tcPr>
                  <w:tcW w:w="9405" w:type="dxa"/>
                  <w:tcBorders>
                    <w:top w:val="single" w:sz="4" w:space="0" w:color="auto"/>
                    <w:left w:val="single" w:sz="4" w:space="0" w:color="auto"/>
                    <w:bottom w:val="single" w:sz="4" w:space="0" w:color="auto"/>
                    <w:right w:val="single" w:sz="4" w:space="0" w:color="auto"/>
                  </w:tcBorders>
                  <w:hideMark/>
                </w:tcPr>
                <w:p w:rsidR="009E36A3" w:rsidRPr="0080690F" w:rsidRDefault="009E36A3" w:rsidP="009E36A3">
                  <w:pPr>
                    <w:pStyle w:val="csf06cd379"/>
                    <w:rPr>
                      <w:b/>
                    </w:rPr>
                  </w:pPr>
                  <w:r w:rsidRPr="009E36A3">
                    <w:rPr>
                      <w:rStyle w:val="cs9b006263"/>
                      <w:rFonts w:ascii="Times New Roman" w:hAnsi="Times New Roman" w:cs="Times New Roman"/>
                      <w:b w:val="0"/>
                      <w:sz w:val="24"/>
                      <w:szCs w:val="24"/>
                      <w:lang w:val="ru-RU"/>
                    </w:rPr>
                    <w:t>лікар</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Король</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Ю</w:t>
                  </w:r>
                  <w:r w:rsidRPr="0080690F">
                    <w:rPr>
                      <w:rStyle w:val="cs9b006263"/>
                      <w:rFonts w:ascii="Times New Roman" w:hAnsi="Times New Roman" w:cs="Times New Roman"/>
                      <w:b w:val="0"/>
                      <w:sz w:val="24"/>
                      <w:szCs w:val="24"/>
                    </w:rPr>
                    <w:t>.</w:t>
                  </w:r>
                  <w:r w:rsidRPr="009E36A3">
                    <w:rPr>
                      <w:rStyle w:val="cs9b006263"/>
                      <w:rFonts w:ascii="Times New Roman" w:hAnsi="Times New Roman" w:cs="Times New Roman"/>
                      <w:b w:val="0"/>
                      <w:sz w:val="24"/>
                      <w:szCs w:val="24"/>
                      <w:lang w:val="ru-RU"/>
                    </w:rPr>
                    <w:t>І</w:t>
                  </w:r>
                  <w:r w:rsidRPr="0080690F">
                    <w:rPr>
                      <w:rStyle w:val="cs9b006263"/>
                      <w:rFonts w:ascii="Times New Roman" w:hAnsi="Times New Roman" w:cs="Times New Roman"/>
                      <w:b w:val="0"/>
                      <w:sz w:val="24"/>
                      <w:szCs w:val="24"/>
                    </w:rPr>
                    <w:t>.</w:t>
                  </w:r>
                </w:p>
                <w:p w:rsidR="009E36A3" w:rsidRPr="0080690F" w:rsidRDefault="009E36A3" w:rsidP="009E36A3">
                  <w:pPr>
                    <w:pStyle w:val="cs80d9435b"/>
                    <w:rPr>
                      <w:b/>
                    </w:rPr>
                  </w:pPr>
                  <w:r w:rsidRPr="009E36A3">
                    <w:rPr>
                      <w:rStyle w:val="cs9b006263"/>
                      <w:rFonts w:ascii="Times New Roman" w:hAnsi="Times New Roman" w:cs="Times New Roman"/>
                      <w:b w:val="0"/>
                      <w:sz w:val="24"/>
                      <w:szCs w:val="24"/>
                      <w:lang w:val="ru-RU"/>
                    </w:rPr>
                    <w:t>Комунальне</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некомерційне</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підприємство</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Львівське</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територіальне</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медичне</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об</w:t>
                  </w:r>
                  <w:r w:rsidRPr="0080690F">
                    <w:rPr>
                      <w:rStyle w:val="cs9b006263"/>
                      <w:rFonts w:ascii="Times New Roman" w:hAnsi="Times New Roman" w:cs="Times New Roman"/>
                      <w:b w:val="0"/>
                      <w:sz w:val="24"/>
                      <w:szCs w:val="24"/>
                    </w:rPr>
                    <w:t>’</w:t>
                  </w:r>
                  <w:r w:rsidRPr="009E36A3">
                    <w:rPr>
                      <w:rStyle w:val="cs9b006263"/>
                      <w:rFonts w:ascii="Times New Roman" w:hAnsi="Times New Roman" w:cs="Times New Roman"/>
                      <w:b w:val="0"/>
                      <w:sz w:val="24"/>
                      <w:szCs w:val="24"/>
                      <w:lang w:val="ru-RU"/>
                    </w:rPr>
                    <w:t>єднання</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Багатопрофільна</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клінічна</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лікарня</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інтенсивних</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методів</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лікування</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та</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швидкої</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медичної</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допомоги</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відділення</w:t>
                  </w:r>
                  <w:r w:rsidRPr="0080690F">
                    <w:rPr>
                      <w:rStyle w:val="cs9b006263"/>
                      <w:rFonts w:ascii="Times New Roman" w:hAnsi="Times New Roman" w:cs="Times New Roman"/>
                      <w:b w:val="0"/>
                      <w:sz w:val="24"/>
                      <w:szCs w:val="24"/>
                    </w:rPr>
                    <w:t xml:space="preserve"> № 1 </w:t>
                  </w:r>
                  <w:r w:rsidRPr="009E36A3">
                    <w:rPr>
                      <w:rStyle w:val="cs9b006263"/>
                      <w:rFonts w:ascii="Times New Roman" w:hAnsi="Times New Roman" w:cs="Times New Roman"/>
                      <w:b w:val="0"/>
                      <w:sz w:val="24"/>
                      <w:szCs w:val="24"/>
                      <w:lang w:val="ru-RU"/>
                    </w:rPr>
                    <w:t>Центру</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хірургії</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відокремленого</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підрозділу</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Лікарня</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Святого</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Пантелеймона</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м</w:t>
                  </w:r>
                  <w:r w:rsidRPr="0080690F">
                    <w:rPr>
                      <w:rStyle w:val="cs9b006263"/>
                      <w:rFonts w:ascii="Times New Roman" w:hAnsi="Times New Roman" w:cs="Times New Roman"/>
                      <w:b w:val="0"/>
                      <w:sz w:val="24"/>
                      <w:szCs w:val="24"/>
                    </w:rPr>
                    <w:t xml:space="preserve">. </w:t>
                  </w:r>
                  <w:r w:rsidRPr="009E36A3">
                    <w:rPr>
                      <w:rStyle w:val="cs9b006263"/>
                      <w:rFonts w:ascii="Times New Roman" w:hAnsi="Times New Roman" w:cs="Times New Roman"/>
                      <w:b w:val="0"/>
                      <w:sz w:val="24"/>
                      <w:szCs w:val="24"/>
                      <w:lang w:val="ru-RU"/>
                    </w:rPr>
                    <w:t>Львів</w:t>
                  </w:r>
                </w:p>
              </w:tc>
            </w:tr>
          </w:tbl>
          <w:p w:rsidR="00E712F6" w:rsidRPr="0080690F" w:rsidRDefault="00E712F6">
            <w:pPr>
              <w:rPr>
                <w:rFonts w:asciiTheme="minorHAnsi" w:hAnsiTheme="minorHAnsi"/>
                <w:sz w:val="22"/>
                <w:lang w:val="en-US"/>
              </w:rPr>
            </w:pP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333 від 17.02.2022</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«Рандомізоване, подвійне сліпе, дослідження ІІІ фази комбінації MK-7684A та хіміотерапії в порівнянні з комбінацією пембролізумаба та хіміотерапії, у якості терапії першої лінії у пацієнтів з метастатичним недрібноклітинним раком легень», МК-7684A-007, версія 00 від 11 листопада </w:t>
            </w:r>
            <w:r w:rsidR="009E36A3" w:rsidRPr="009E36A3">
              <w:t xml:space="preserve">               </w:t>
            </w:r>
            <w:r>
              <w:t>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Товариство з обмеженою відповідальністю «МСД Україна»</w:t>
            </w:r>
          </w:p>
        </w:tc>
      </w:tr>
    </w:tbl>
    <w:p w:rsidR="003A4BD1" w:rsidRDefault="003A4BD1" w:rsidP="003A4BD1">
      <w:pPr>
        <w:rPr>
          <w:lang w:val="uk-UA"/>
        </w:rPr>
      </w:pPr>
      <w:r>
        <w:br w:type="page"/>
      </w:r>
      <w:r>
        <w:rPr>
          <w:lang w:val="uk-UA"/>
        </w:rPr>
        <w:lastRenderedPageBreak/>
        <w:t xml:space="preserve">                                                                                                           2                                                                       продовження додатка 3</w:t>
      </w:r>
    </w:p>
    <w:p w:rsidR="003A4BD1" w:rsidRDefault="003A4BD1"/>
    <w:tbl>
      <w:tblPr>
        <w:tblStyle w:val="a6"/>
        <w:tblW w:w="0" w:type="auto"/>
        <w:tblInd w:w="0" w:type="dxa"/>
        <w:tblLayout w:type="fixed"/>
        <w:tblLook w:val="04A0" w:firstRow="1" w:lastRow="0" w:firstColumn="1" w:lastColumn="0" w:noHBand="0" w:noVBand="1"/>
      </w:tblPr>
      <w:tblGrid>
        <w:gridCol w:w="2841"/>
        <w:gridCol w:w="10479"/>
      </w:tblGrid>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«Мерк Шарп Енд Доум Корп.», дочірнє підприємство «Мерк Енд Ко., Інк.», США (Merck Sharp &amp; Dohme Corp., a subsidiary of Merck &amp; Co., Inc., USA)</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F45269">
      <w:pPr>
        <w:rPr>
          <w:lang w:val="uk-UA"/>
        </w:rPr>
      </w:pPr>
      <w:r>
        <w:rPr>
          <w:lang w:val="uk-UA"/>
        </w:rPr>
        <w:lastRenderedPageBreak/>
        <w:t xml:space="preserve">                                                                                                                                                       Додаток </w:t>
      </w:r>
      <w:r w:rsidRPr="0080690F">
        <w:t>4</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Pr="009E36A3" w:rsidRDefault="00F45269">
            <w:pPr>
              <w:jc w:val="both"/>
            </w:pPr>
            <w:r>
              <w:t>Включення додаткових місць проведення клінічного випробування</w:t>
            </w:r>
            <w:r w:rsidR="009E36A3" w:rsidRPr="009E36A3">
              <w:t>:</w:t>
            </w:r>
          </w:p>
          <w:tbl>
            <w:tblPr>
              <w:tblStyle w:val="a6"/>
              <w:tblW w:w="0" w:type="auto"/>
              <w:tblInd w:w="0" w:type="dxa"/>
              <w:tblLayout w:type="fixed"/>
              <w:tblLook w:val="04A0" w:firstRow="1" w:lastRow="0" w:firstColumn="1" w:lastColumn="0" w:noHBand="0" w:noVBand="1"/>
            </w:tblPr>
            <w:tblGrid>
              <w:gridCol w:w="643"/>
              <w:gridCol w:w="9405"/>
            </w:tblGrid>
            <w:tr w:rsidR="00E712F6">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E712F6" w:rsidRDefault="00F45269">
                  <w:pPr>
                    <w:jc w:val="center"/>
                  </w:pPr>
                  <w:r>
                    <w:t>№ п</w:t>
                  </w:r>
                  <w:r>
                    <w:rPr>
                      <w:lang w:val="en-US"/>
                    </w:rPr>
                    <w:t>/</w:t>
                  </w:r>
                  <w:r>
                    <w:t>п</w:t>
                  </w:r>
                </w:p>
              </w:tc>
              <w:tc>
                <w:tcPr>
                  <w:tcW w:w="9405" w:type="dxa"/>
                  <w:tcBorders>
                    <w:top w:val="single" w:sz="4" w:space="0" w:color="auto"/>
                    <w:left w:val="single" w:sz="4" w:space="0" w:color="auto"/>
                    <w:bottom w:val="single" w:sz="4" w:space="0" w:color="auto"/>
                    <w:right w:val="single" w:sz="4" w:space="0" w:color="auto"/>
                  </w:tcBorders>
                  <w:hideMark/>
                </w:tcPr>
                <w:p w:rsidR="00E712F6" w:rsidRDefault="00F45269">
                  <w:pPr>
                    <w:jc w:val="center"/>
                    <w:rPr>
                      <w:rFonts w:ascii="Bookman Old Style" w:hAnsi="Bookman Old Style" w:cs="Bookman Old Style"/>
                    </w:rPr>
                  </w:pPr>
                  <w:r>
                    <w:rPr>
                      <w:rFonts w:cs="Bookman Old Style"/>
                    </w:rPr>
                    <w:t>П.І.Б. відповідального дослідника</w:t>
                  </w:r>
                </w:p>
                <w:p w:rsidR="00E712F6" w:rsidRDefault="00F45269">
                  <w:pPr>
                    <w:jc w:val="center"/>
                  </w:pPr>
                  <w:r>
                    <w:rPr>
                      <w:rFonts w:cs="Bookman Old Style"/>
                    </w:rPr>
                    <w:t>Назва місця проведення клінічного випробування</w:t>
                  </w:r>
                </w:p>
              </w:tc>
            </w:tr>
            <w:tr w:rsidR="009E36A3" w:rsidRPr="0052591D">
              <w:trPr>
                <w:trHeight w:val="352"/>
              </w:trPr>
              <w:tc>
                <w:tcPr>
                  <w:tcW w:w="643" w:type="dxa"/>
                  <w:tcBorders>
                    <w:top w:val="single" w:sz="4" w:space="0" w:color="auto"/>
                    <w:left w:val="single" w:sz="4" w:space="0" w:color="auto"/>
                    <w:bottom w:val="single" w:sz="4" w:space="0" w:color="auto"/>
                    <w:right w:val="single" w:sz="4" w:space="0" w:color="auto"/>
                  </w:tcBorders>
                  <w:hideMark/>
                </w:tcPr>
                <w:p w:rsidR="009E36A3" w:rsidRPr="009E36A3" w:rsidRDefault="009E36A3" w:rsidP="009E36A3">
                  <w:pPr>
                    <w:rPr>
                      <w:lang w:val="en-US"/>
                    </w:rPr>
                  </w:pPr>
                  <w:r>
                    <w:rPr>
                      <w:lang w:val="en-US"/>
                    </w:rPr>
                    <w:t>1.</w:t>
                  </w:r>
                </w:p>
              </w:tc>
              <w:tc>
                <w:tcPr>
                  <w:tcW w:w="9405" w:type="dxa"/>
                  <w:tcBorders>
                    <w:top w:val="single" w:sz="4" w:space="0" w:color="auto"/>
                    <w:left w:val="single" w:sz="4" w:space="0" w:color="auto"/>
                    <w:bottom w:val="single" w:sz="4" w:space="0" w:color="auto"/>
                    <w:right w:val="single" w:sz="4" w:space="0" w:color="auto"/>
                  </w:tcBorders>
                  <w:hideMark/>
                </w:tcPr>
                <w:p w:rsidR="009E36A3" w:rsidRPr="0080690F" w:rsidRDefault="009E36A3" w:rsidP="009E36A3">
                  <w:pPr>
                    <w:pStyle w:val="csf06cd379"/>
                    <w:rPr>
                      <w:b/>
                    </w:rPr>
                  </w:pPr>
                  <w:r w:rsidRPr="009E36A3">
                    <w:rPr>
                      <w:rStyle w:val="cs9b006264"/>
                      <w:rFonts w:ascii="Times New Roman" w:hAnsi="Times New Roman" w:cs="Times New Roman"/>
                      <w:b w:val="0"/>
                      <w:sz w:val="24"/>
                      <w:szCs w:val="24"/>
                      <w:lang w:val="ru-RU"/>
                    </w:rPr>
                    <w:t>лікар</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Бридун</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С</w:t>
                  </w:r>
                  <w:r w:rsidRPr="0080690F">
                    <w:rPr>
                      <w:rStyle w:val="cs9b006264"/>
                      <w:rFonts w:ascii="Times New Roman" w:hAnsi="Times New Roman" w:cs="Times New Roman"/>
                      <w:b w:val="0"/>
                      <w:sz w:val="24"/>
                      <w:szCs w:val="24"/>
                    </w:rPr>
                    <w:t>.</w:t>
                  </w:r>
                  <w:r w:rsidRPr="009E36A3">
                    <w:rPr>
                      <w:rStyle w:val="cs9b006264"/>
                      <w:rFonts w:ascii="Times New Roman" w:hAnsi="Times New Roman" w:cs="Times New Roman"/>
                      <w:b w:val="0"/>
                      <w:sz w:val="24"/>
                      <w:szCs w:val="24"/>
                      <w:lang w:val="ru-RU"/>
                    </w:rPr>
                    <w:t>С</w:t>
                  </w:r>
                  <w:r w:rsidRPr="0080690F">
                    <w:rPr>
                      <w:rStyle w:val="cs9b006264"/>
                      <w:rFonts w:ascii="Times New Roman" w:hAnsi="Times New Roman" w:cs="Times New Roman"/>
                      <w:b w:val="0"/>
                      <w:sz w:val="24"/>
                      <w:szCs w:val="24"/>
                    </w:rPr>
                    <w:t>.</w:t>
                  </w:r>
                </w:p>
                <w:p w:rsidR="009E36A3" w:rsidRPr="0080690F" w:rsidRDefault="009E36A3" w:rsidP="009E36A3">
                  <w:pPr>
                    <w:pStyle w:val="cs80d9435b"/>
                    <w:rPr>
                      <w:b/>
                    </w:rPr>
                  </w:pPr>
                  <w:r w:rsidRPr="009E36A3">
                    <w:rPr>
                      <w:rStyle w:val="cs9b006264"/>
                      <w:rFonts w:ascii="Times New Roman" w:hAnsi="Times New Roman" w:cs="Times New Roman"/>
                      <w:b w:val="0"/>
                      <w:sz w:val="24"/>
                      <w:szCs w:val="24"/>
                      <w:lang w:val="ru-RU"/>
                    </w:rPr>
                    <w:t>Відділення</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Товариства</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з</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обмеженою</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відповідальністю</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Медичний</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центр</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Добробут</w:t>
                  </w:r>
                  <w:r w:rsidRPr="0080690F">
                    <w:rPr>
                      <w:rStyle w:val="cs9b006264"/>
                      <w:rFonts w:ascii="Times New Roman" w:hAnsi="Times New Roman" w:cs="Times New Roman"/>
                      <w:b w:val="0"/>
                      <w:sz w:val="24"/>
                      <w:szCs w:val="24"/>
                    </w:rPr>
                    <w:t>-</w:t>
                  </w:r>
                  <w:r w:rsidRPr="009E36A3">
                    <w:rPr>
                      <w:rStyle w:val="cs9b006264"/>
                      <w:rFonts w:ascii="Times New Roman" w:hAnsi="Times New Roman" w:cs="Times New Roman"/>
                      <w:b w:val="0"/>
                      <w:sz w:val="24"/>
                      <w:szCs w:val="24"/>
                      <w:lang w:val="ru-RU"/>
                    </w:rPr>
                    <w:t>Поліклініка</w:t>
                  </w:r>
                  <w:r w:rsidRPr="0080690F">
                    <w:rPr>
                      <w:rStyle w:val="cs9b006264"/>
                      <w:rFonts w:ascii="Times New Roman" w:hAnsi="Times New Roman" w:cs="Times New Roman"/>
                      <w:b w:val="0"/>
                      <w:sz w:val="24"/>
                      <w:szCs w:val="24"/>
                    </w:rPr>
                    <w:t>» «</w:t>
                  </w:r>
                  <w:r w:rsidRPr="009E36A3">
                    <w:rPr>
                      <w:rStyle w:val="cs9b006264"/>
                      <w:rFonts w:ascii="Times New Roman" w:hAnsi="Times New Roman" w:cs="Times New Roman"/>
                      <w:b w:val="0"/>
                      <w:sz w:val="24"/>
                      <w:szCs w:val="24"/>
                      <w:lang w:val="ru-RU"/>
                    </w:rPr>
                    <w:t>Лікувально</w:t>
                  </w:r>
                  <w:r w:rsidRPr="0080690F">
                    <w:rPr>
                      <w:rStyle w:val="cs9b006264"/>
                      <w:rFonts w:ascii="Times New Roman" w:hAnsi="Times New Roman" w:cs="Times New Roman"/>
                      <w:b w:val="0"/>
                      <w:sz w:val="24"/>
                      <w:szCs w:val="24"/>
                    </w:rPr>
                    <w:t>-</w:t>
                  </w:r>
                  <w:r w:rsidRPr="009E36A3">
                    <w:rPr>
                      <w:rStyle w:val="cs9b006264"/>
                      <w:rFonts w:ascii="Times New Roman" w:hAnsi="Times New Roman" w:cs="Times New Roman"/>
                      <w:b w:val="0"/>
                      <w:sz w:val="24"/>
                      <w:szCs w:val="24"/>
                      <w:lang w:val="ru-RU"/>
                    </w:rPr>
                    <w:t>діагностичний</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центр</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Добробут</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онкологічне</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відділення</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стаціонару</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з</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блоком</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хіміотерапії</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м</w:t>
                  </w:r>
                  <w:r w:rsidRPr="0080690F">
                    <w:rPr>
                      <w:rStyle w:val="cs9b006264"/>
                      <w:rFonts w:ascii="Times New Roman" w:hAnsi="Times New Roman" w:cs="Times New Roman"/>
                      <w:b w:val="0"/>
                      <w:sz w:val="24"/>
                      <w:szCs w:val="24"/>
                    </w:rPr>
                    <w:t xml:space="preserve">. </w:t>
                  </w:r>
                  <w:r w:rsidRPr="009E36A3">
                    <w:rPr>
                      <w:rStyle w:val="cs9b006264"/>
                      <w:rFonts w:ascii="Times New Roman" w:hAnsi="Times New Roman" w:cs="Times New Roman"/>
                      <w:b w:val="0"/>
                      <w:sz w:val="24"/>
                      <w:szCs w:val="24"/>
                      <w:lang w:val="ru-RU"/>
                    </w:rPr>
                    <w:t>Київ</w:t>
                  </w:r>
                </w:p>
              </w:tc>
            </w:tr>
            <w:tr w:rsidR="009E36A3">
              <w:trPr>
                <w:trHeight w:val="352"/>
              </w:trPr>
              <w:tc>
                <w:tcPr>
                  <w:tcW w:w="643" w:type="dxa"/>
                  <w:tcBorders>
                    <w:top w:val="single" w:sz="4" w:space="0" w:color="auto"/>
                    <w:left w:val="single" w:sz="4" w:space="0" w:color="auto"/>
                    <w:bottom w:val="single" w:sz="4" w:space="0" w:color="auto"/>
                    <w:right w:val="single" w:sz="4" w:space="0" w:color="auto"/>
                  </w:tcBorders>
                  <w:hideMark/>
                </w:tcPr>
                <w:p w:rsidR="009E36A3" w:rsidRPr="009E36A3" w:rsidRDefault="009E36A3" w:rsidP="009E36A3">
                  <w:pPr>
                    <w:rPr>
                      <w:rFonts w:cstheme="minorBidi"/>
                      <w:lang w:val="en-US"/>
                    </w:rPr>
                  </w:pPr>
                  <w:r>
                    <w:rPr>
                      <w:rFonts w:cstheme="minorBidi"/>
                      <w:lang w:val="en-US"/>
                    </w:rPr>
                    <w:t>2.</w:t>
                  </w:r>
                </w:p>
              </w:tc>
              <w:tc>
                <w:tcPr>
                  <w:tcW w:w="9405" w:type="dxa"/>
                  <w:tcBorders>
                    <w:top w:val="single" w:sz="4" w:space="0" w:color="auto"/>
                    <w:left w:val="single" w:sz="4" w:space="0" w:color="auto"/>
                    <w:bottom w:val="single" w:sz="4" w:space="0" w:color="auto"/>
                    <w:right w:val="single" w:sz="4" w:space="0" w:color="auto"/>
                  </w:tcBorders>
                  <w:hideMark/>
                </w:tcPr>
                <w:p w:rsidR="009E36A3" w:rsidRPr="009E36A3" w:rsidRDefault="009E36A3" w:rsidP="009E36A3">
                  <w:pPr>
                    <w:pStyle w:val="csf06cd379"/>
                    <w:rPr>
                      <w:b/>
                      <w:lang w:val="ru-RU"/>
                    </w:rPr>
                  </w:pPr>
                  <w:r w:rsidRPr="009E36A3">
                    <w:rPr>
                      <w:rStyle w:val="cs9b006264"/>
                      <w:rFonts w:ascii="Times New Roman" w:hAnsi="Times New Roman" w:cs="Times New Roman"/>
                      <w:b w:val="0"/>
                      <w:sz w:val="24"/>
                      <w:szCs w:val="24"/>
                      <w:lang w:val="ru-RU"/>
                    </w:rPr>
                    <w:t>д.м.н., проф. Костюк О.Г.</w:t>
                  </w:r>
                </w:p>
                <w:p w:rsidR="009E36A3" w:rsidRPr="009E36A3" w:rsidRDefault="009E36A3" w:rsidP="009E36A3">
                  <w:pPr>
                    <w:pStyle w:val="cs80d9435b"/>
                    <w:rPr>
                      <w:b/>
                      <w:lang w:val="ru-RU"/>
                    </w:rPr>
                  </w:pPr>
                  <w:r w:rsidRPr="009E36A3">
                    <w:rPr>
                      <w:rStyle w:val="cs9b006264"/>
                      <w:rFonts w:ascii="Times New Roman" w:hAnsi="Times New Roman" w:cs="Times New Roman"/>
                      <w:b w:val="0"/>
                      <w:sz w:val="24"/>
                      <w:szCs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 Вінницький національний медичний університет ім. М.І. Пирогова, кафедра променевої діагностики, променевої терапії та онкології, м. Вінниця</w:t>
                  </w:r>
                </w:p>
              </w:tc>
            </w:tr>
          </w:tbl>
          <w:p w:rsidR="00E712F6" w:rsidRDefault="00E712F6">
            <w:pPr>
              <w:rPr>
                <w:rFonts w:asciiTheme="minorHAnsi" w:hAnsiTheme="minorHAnsi"/>
                <w:sz w:val="22"/>
              </w:rPr>
            </w:pP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2616 від 24.11.2021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«Дослідження ІІІ фази MK-4280A (комбінація фавезелімабу [MK-4280] з пембролізумабом [MK-3475]) у порівнянні зі стандартним лікуванням при раніше вже лікованому метастатичному </w:t>
            </w:r>
            <w:r w:rsidR="009E36A3" w:rsidRPr="009E36A3">
              <w:t xml:space="preserve">             </w:t>
            </w:r>
            <w:r>
              <w:t xml:space="preserve">PDL1-позитивному колоректальному раку», MK-4280A-007, з інкорпорованою поправкою 02 від </w:t>
            </w:r>
            <w:r w:rsidR="009E36A3">
              <w:rPr>
                <w:lang w:val="en-US"/>
              </w:rPr>
              <w:t xml:space="preserve">                          </w:t>
            </w:r>
            <w:r>
              <w:t>17 вересня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Товариство з обмеженою відповідальністю «МСД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«Мерк Шарп енд Доум Корп.», дочірнє підприємство «Мерк енд Ко., Інк.», США (Merck Sharp &amp; Dohme Corp., a subsidiary of Merck &amp; Co., Inc., USA) </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5</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Оновлений протокол з Поправкою 2 від 26.10.2021 р.; Інформація для пацієнта та Форма інформованої згоди, версія 5.0 українською мовою для України від 13.01.2022; Інформація для пацієнта та Форма інформованої згоди, версія 5.0 російською мовою для України від 13.01.2022</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310 від 23.02.2021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«Багатоцентрове, з одним рукавом лікування, відкрите, довготривале клінічне дослідження спостереження безпечності Селексіпагу у учасників, які брали участь у попередньому клінічному дослідженні Селексіпагу», 67896049PUH3001, з Поправкою 1 від 08.12.2020 р.</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«ЯНССЕН ФАРМАЦЕВТИКА НВ», Бельгія</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«ЯНССЕН ФАРМАЦЕВТИКА НВ», Бельгія</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6</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Форма інформованої згоди Протокол 64264681LYM1001 Адаптована для України версія № 4.0 від 07 січня 2022 року, на основі майстер-версії ФІЗ версія 7.0 від 15 грудня 2021 року, англійською та українською мовами; Додаток до Форми інформованої згоди Протокол 64264681LYM1001 Адаптована для України версія № 4.0 від 07 січня 2022 року, на основі майстер-версії ФІЗ версія 7.0 від 15 грудня 2021 року, англійською та українською мовами</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762 від 20.04.2021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«Відкрите дослідження 1 фази з оцінки безпечності, фармакокінетики і фармакодинаміки препарату JNJ-64264681 в учасників з неходжкінською лімфомою та хронічним лімфоцитарним лейкозом», 64264681LYM1001, поправка 4 від 18 лютого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«АРЕНСІЯ ЕКСПЛОРАТОРІ МЕДІСІН»,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Янссен-Сілаг Інтернешнл НВ, Бельгія / Janssen-Cilag International NV, Belgium</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F45269">
      <w:pPr>
        <w:rPr>
          <w:lang w:val="uk-UA"/>
        </w:rPr>
      </w:pPr>
      <w:r>
        <w:rPr>
          <w:lang w:val="uk-UA"/>
        </w:rPr>
        <w:lastRenderedPageBreak/>
        <w:t xml:space="preserve">                                                                                                                                                       Додаток </w:t>
      </w:r>
      <w:r>
        <w:rPr>
          <w:lang w:val="en-US"/>
        </w:rPr>
        <w:t>7</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Оновлення Картки учасника дослідження, версія 3.0, від 25 жовтня 2021 українською та від 15 жовтня 2021 російською мовами; Оновлення Брошури для учасника дослідження, версія 3.0, від 25 жовтня 2021 українською та від 15 жовтня 2021 російською мовами; Оновлення Посібника із дослідження, версія 3.0, від 25 жовтня 2021 українською та від 15 жовтня 2021 російською мовами; Оновлення Інструкції щодо процедури отримання інформованої згоди, версія 3.0, від 25 жовтня 2021 українською та від 15 жовтня 2021 російською мовами</w:t>
            </w:r>
            <w:r w:rsidR="009E36A3" w:rsidRPr="009E36A3">
              <w:t xml:space="preserve">; </w:t>
            </w:r>
            <w:r w:rsidR="009E36A3">
              <w:t>Зміна назви місця проведення клінічного випробування</w:t>
            </w:r>
            <w:r w:rsidR="009E36A3" w:rsidRPr="009E36A3">
              <w:t>:</w:t>
            </w:r>
            <w:r>
              <w:rPr>
                <w:rFonts w:cstheme="minorBidi"/>
              </w:rPr>
              <w:t xml:space="preserve"> </w:t>
            </w:r>
          </w:p>
          <w:tbl>
            <w:tblPr>
              <w:tblStyle w:val="a6"/>
              <w:tblW w:w="0" w:type="auto"/>
              <w:tblInd w:w="0" w:type="dxa"/>
              <w:tblLayout w:type="fixed"/>
              <w:tblLook w:val="04A0" w:firstRow="1" w:lastRow="0" w:firstColumn="1" w:lastColumn="0" w:noHBand="0" w:noVBand="1"/>
            </w:tblPr>
            <w:tblGrid>
              <w:gridCol w:w="5019"/>
              <w:gridCol w:w="5020"/>
            </w:tblGrid>
            <w:tr w:rsidR="00E712F6">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E712F6" w:rsidRDefault="00F45269">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E712F6" w:rsidRDefault="00F45269">
                  <w:pPr>
                    <w:jc w:val="center"/>
                    <w:rPr>
                      <w:rFonts w:cstheme="minorBidi"/>
                    </w:rPr>
                  </w:pPr>
                  <w:r>
                    <w:rPr>
                      <w:rFonts w:cstheme="minorBidi"/>
                    </w:rPr>
                    <w:t>Стало</w:t>
                  </w:r>
                </w:p>
              </w:tc>
            </w:tr>
            <w:tr w:rsidR="009E36A3">
              <w:trPr>
                <w:trHeight w:val="352"/>
              </w:trPr>
              <w:tc>
                <w:tcPr>
                  <w:tcW w:w="5019" w:type="dxa"/>
                  <w:tcBorders>
                    <w:top w:val="single" w:sz="4" w:space="0" w:color="auto"/>
                    <w:left w:val="single" w:sz="4" w:space="0" w:color="auto"/>
                    <w:bottom w:val="single" w:sz="4" w:space="0" w:color="auto"/>
                    <w:right w:val="single" w:sz="4" w:space="0" w:color="auto"/>
                  </w:tcBorders>
                  <w:hideMark/>
                </w:tcPr>
                <w:p w:rsidR="009E36A3" w:rsidRPr="009E36A3" w:rsidRDefault="009E36A3" w:rsidP="009E36A3">
                  <w:pPr>
                    <w:pStyle w:val="cs80d9435b"/>
                    <w:rPr>
                      <w:lang w:val="ru-RU"/>
                    </w:rPr>
                  </w:pPr>
                  <w:r w:rsidRPr="009E36A3">
                    <w:rPr>
                      <w:rStyle w:val="cs9f0a40406"/>
                      <w:rFonts w:ascii="Times New Roman" w:hAnsi="Times New Roman" w:cs="Times New Roman"/>
                      <w:sz w:val="24"/>
                      <w:szCs w:val="24"/>
                      <w:lang w:val="ru-RU"/>
                    </w:rPr>
                    <w:t>д.м.н., проф. Пашковський В.М.</w:t>
                  </w:r>
                </w:p>
                <w:p w:rsidR="009E36A3" w:rsidRPr="009E36A3" w:rsidRDefault="009E36A3" w:rsidP="009E36A3">
                  <w:pPr>
                    <w:pStyle w:val="cs80d9435b"/>
                    <w:rPr>
                      <w:lang w:val="ru-RU"/>
                    </w:rPr>
                  </w:pPr>
                  <w:r w:rsidRPr="009E36A3">
                    <w:rPr>
                      <w:rStyle w:val="cs9f0a40406"/>
                      <w:rFonts w:ascii="Times New Roman" w:hAnsi="Times New Roman" w:cs="Times New Roman"/>
                      <w:sz w:val="24"/>
                      <w:szCs w:val="24"/>
                      <w:lang w:val="ru-RU"/>
                    </w:rPr>
                    <w:t>Комунальне некомерційне підприємство «Міська клінічна лікарня №3» Чернівецької міської ради, неврологічне відділення,                  м. Чернівці</w:t>
                  </w:r>
                </w:p>
              </w:tc>
              <w:tc>
                <w:tcPr>
                  <w:tcW w:w="5020" w:type="dxa"/>
                  <w:tcBorders>
                    <w:top w:val="single" w:sz="4" w:space="0" w:color="auto"/>
                    <w:left w:val="single" w:sz="4" w:space="0" w:color="auto"/>
                    <w:bottom w:val="single" w:sz="4" w:space="0" w:color="auto"/>
                    <w:right w:val="single" w:sz="4" w:space="0" w:color="auto"/>
                  </w:tcBorders>
                  <w:hideMark/>
                </w:tcPr>
                <w:p w:rsidR="009E36A3" w:rsidRPr="009E36A3" w:rsidRDefault="009E36A3" w:rsidP="009E36A3">
                  <w:pPr>
                    <w:pStyle w:val="cs80d9435b"/>
                    <w:rPr>
                      <w:lang w:val="ru-RU"/>
                    </w:rPr>
                  </w:pPr>
                  <w:r w:rsidRPr="009E36A3">
                    <w:rPr>
                      <w:rStyle w:val="cs9f0a40406"/>
                      <w:rFonts w:ascii="Times New Roman" w:hAnsi="Times New Roman" w:cs="Times New Roman"/>
                      <w:sz w:val="24"/>
                      <w:szCs w:val="24"/>
                      <w:lang w:val="ru-RU"/>
                    </w:rPr>
                    <w:t>д.м.н., проф. Пашковський В.М.</w:t>
                  </w:r>
                </w:p>
                <w:p w:rsidR="009E36A3" w:rsidRPr="009E36A3" w:rsidRDefault="009E36A3" w:rsidP="009E36A3">
                  <w:pPr>
                    <w:pStyle w:val="cs80d9435b"/>
                    <w:rPr>
                      <w:lang w:val="ru-RU"/>
                    </w:rPr>
                  </w:pPr>
                  <w:r w:rsidRPr="009E36A3">
                    <w:rPr>
                      <w:rStyle w:val="cs9f0a40406"/>
                      <w:rFonts w:ascii="Times New Roman" w:hAnsi="Times New Roman" w:cs="Times New Roman"/>
                      <w:sz w:val="24"/>
                      <w:szCs w:val="24"/>
                      <w:lang w:val="ru-RU"/>
                    </w:rPr>
                    <w:t>Комунальне некомерційне підприємство «Центральна міська клінічна лікарня» Чернівецької міської ради, неврологічне відділення, м. Чернівці</w:t>
                  </w:r>
                </w:p>
              </w:tc>
            </w:tr>
          </w:tbl>
          <w:p w:rsidR="00E712F6" w:rsidRDefault="00E712F6">
            <w:pPr>
              <w:rPr>
                <w:rFonts w:asciiTheme="minorHAnsi" w:hAnsiTheme="minorHAnsi"/>
                <w:sz w:val="22"/>
              </w:rPr>
            </w:pP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2554 від 09.11.2020</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GN41791, версія 4 від 15 вересня 2021 р.</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Товариство з обмеженою відповідальністю «Рош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Ф.Хоффманн-Ля Рош Лтд, Швейцарія</w:t>
            </w:r>
          </w:p>
        </w:tc>
      </w:tr>
    </w:tbl>
    <w:p w:rsidR="003A4BD1" w:rsidRDefault="003A4BD1" w:rsidP="003A4BD1">
      <w:pPr>
        <w:rPr>
          <w:lang w:val="uk-UA"/>
        </w:rPr>
      </w:pPr>
      <w:r>
        <w:br w:type="page"/>
      </w:r>
      <w:r>
        <w:rPr>
          <w:lang w:val="uk-UA"/>
        </w:rPr>
        <w:lastRenderedPageBreak/>
        <w:t xml:space="preserve">                                                                                                           2                                                                       продовження додатка 7</w:t>
      </w:r>
    </w:p>
    <w:p w:rsidR="003A4BD1" w:rsidRDefault="003A4BD1"/>
    <w:tbl>
      <w:tblPr>
        <w:tblStyle w:val="a6"/>
        <w:tblW w:w="0" w:type="auto"/>
        <w:tblInd w:w="0" w:type="dxa"/>
        <w:tblLayout w:type="fixed"/>
        <w:tblLook w:val="04A0" w:firstRow="1" w:lastRow="0" w:firstColumn="1" w:lastColumn="0" w:noHBand="0" w:noVBand="1"/>
      </w:tblPr>
      <w:tblGrid>
        <w:gridCol w:w="2841"/>
        <w:gridCol w:w="10479"/>
      </w:tblGrid>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8</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rsidTr="003A4BD1">
        <w:trPr>
          <w:trHeight w:val="597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rsidP="003A4BD1">
            <w:pPr>
              <w:jc w:val="both"/>
              <w:rPr>
                <w:rFonts w:asciiTheme="minorHAnsi" w:hAnsiTheme="minorHAnsi"/>
                <w:sz w:val="22"/>
              </w:rPr>
            </w:pPr>
            <w:r>
              <w:t xml:space="preserve">Оновлений протокол клінічного випробування 4045-301, протокол з поправкою 11, версія 12, від </w:t>
            </w:r>
            <w:r w:rsidR="009E36A3" w:rsidRPr="009E36A3">
              <w:t xml:space="preserve">             </w:t>
            </w:r>
            <w:r>
              <w:t xml:space="preserve">14 травня 2021 р.; Брошура дослідника (касимерсен) SRP-4045, версія 9.0 від 14 вересня 2021 р.; Брошура дослідника (голодирсен) SRP-4053, версія 11.0 від 29 жовтня 2021 р.; Інформації для пацієнта та форма інформованої згоди для малолітніх дітей віком 6-9 років, для України, версія 9.0 від 03 грудня 2021 р., англійською мовою; Інформації для пацієнта та форма інформованої згоди для малолітніх дітей віком 6-9 років, для України, версія 9.0 від 03 грудня 2021 р., українською мовою; Інформації для пацієнта та форма інформованої згоди для малолітніх дітей віком 6-9 років, для України, версія 9.0 від 03 грудня 2021 р., російською мовою; Інформації для пацієнта та форма інформованої згоди для малолітніх дітей віком 10-13 років, для України, версія 15.0 від 03 грудня 2021 р., англійською мовою; Інформації для пацієнта та форма інформованої згоди для малолітніх дітей віком 10-13 років, для України, версія 15.0 від 03 грудня 2021 р., українською мовою; Інформації для пацієнта та форма інформованої згоди для малолітніх дітей віком 10-13 років, для України, версія 15.0 від 03 грудня 2021 р., російською мовою; Інформації для пацієнта та форма інформованої згоди для неповнолітніх дітей віком 14-18 років, для України, версія 6.0 від 03 грудня 2021 р., англійською мовою; Інформації для пацієнта та форма інформованої згоди для неповнолітніх дітей віком 14-18 років, для України, версія 6.0 від 03 грудня 2021 р., українською мовою; Інформації для пацієнта та форма інформованої згоди для неповнолітніх дітей віком </w:t>
            </w:r>
            <w:r w:rsidR="009E36A3" w:rsidRPr="009E36A3">
              <w:t xml:space="preserve">               </w:t>
            </w:r>
            <w:r>
              <w:t xml:space="preserve">14-18 років, для України, версія 6.0 від 03 грудня 2021 р., російською мовою; Інформації та форма інформованої згоди для батьків учасника дослідження, для України, версія 17.0 від 03 грудня </w:t>
            </w:r>
            <w:r w:rsidR="009E36A3" w:rsidRPr="009E36A3">
              <w:t xml:space="preserve">                </w:t>
            </w:r>
            <w:r>
              <w:t>2021 р., англійською мовою; Інформації та форма інформованої згоди для батьків учасника дослідження, для України, версія 17.0 від 03 грудня 2021 р., українською мовою; Інформації та форма інформованої згоди для батьків учасника дослідження, для України, версія 17.0 від 03 грудня</w:t>
            </w:r>
          </w:p>
        </w:tc>
      </w:tr>
    </w:tbl>
    <w:p w:rsidR="003A4BD1" w:rsidRDefault="003A4BD1" w:rsidP="003A4BD1">
      <w:pPr>
        <w:rPr>
          <w:lang w:val="uk-UA"/>
        </w:rPr>
      </w:pPr>
      <w:r>
        <w:br w:type="page"/>
      </w:r>
      <w:r>
        <w:rPr>
          <w:lang w:val="uk-UA"/>
        </w:rPr>
        <w:lastRenderedPageBreak/>
        <w:t xml:space="preserve">                                                                                                           2                                                                       продовження додатка 8</w:t>
      </w:r>
    </w:p>
    <w:p w:rsidR="003A4BD1" w:rsidRDefault="003A4BD1"/>
    <w:tbl>
      <w:tblPr>
        <w:tblStyle w:val="a6"/>
        <w:tblW w:w="0" w:type="auto"/>
        <w:tblInd w:w="0" w:type="dxa"/>
        <w:tblLayout w:type="fixed"/>
        <w:tblLook w:val="04A0" w:firstRow="1" w:lastRow="0" w:firstColumn="1" w:lastColumn="0" w:noHBand="0" w:noVBand="1"/>
      </w:tblPr>
      <w:tblGrid>
        <w:gridCol w:w="2841"/>
        <w:gridCol w:w="10479"/>
      </w:tblGrid>
      <w:tr w:rsidR="003A4BD1" w:rsidTr="009E36A3">
        <w:trPr>
          <w:trHeight w:val="259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3A4BD1" w:rsidRDefault="003A4BD1" w:rsidP="003A4BD1">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3A4BD1" w:rsidRDefault="003A4BD1" w:rsidP="003A4BD1">
            <w:pPr>
              <w:jc w:val="both"/>
              <w:rPr>
                <w:rFonts w:cstheme="minorBidi"/>
              </w:rPr>
            </w:pPr>
            <w:r>
              <w:t xml:space="preserve"> 2021 р., російською мовою; Зміна назви місця проведення клінічного випробування:</w:t>
            </w:r>
          </w:p>
          <w:tbl>
            <w:tblPr>
              <w:tblStyle w:val="a6"/>
              <w:tblW w:w="0" w:type="auto"/>
              <w:tblInd w:w="0" w:type="dxa"/>
              <w:tblLayout w:type="fixed"/>
              <w:tblLook w:val="04A0" w:firstRow="1" w:lastRow="0" w:firstColumn="1" w:lastColumn="0" w:noHBand="0" w:noVBand="1"/>
            </w:tblPr>
            <w:tblGrid>
              <w:gridCol w:w="5019"/>
              <w:gridCol w:w="5020"/>
            </w:tblGrid>
            <w:tr w:rsidR="003A4BD1">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A4BD1" w:rsidRDefault="003A4BD1">
                  <w:pPr>
                    <w:jc w:val="center"/>
                    <w:rPr>
                      <w:rFonts w:cstheme="minorBidi"/>
                    </w:rPr>
                  </w:pPr>
                  <w:r>
                    <w:rPr>
                      <w:rFonts w:cstheme="minorBidi"/>
                    </w:rPr>
                    <w:t>Було</w:t>
                  </w:r>
                </w:p>
              </w:tc>
              <w:tc>
                <w:tcPr>
                  <w:tcW w:w="5020" w:type="dxa"/>
                  <w:tcBorders>
                    <w:top w:val="single" w:sz="4" w:space="0" w:color="auto"/>
                    <w:left w:val="single" w:sz="4" w:space="0" w:color="auto"/>
                    <w:bottom w:val="single" w:sz="4" w:space="0" w:color="auto"/>
                    <w:right w:val="single" w:sz="4" w:space="0" w:color="auto"/>
                  </w:tcBorders>
                  <w:hideMark/>
                </w:tcPr>
                <w:p w:rsidR="003A4BD1" w:rsidRDefault="003A4BD1">
                  <w:pPr>
                    <w:jc w:val="center"/>
                    <w:rPr>
                      <w:rFonts w:cstheme="minorBidi"/>
                    </w:rPr>
                  </w:pPr>
                  <w:r>
                    <w:rPr>
                      <w:rFonts w:cstheme="minorBidi"/>
                    </w:rPr>
                    <w:t>Стало</w:t>
                  </w:r>
                </w:p>
              </w:tc>
            </w:tr>
            <w:tr w:rsidR="003A4BD1" w:rsidRPr="009E36A3">
              <w:trPr>
                <w:trHeight w:val="352"/>
              </w:trPr>
              <w:tc>
                <w:tcPr>
                  <w:tcW w:w="5019" w:type="dxa"/>
                  <w:tcBorders>
                    <w:top w:val="single" w:sz="4" w:space="0" w:color="auto"/>
                    <w:left w:val="single" w:sz="4" w:space="0" w:color="auto"/>
                    <w:bottom w:val="single" w:sz="4" w:space="0" w:color="auto"/>
                    <w:right w:val="single" w:sz="4" w:space="0" w:color="auto"/>
                  </w:tcBorders>
                  <w:hideMark/>
                </w:tcPr>
                <w:p w:rsidR="003A4BD1" w:rsidRPr="009E36A3" w:rsidRDefault="003A4BD1" w:rsidP="009E36A3">
                  <w:pPr>
                    <w:pStyle w:val="cs80d9435b"/>
                    <w:rPr>
                      <w:lang w:val="ru-RU"/>
                    </w:rPr>
                  </w:pPr>
                  <w:r w:rsidRPr="009E36A3">
                    <w:rPr>
                      <w:rStyle w:val="cs9f0a40407"/>
                      <w:rFonts w:ascii="Times New Roman" w:hAnsi="Times New Roman" w:cs="Times New Roman"/>
                      <w:sz w:val="24"/>
                      <w:szCs w:val="24"/>
                      <w:lang w:val="ru-RU"/>
                    </w:rPr>
                    <w:t xml:space="preserve">д.м.н. Кириченко А.Г. </w:t>
                  </w:r>
                </w:p>
                <w:p w:rsidR="003A4BD1" w:rsidRPr="009E36A3" w:rsidRDefault="003A4BD1" w:rsidP="009E36A3">
                  <w:pPr>
                    <w:pStyle w:val="cs80d9435b"/>
                    <w:rPr>
                      <w:lang w:val="ru-RU"/>
                    </w:rPr>
                  </w:pPr>
                  <w:r w:rsidRPr="009E36A3">
                    <w:rPr>
                      <w:rStyle w:val="cs9f0a40407"/>
                      <w:rFonts w:ascii="Times New Roman" w:hAnsi="Times New Roman" w:cs="Times New Roman"/>
                      <w:sz w:val="24"/>
                      <w:szCs w:val="24"/>
                      <w:lang w:val="ru-RU"/>
                    </w:rPr>
                    <w:t>Комунальне підприємство «Дніпропетровська обласна дитяча клінічна лікарня» Дніпропетровської обласної ради»</w:t>
                  </w:r>
                  <w:r w:rsidRPr="009E36A3">
                    <w:rPr>
                      <w:rStyle w:val="cs9b006268"/>
                      <w:rFonts w:ascii="Times New Roman" w:hAnsi="Times New Roman" w:cs="Times New Roman"/>
                      <w:b w:val="0"/>
                      <w:sz w:val="24"/>
                      <w:szCs w:val="24"/>
                      <w:lang w:val="ru-RU"/>
                    </w:rPr>
                    <w:t>, невролого-нейрохірургічне відділення,</w:t>
                  </w:r>
                  <w:r w:rsidRPr="009E36A3">
                    <w:rPr>
                      <w:rStyle w:val="cs9b006268"/>
                      <w:rFonts w:ascii="Times New Roman" w:hAnsi="Times New Roman" w:cs="Times New Roman"/>
                      <w:sz w:val="24"/>
                      <w:szCs w:val="24"/>
                      <w:lang w:val="ru-RU"/>
                    </w:rPr>
                    <w:t xml:space="preserve"> </w:t>
                  </w:r>
                  <w:r w:rsidRPr="009E36A3">
                    <w:rPr>
                      <w:rStyle w:val="cs9f0a40407"/>
                      <w:rFonts w:ascii="Times New Roman" w:hAnsi="Times New Roman" w:cs="Times New Roman"/>
                      <w:sz w:val="24"/>
                      <w:szCs w:val="24"/>
                      <w:lang w:val="ru-RU"/>
                    </w:rPr>
                    <w:t>м. Дніпро</w:t>
                  </w:r>
                </w:p>
              </w:tc>
              <w:tc>
                <w:tcPr>
                  <w:tcW w:w="5020" w:type="dxa"/>
                  <w:tcBorders>
                    <w:top w:val="single" w:sz="4" w:space="0" w:color="auto"/>
                    <w:left w:val="single" w:sz="4" w:space="0" w:color="auto"/>
                    <w:bottom w:val="single" w:sz="4" w:space="0" w:color="auto"/>
                    <w:right w:val="single" w:sz="4" w:space="0" w:color="auto"/>
                  </w:tcBorders>
                  <w:hideMark/>
                </w:tcPr>
                <w:p w:rsidR="003A4BD1" w:rsidRPr="009E36A3" w:rsidRDefault="003A4BD1" w:rsidP="009E36A3">
                  <w:pPr>
                    <w:pStyle w:val="csf06cd379"/>
                    <w:rPr>
                      <w:lang w:val="ru-RU"/>
                    </w:rPr>
                  </w:pPr>
                  <w:r w:rsidRPr="009E36A3">
                    <w:rPr>
                      <w:rStyle w:val="cs9f0a40407"/>
                      <w:rFonts w:ascii="Times New Roman" w:hAnsi="Times New Roman" w:cs="Times New Roman"/>
                      <w:sz w:val="24"/>
                      <w:szCs w:val="24"/>
                      <w:lang w:val="ru-RU"/>
                    </w:rPr>
                    <w:t xml:space="preserve">д.м.н. Кириченко А.Г. </w:t>
                  </w:r>
                </w:p>
                <w:p w:rsidR="003A4BD1" w:rsidRPr="009E36A3" w:rsidRDefault="003A4BD1" w:rsidP="009E36A3">
                  <w:pPr>
                    <w:pStyle w:val="cs80d9435b"/>
                    <w:rPr>
                      <w:lang w:val="ru-RU"/>
                    </w:rPr>
                  </w:pPr>
                  <w:r w:rsidRPr="009E36A3">
                    <w:rPr>
                      <w:rStyle w:val="cs9f0a40407"/>
                      <w:rFonts w:ascii="Times New Roman" w:hAnsi="Times New Roman" w:cs="Times New Roman"/>
                      <w:sz w:val="24"/>
                      <w:szCs w:val="24"/>
                      <w:lang w:val="ru-RU"/>
                    </w:rPr>
                    <w:t>Комунальне підприємство «Дніпропетровська обласна дитяча клінічна лікарня» Дніпропетровської обласної ради»,</w:t>
                  </w:r>
                  <w:r w:rsidRPr="009E36A3">
                    <w:rPr>
                      <w:rStyle w:val="cs9b006268"/>
                      <w:rFonts w:ascii="Times New Roman" w:hAnsi="Times New Roman" w:cs="Times New Roman"/>
                      <w:sz w:val="24"/>
                      <w:szCs w:val="24"/>
                      <w:lang w:val="ru-RU"/>
                    </w:rPr>
                    <w:t xml:space="preserve"> </w:t>
                  </w:r>
                  <w:r w:rsidRPr="009E36A3">
                    <w:rPr>
                      <w:rStyle w:val="cs9b006268"/>
                      <w:rFonts w:ascii="Times New Roman" w:hAnsi="Times New Roman" w:cs="Times New Roman"/>
                      <w:b w:val="0"/>
                      <w:sz w:val="24"/>
                      <w:szCs w:val="24"/>
                      <w:lang w:val="ru-RU"/>
                    </w:rPr>
                    <w:t>нейрохірургічне відділення з неврологічними ліжками,</w:t>
                  </w:r>
                  <w:r w:rsidRPr="009E36A3">
                    <w:rPr>
                      <w:rStyle w:val="cs9b006268"/>
                      <w:rFonts w:ascii="Times New Roman" w:hAnsi="Times New Roman" w:cs="Times New Roman"/>
                      <w:sz w:val="24"/>
                      <w:szCs w:val="24"/>
                      <w:lang w:val="ru-RU"/>
                    </w:rPr>
                    <w:t xml:space="preserve"> </w:t>
                  </w:r>
                  <w:r w:rsidRPr="009E36A3">
                    <w:rPr>
                      <w:rStyle w:val="cs9f0a40407"/>
                      <w:rFonts w:ascii="Times New Roman" w:hAnsi="Times New Roman" w:cs="Times New Roman"/>
                      <w:sz w:val="24"/>
                      <w:szCs w:val="24"/>
                      <w:lang w:val="ru-RU"/>
                    </w:rPr>
                    <w:t>м. Дніпро</w:t>
                  </w:r>
                </w:p>
              </w:tc>
            </w:tr>
          </w:tbl>
          <w:p w:rsidR="003A4BD1" w:rsidRDefault="003A4BD1" w:rsidP="003A4BD1"/>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2814 від 17.12.2021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«Подвійне сліпе, плацебо-контрольоване, багатоцентрове дослідження з відкритим розширеним періодом дослідження для оцінки ефективності та безпеки SRP-4045 і SRP-4053 у пацієнтів з м'язовою дистрофією Дюшенна», 4045-301, протокол з поправкою 10, версія 11, від 03 березня </w:t>
            </w:r>
            <w:r w:rsidR="009E36A3">
              <w:rPr>
                <w:lang w:val="en-US"/>
              </w:rPr>
              <w:t xml:space="preserve">               </w:t>
            </w:r>
            <w:r>
              <w:t xml:space="preserve">2020 р. </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«СанаКліс»,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Sarepta Therapeutics, Inc., USA</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9</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 xml:space="preserve">Оновлені розділи досьє досліджуваного лікарського засобу LY3484356 від лютого 2022: </w:t>
            </w:r>
            <w:r w:rsidR="009E36A3" w:rsidRPr="009E36A3">
              <w:t xml:space="preserve">                           </w:t>
            </w:r>
            <w:r>
              <w:t>P.8 Стабільність (LY3484356 T1 Tablets); P.3: Виробництво (LY3484356 T1 Tablets), англійською мовою; Подовження терміну придатності досліджуваного лікарського засобу LY3484356 – 200 мг, таблетки, вкриті плівковою оболонкою для перорального застосування, до 30 місяців; Залучення додаткового виробника досліджуваного лікарського засобу LY3484356 (LY3484356; LY3484356, LY3484356 tosylate, LY3484356 T1 Tablets; LY3484356, LY3484356 tosylate) таблетки, вкриті плівковою оболонкою; 200 мг для перорального застосування: «Patheon Inc.», Canada</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1326 від 02.07.2021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«EMBER-3: Рандомізоване, відкрите дослідження III фази для порівняння лікування препаратом LY3484356 та лікування ендокринною терапією за вибором дослідника у пацієнтів з місцево-поширеним або метастатичним раком молочної залози з позитивним статусом рецепторів естрогену та негативним статусом HER2, які раніше</w:t>
            </w:r>
            <w:r w:rsidR="009E36A3">
              <w:t xml:space="preserve"> отримували ендокринну терапію»</w:t>
            </w:r>
            <w:r>
              <w:t>, J2J-OX-JZLC, версія 1.0 від 15 березня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«Елі Ліллі Восток СА», Швейцарія </w:t>
            </w:r>
          </w:p>
        </w:tc>
      </w:tr>
      <w:tr w:rsidR="00E712F6" w:rsidRPr="0080690F">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Pr="009074B3" w:rsidRDefault="00F45269">
            <w:pPr>
              <w:jc w:val="both"/>
            </w:pPr>
            <w:r>
              <w:t>Елі</w:t>
            </w:r>
            <w:r w:rsidRPr="009074B3">
              <w:t xml:space="preserve"> </w:t>
            </w:r>
            <w:r>
              <w:t>Ліллі</w:t>
            </w:r>
            <w:r w:rsidRPr="009074B3">
              <w:t xml:space="preserve"> </w:t>
            </w:r>
            <w:r>
              <w:t>енд</w:t>
            </w:r>
            <w:r w:rsidRPr="009074B3">
              <w:t xml:space="preserve"> </w:t>
            </w:r>
            <w:r>
              <w:t>Компані</w:t>
            </w:r>
            <w:r w:rsidRPr="009074B3">
              <w:t xml:space="preserve">, </w:t>
            </w:r>
            <w:r>
              <w:t>США</w:t>
            </w:r>
            <w:r w:rsidRPr="009074B3">
              <w:t xml:space="preserve"> / </w:t>
            </w:r>
            <w:r w:rsidRPr="009E36A3">
              <w:rPr>
                <w:lang w:val="en-US"/>
              </w:rPr>
              <w:t>Eli</w:t>
            </w:r>
            <w:r w:rsidRPr="009074B3">
              <w:t xml:space="preserve"> </w:t>
            </w:r>
            <w:r w:rsidRPr="009E36A3">
              <w:rPr>
                <w:lang w:val="en-US"/>
              </w:rPr>
              <w:t>Lilly</w:t>
            </w:r>
            <w:r w:rsidRPr="009074B3">
              <w:t xml:space="preserve"> </w:t>
            </w:r>
            <w:r w:rsidRPr="009E36A3">
              <w:rPr>
                <w:lang w:val="en-US"/>
              </w:rPr>
              <w:t>and</w:t>
            </w:r>
            <w:r w:rsidRPr="009074B3">
              <w:t xml:space="preserve"> </w:t>
            </w:r>
            <w:r w:rsidRPr="009E36A3">
              <w:rPr>
                <w:lang w:val="en-US"/>
              </w:rPr>
              <w:t>Company</w:t>
            </w:r>
            <w:r w:rsidRPr="009074B3">
              <w:t xml:space="preserve">, </w:t>
            </w:r>
            <w:r w:rsidRPr="009E36A3">
              <w:rPr>
                <w:lang w:val="en-US"/>
              </w:rPr>
              <w:t>USA</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10</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Pr="009E36A3" w:rsidRDefault="00F45269">
            <w:pPr>
              <w:jc w:val="both"/>
            </w:pPr>
            <w:r>
              <w:t>Оновлений протокол клінічного дослідження D9102C00001, версія 5.0 ві</w:t>
            </w:r>
            <w:r w:rsidR="009E36A3">
              <w:t>д 09 грудня 2021 року;</w:t>
            </w:r>
            <w:r w:rsidR="009E36A3" w:rsidRPr="009E36A3">
              <w:t xml:space="preserve"> </w:t>
            </w:r>
            <w:r w:rsidR="009E36A3">
              <w:t xml:space="preserve">Оновлені </w:t>
            </w:r>
            <w:r>
              <w:t>рекомендації</w:t>
            </w:r>
            <w:r w:rsidR="009E36A3">
              <w:t xml:space="preserve"> </w:t>
            </w:r>
            <w:r>
              <w:t>щодо усунення токсичності для Дурвалумабу та Тремелімумабу, версія від 28 жовтня 2021 р.;</w:t>
            </w:r>
            <w:r w:rsidR="009E36A3" w:rsidRPr="009E36A3">
              <w:t xml:space="preserve"> </w:t>
            </w:r>
            <w:r>
              <w:t>Оновлена брошура дослідника на досліджуваний лікарський засіб Дурвалумаб (MEDI4736) видання 17 від 18 жовтня 2021 року; Оновлене досьє досліджуваного лікарського засобу MEDI4736 (Дурвалумаб) від червня 2021 року; Залучення додаткових виробничих ділянок для досліджуваного препарату Дурвалумаб 50 мг/мл концентрат для розчину для інфузій: AstraZeneca AB (Sweden; BioManufacturing Center, Byggnad B921, Gärtunavägen, Södertälje, 151 85, Sweden), Швеція; AstraZeneca AB (Forskargatan 18, SE-151 85 Södertälje), Швеція; Інформація про дослідження та Форма інформованої згоди для дорослих, версія 8.0 від 03 лютого 2022 року англійською мовою; Інформація про дослідження та Форма</w:t>
            </w:r>
            <w:r w:rsidR="009E36A3" w:rsidRPr="009E36A3">
              <w:t xml:space="preserve"> </w:t>
            </w:r>
            <w:r>
              <w:t>інформованої згоди для дорослих, версія 8.0 від 03 лютого 2022 року. Перекладено українською мовою для України 18</w:t>
            </w:r>
            <w:r w:rsidR="009E36A3" w:rsidRPr="009E36A3">
              <w:t xml:space="preserve"> </w:t>
            </w:r>
            <w:r>
              <w:t>лютого 2022 р.; Інформація про дослідження та Форма інформованої згоди для дорослих, версія 8.0 від 03 лютого 2022 року. Перекладено на російську мову для України 18 лютого 2022 р.; Картка пацієнта про розсліплене клінічне дослідження, версія 1.0 від 28 лютого 2022 року українською мовою; Картка пацієнта про розсліплене клінічне дослідження, версія 1.0 від 28 лютого 2022 року російською мовою</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727 від 04.04.2019</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«Рандомізоване, багатоцентрове, подвійно сліпе,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 які отримували терапію першої лінії, в яких хвороба не прогресувала після стандартної хіміотерапії препаратом платини з дурвалумабом (дослідження ORION)», D9102C00001, версія 4.0 від 14 липня 2020 року</w:t>
            </w:r>
          </w:p>
        </w:tc>
      </w:tr>
    </w:tbl>
    <w:p w:rsidR="003A4BD1" w:rsidRDefault="003A4BD1" w:rsidP="003A4BD1">
      <w:pPr>
        <w:rPr>
          <w:lang w:val="uk-UA"/>
        </w:rPr>
      </w:pPr>
      <w:r>
        <w:br w:type="page"/>
      </w:r>
      <w:r>
        <w:rPr>
          <w:lang w:val="uk-UA"/>
        </w:rPr>
        <w:lastRenderedPageBreak/>
        <w:t xml:space="preserve">                                                                                                           2                                                                       продовження додатка 10</w:t>
      </w:r>
    </w:p>
    <w:p w:rsidR="003A4BD1" w:rsidRDefault="003A4BD1"/>
    <w:tbl>
      <w:tblPr>
        <w:tblStyle w:val="a6"/>
        <w:tblW w:w="0" w:type="auto"/>
        <w:tblInd w:w="0" w:type="dxa"/>
        <w:tblLayout w:type="fixed"/>
        <w:tblLook w:val="04A0" w:firstRow="1" w:lastRow="0" w:firstColumn="1" w:lastColumn="0" w:noHBand="0" w:noVBand="1"/>
      </w:tblPr>
      <w:tblGrid>
        <w:gridCol w:w="2841"/>
        <w:gridCol w:w="10479"/>
      </w:tblGrid>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Товариство з обмеженою відповідальністю «ЛАБКОРП КЛІНІКАЛ ДЕВЕЛОПМЕНТ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AstraZeneca AB, Швеція </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11</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Досьє досліджуваного лікарського засобу CT-P42 (афліберсепт), версія 3.1 від 11 люто</w:t>
            </w:r>
            <w:r w:rsidR="00C95A54">
              <w:t xml:space="preserve">го 2022 р.; Подовження терміну </w:t>
            </w:r>
            <w:r>
              <w:t>придатності досліджуваного лікарського засобу CT-P42 (афліберсепт) з 12 до 18 місяців</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762 від 20.04.2021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CT-P42 у порівнянні з препаратом Айлія у пацієнтів з діабетичним макулярним набряком», CT-P42 3.1, версія 2.0 від </w:t>
            </w:r>
            <w:r w:rsidR="00C95A54" w:rsidRPr="00C95A54">
              <w:t xml:space="preserve">                 </w:t>
            </w:r>
            <w:r>
              <w:t>06 травня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«Сінеос Хелс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«Селлтріон, Інк.» (Celltrion, Inc.), Республіка Корея</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12</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Досьє досліджуваного лікарського засобу DMB-3115, версія 4.0 від січня 2022 року, англійською мовою; Скорочення терміну придатності ДЛЗ DMB-3115 з 36 до 30 місяців; Залучення додаткової виробничої дільниці для досліджуваного лікарського засобу DMB-3115, розчин для ін’єкцій у попередньо заповненому шприці (90 мг/1,0 мл та 45 мг/0,5 мл), та досліджуваного лікарського засобу порівняння Стелара®, розчин для ін’єкцій у попередньо заповненому шприці (90 мг/1,0 мл та 45 мг/0,5 мл), Alcura Health España, Іспанія</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1586 від 29.07.2021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DMB-3115 для підшкірного введення та препарату Стелара® виробництва ЄС у пацієнтів із хронічним бляшковим псоріазом середнього або тяжкого ступеня», DMB-3115-2, з інкорпорованою поправкою 01 від 04 червня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Підприємство з 100% іноземною інвестицією «АЙК’ЮВІА РДС Україна»</w:t>
            </w:r>
          </w:p>
        </w:tc>
      </w:tr>
      <w:tr w:rsidR="00E712F6" w:rsidRPr="0052591D">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Pr="009E36A3" w:rsidRDefault="00F45269">
            <w:pPr>
              <w:jc w:val="both"/>
              <w:rPr>
                <w:lang w:val="en-US"/>
              </w:rPr>
            </w:pPr>
            <w:r w:rsidRPr="009E36A3">
              <w:rPr>
                <w:lang w:val="en-US"/>
              </w:rPr>
              <w:t>Dong-A ST Co. Ltd., Republic of Korea</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13</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Брошура дослідника Ралінепаг (APD811), версія 11 від 13 січня 2022 року, англійською мовою</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636 від 22.03.2019</w:t>
            </w:r>
          </w:p>
          <w:p w:rsidR="00C95A54" w:rsidRDefault="00C95A54">
            <w:pPr>
              <w:jc w:val="both"/>
            </w:pPr>
            <w:r>
              <w:t>№ 636 від 22.03.2019</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C95A54" w:rsidRDefault="00F45269">
            <w:pPr>
              <w:jc w:val="both"/>
            </w:pPr>
            <w:r>
              <w:t xml:space="preserve">«ADVANCE EXTENSION відкрите розширене дослідження з оцінки довгострокової ефективності та безпечності ралінепагу в пацієнтів із легеневою артеріальною гіпертензією», ROR-PH-303 (APD811-303), з інкорпорованою поправкою 3 від 28 червня 2019 року; </w:t>
            </w:r>
          </w:p>
          <w:p w:rsidR="00E712F6" w:rsidRDefault="00F45269">
            <w:pPr>
              <w:jc w:val="both"/>
            </w:pPr>
            <w:r>
              <w:t>«ADVANCE OUTCOMES дослідження ефективності та безпечності ралінепагу, спрямоване на поліпшення результатів лікування пацієнтів із легеневою артеріальною гіпертензією», ROR-PH-301 (APD811-301), з інкорпорованою поправкою 4 від 25 червня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Підприємство з 100% іноземною інвестицією «АЙК’ЮВІА РДС Україна»</w:t>
            </w:r>
          </w:p>
        </w:tc>
      </w:tr>
      <w:tr w:rsidR="00E712F6" w:rsidRPr="0052591D">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Pr="009E36A3" w:rsidRDefault="00F45269">
            <w:pPr>
              <w:jc w:val="both"/>
              <w:rPr>
                <w:lang w:val="en-US"/>
              </w:rPr>
            </w:pPr>
            <w:r w:rsidRPr="009E36A3">
              <w:rPr>
                <w:lang w:val="en-US"/>
              </w:rPr>
              <w:t>«</w:t>
            </w:r>
            <w:r>
              <w:t>Юнайтед</w:t>
            </w:r>
            <w:r w:rsidRPr="009E36A3">
              <w:rPr>
                <w:lang w:val="en-US"/>
              </w:rPr>
              <w:t xml:space="preserve"> </w:t>
            </w:r>
            <w:r>
              <w:t>Терап</w:t>
            </w:r>
            <w:r w:rsidRPr="009E36A3">
              <w:rPr>
                <w:lang w:val="en-US"/>
              </w:rPr>
              <w:t>’</w:t>
            </w:r>
            <w:r>
              <w:t>ютікс</w:t>
            </w:r>
            <w:r w:rsidRPr="009E36A3">
              <w:rPr>
                <w:lang w:val="en-US"/>
              </w:rPr>
              <w:t xml:space="preserve"> </w:t>
            </w:r>
            <w:r>
              <w:t>Корпорейшн</w:t>
            </w:r>
            <w:r w:rsidRPr="009E36A3">
              <w:rPr>
                <w:lang w:val="en-US"/>
              </w:rPr>
              <w:t>» (United Therapeutics Corporation), United States</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F45269">
      <w:pPr>
        <w:rPr>
          <w:lang w:val="uk-UA"/>
        </w:rPr>
      </w:pPr>
      <w:r>
        <w:rPr>
          <w:lang w:val="uk-UA"/>
        </w:rPr>
        <w:lastRenderedPageBreak/>
        <w:t xml:space="preserve">                                                                                                                                                       Додаток </w:t>
      </w:r>
      <w:r>
        <w:rPr>
          <w:lang w:val="en-US"/>
        </w:rPr>
        <w:t>14</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Повідомлення пацієнтам щодо кол-центру для України для досліджень: evolutionRMS_MS200527-0080 та MS200527-0082, версія 1.1 від 21 березня 2022 року англійською мовою та переклад українською та російською мовами від 22 березня 2022 року; Веб-сторінка щодо кол-центру для пацієнтів для України для досліджень: evolutionRMS_MS200527-0080 та MS200527-0082 українською мовою, версія білінгвального документу 1.0 від 21 березня 2022 року, англійською та українською мовами; Веб-сторінка щодо кол-центру для пацієнтів для України для досліджень: evolutionRMS_MS200527-0080 та MS200527-0082 російською мовою, версія білінгвального документу 1.0 від 21 березня 2022 року, англійською та російською мовами; Зразок маркування препарату Квестран (Холестирамін) для картонної коробки, що містить 50 пакетиків по 4г., порошок для перорального застосування, версія 3.0 від 30 грудня 2021 року, українською мовою; Пам’ятка щодо закресленого номеру телефону на етикетці для холестираміну від 18 січня 2022 року, англійською мовою; Переклад українською мовою від 03 березня 2022 року Пам’ятки щодо закресленого номеру телефону на етикетці для холестираміну від 18 січня 2022 року; Основна Інструкція з вторинного пакування комерційного препарату Квестран (Холестирамін), видання 1 від 01 грудня 2021 року, англійською мовою</w:t>
            </w:r>
            <w:r>
              <w:rPr>
                <w:rFonts w:cstheme="minorBidi"/>
              </w:rPr>
              <w:t xml:space="preserve"> </w:t>
            </w:r>
          </w:p>
        </w:tc>
      </w:tr>
      <w:tr w:rsidR="00E712F6" w:rsidTr="0080690F">
        <w:trPr>
          <w:trHeight w:val="78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1924 від 21.08.2020</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MS200527_0080, версія 3.0 від 19 травня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Підприємство з 100% іноземною інвестицією «АЙК’ЮВІА РДС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Merck Healthcare KGaA, Німеччина</w:t>
            </w:r>
          </w:p>
        </w:tc>
      </w:tr>
    </w:tbl>
    <w:p w:rsidR="003A4BD1" w:rsidRDefault="003A4BD1" w:rsidP="003A4BD1">
      <w:pPr>
        <w:rPr>
          <w:lang w:val="uk-UA"/>
        </w:rPr>
      </w:pPr>
      <w:r>
        <w:br w:type="page"/>
      </w:r>
      <w:r>
        <w:rPr>
          <w:lang w:val="uk-UA"/>
        </w:rPr>
        <w:lastRenderedPageBreak/>
        <w:t xml:space="preserve">                                                                                                           2                                                                       продовження додатка 14</w:t>
      </w:r>
    </w:p>
    <w:p w:rsidR="003A4BD1" w:rsidRDefault="003A4BD1"/>
    <w:tbl>
      <w:tblPr>
        <w:tblStyle w:val="a6"/>
        <w:tblW w:w="0" w:type="auto"/>
        <w:tblInd w:w="0" w:type="dxa"/>
        <w:tblLayout w:type="fixed"/>
        <w:tblLook w:val="04A0" w:firstRow="1" w:lastRow="0" w:firstColumn="1" w:lastColumn="0" w:noHBand="0" w:noVBand="1"/>
      </w:tblPr>
      <w:tblGrid>
        <w:gridCol w:w="2841"/>
        <w:gridCol w:w="10479"/>
      </w:tblGrid>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15</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Оновлений протокол клінічного дослідження CT-P42 3.1, версія 3.0 від 14 січня 2022 р.; CT-P42 3.1 Основна форма інформованої згоди для України, версія 3.1.0 від 25 січня 2022 р., англійською мовою; CT-P42 3.1 Основна форма інформованої згоди для України, версія 3.1.0 від 25 січня 2022 р., українською мовою; CT-P42 3.1 Основна форма інформованої згоди для України, версія 3.1.0 від 25 січня 2022 р., російською мовою; C</w:t>
            </w:r>
            <w:r w:rsidR="00C95A54">
              <w:t xml:space="preserve">T-P42 3.1 Форма інформованої </w:t>
            </w:r>
            <w:r>
              <w:t xml:space="preserve">згоди на участь у фармакокінетичному додатковому дослідженні для України, версія 3.1.0 від 25 січня 2022 р., англійською мовою; CT-P42 3.1 Форма інформованої згоди на участь у фармакокінетичному додатковому дослідженні для України, версія 3.1.0 від 25 січня 2022 р., українською мовою; </w:t>
            </w:r>
            <w:r w:rsidR="00C95A54" w:rsidRPr="00C95A54">
              <w:t xml:space="preserve">            </w:t>
            </w:r>
            <w:r>
              <w:t>CT-P42 3.1 Форма інформованої згоди на участь у фармакокінетичному додатковому дослідженні для України, версія 3.1.0 від 25 січня 2022 р., російською мовою; Збільшення кількості пацієнтів в Україні з 25 до 50 осіб; Можливість тимчасового використання локальних лабораторій замість центральної лабораторії на час військових дій в Україні</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762 від 20.04.2021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«Рандомізоване, контрольоване за активним препаратом, подвійне масковане дослідження фази 3 в паралельних групах з оцінки ефективності та безпечності препарату CT-P42 у порівнянні з препаратом Айлія у пацієнтів з діабетичним макулярним набряком», CT-P42 3.1, версія 2.0 від </w:t>
            </w:r>
            <w:r w:rsidR="00C95A54" w:rsidRPr="00C95A54">
              <w:t xml:space="preserve">               </w:t>
            </w:r>
            <w:r>
              <w:t>06 травня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«Сінеос Хелс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«Селлтріон, Інк.» (Celltrion, Inc.), Республіка Корея</w:t>
            </w:r>
          </w:p>
        </w:tc>
      </w:tr>
    </w:tbl>
    <w:p w:rsidR="003A4BD1" w:rsidRDefault="003A4BD1" w:rsidP="003A4BD1">
      <w:pPr>
        <w:rPr>
          <w:lang w:val="uk-UA"/>
        </w:rPr>
      </w:pPr>
      <w:r>
        <w:br w:type="page"/>
      </w:r>
      <w:r>
        <w:rPr>
          <w:lang w:val="uk-UA"/>
        </w:rPr>
        <w:lastRenderedPageBreak/>
        <w:t xml:space="preserve">                                                                                                           2                                                                       продовження додатка 15</w:t>
      </w:r>
    </w:p>
    <w:p w:rsidR="003A4BD1" w:rsidRDefault="003A4BD1"/>
    <w:tbl>
      <w:tblPr>
        <w:tblStyle w:val="a6"/>
        <w:tblW w:w="0" w:type="auto"/>
        <w:tblInd w:w="0" w:type="dxa"/>
        <w:tblLayout w:type="fixed"/>
        <w:tblLook w:val="04A0" w:firstRow="1" w:lastRow="0" w:firstColumn="1" w:lastColumn="0" w:noHBand="0" w:noVBand="1"/>
      </w:tblPr>
      <w:tblGrid>
        <w:gridCol w:w="2841"/>
        <w:gridCol w:w="10479"/>
      </w:tblGrid>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F45269">
      <w:pPr>
        <w:rPr>
          <w:lang w:val="uk-UA"/>
        </w:rPr>
      </w:pPr>
      <w:r>
        <w:rPr>
          <w:lang w:val="uk-UA"/>
        </w:rPr>
        <w:lastRenderedPageBreak/>
        <w:t xml:space="preserve">                                                                                                                                                       Додаток </w:t>
      </w:r>
      <w:r>
        <w:rPr>
          <w:lang w:val="en-US"/>
        </w:rPr>
        <w:t>16</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Повідомлення пацієнтам щодо кол-центру для України для досліджень: evolutionRMS_MS200527-0080 та MS200527-0082, версія 1.1 від 21 березня 2022 року англійською мовою та переклад українською та російською мовами від 22 березня 2022 року; Веб-сторінка щодо кол-центру для пацієнтів для України для досліджень: evolutionRMS_MS200527-0080 та MS200527-0082 українською мовою, версія білінгвального документу 1.0 від 21 березня 2022 року, англійською та українською мовами; Веб-сторінка щодо кол-центру для пацієнтів для України для досліджень: evolutionRMS_MS200527-0080 та MS200527-0082 російською мовою, версія білінгвального документу 1.0 від 21 березня 2022 року, англійською та російською мовами; Зразок маркування препарату Квестран (Холестирамін) для картонної коробки, що містить 50 пакетиків по 4г., порошок для перорального застосування, версія 3.0 від 30 грудня 2021 року, українською мовою; Пам’ятка щодо закресленого номеру телефону на етикетці для холестираміну від 18 січня 2022 року, англійською мовою; Переклад українською мовою від 03 березня 2022 року Пам’ятки щодо закресленого номеру телефону на етикетці для холестираміну від 18 січня 2022 року; Основна Інструкція з вторинного пакування комерційного препарату Квестран (Холестирамін), видання 1 від 01 грудня 2021 року, англійською мовою</w:t>
            </w:r>
            <w:r>
              <w:rPr>
                <w:rFonts w:cstheme="minorBidi"/>
              </w:rPr>
              <w:t xml:space="preserve"> </w:t>
            </w:r>
          </w:p>
        </w:tc>
      </w:tr>
      <w:tr w:rsidR="00E712F6" w:rsidTr="0080690F">
        <w:trPr>
          <w:trHeight w:val="78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1924 від 21.08.2020</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MS200527_0082, версія 3.0 від 19 травня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Підприємство з 100% іноземною інвестицією «АЙК’ЮВІА РДС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Merck Healthcare KGaA, Німеччина</w:t>
            </w:r>
          </w:p>
        </w:tc>
      </w:tr>
    </w:tbl>
    <w:p w:rsidR="003A4BD1" w:rsidRDefault="003A4BD1" w:rsidP="003A4BD1">
      <w:pPr>
        <w:rPr>
          <w:lang w:val="uk-UA"/>
        </w:rPr>
      </w:pPr>
      <w:r>
        <w:br w:type="page"/>
      </w:r>
      <w:r>
        <w:rPr>
          <w:lang w:val="uk-UA"/>
        </w:rPr>
        <w:lastRenderedPageBreak/>
        <w:t xml:space="preserve">                                                                                                           2                                                                       продовження додатка 16</w:t>
      </w:r>
    </w:p>
    <w:p w:rsidR="003A4BD1" w:rsidRDefault="003A4BD1"/>
    <w:tbl>
      <w:tblPr>
        <w:tblStyle w:val="a6"/>
        <w:tblW w:w="0" w:type="auto"/>
        <w:tblInd w:w="0" w:type="dxa"/>
        <w:tblLayout w:type="fixed"/>
        <w:tblLook w:val="04A0" w:firstRow="1" w:lastRow="0" w:firstColumn="1" w:lastColumn="0" w:noHBand="0" w:noVBand="1"/>
      </w:tblPr>
      <w:tblGrid>
        <w:gridCol w:w="2841"/>
        <w:gridCol w:w="10479"/>
      </w:tblGrid>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17</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 xml:space="preserve">Брошура дослідника Олапариб (Olaparib) (AZD2281, KU-0059436), видання 21 від 31 січня </w:t>
            </w:r>
            <w:r w:rsidR="00C95A54" w:rsidRPr="00C95A54">
              <w:t xml:space="preserve">                    </w:t>
            </w:r>
            <w:r>
              <w:t>2022 року, англійською мовою; Зменшення запланованої кількості досліджуваних з 110 до 107 залучених пацієнтів в Україні; Україна, MK-7339-001/ENGOT-ov43/GOG-3036, Інформація та документ про інформовану згоду для пацієнта, версія 2.01 від 23 березня 2022 р. українською та російською мовами</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636 від 22.03.2019</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«Рандомізоване, подвійне сліпе дослідження ІІІ фази проведення хіміотерапії з або без пембролізумабу з подальшим підтримуючим лікуванням олапарибом або плацебо для терапії першої лінії у пацієнтів з розповсюдженим епітеліальним раком яєчників (ЕРЯ) без мутацій у гені BRCA (KEYLYNK-001 / ENGOT-ov43/GOG-3036)», MK-7339-001/ENGOT-ov43/GOG-3036, </w:t>
            </w:r>
            <w:r w:rsidR="00C95A54" w:rsidRPr="00C95A54">
              <w:t xml:space="preserve">                                      </w:t>
            </w:r>
            <w:r>
              <w:t>з інкорпорованою поправкою 03 від 12 березня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Товариство з обмеженою відповідальністю «МСД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«Мерк Шарп Енд Доум Корп.», дочірнє підприємство «Мерк Енд Ко., Інк.», США (Merck Sharp &amp; Dohme Corp., a subsidiary of Merck &amp; Co., Inc., USA) </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18</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52591D">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Оновлений протокол клінічного дослідження BL006, редакція 2.0 від 20 грудня 2021 р.; Синопсис оновленого протоколу клінічного дослідження BL006, редакція 2.0 від 20 грудня 2021 р., остаточний переклад з англійської мови на українську мову від 16 лютого 2022 р.; Інформація для пацієнта та форма інформованої згоди, остаточна редакція 2.0 для України від 17 лютого 2022 р., остаточний переклад з англійської на українську мову від 04 квітня 2022 р., остаточний переклад з англійської на російську мову від 04 квітня 2022 р.</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762 від 20.04.2021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«Відкрите рандомізоване контрольоване дослідження з метою оцінки ефективності та безпечності препарату UGN-102, а також стійкості відповіді на терапію препаратом у поєднанні з трансуретральною резекцією сечового міхура чи без неї в пацієнтів із м’язово-неінвазивним раком сечового міхура низького ступеня злоякісності з групи проміжного ризику (кодове позначення дослідження: ATLAS)», BL006, редакція 1.1 від 16 вересня 2020 р.</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ТОВАРИСТВО З ОБМЕЖЕНОЮ ВІДПОВІДАЛЬНІСТЮ </w:t>
            </w:r>
            <w:r w:rsidR="00C95A54">
              <w:t>«</w:t>
            </w:r>
            <w:r>
              <w:t>ПІ ЕС АЙ-УКРАЇНА</w:t>
            </w:r>
            <w:r w:rsidR="00C95A54">
              <w:t>»</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C95A54">
            <w:pPr>
              <w:jc w:val="both"/>
            </w:pPr>
            <w:r>
              <w:t>«</w:t>
            </w:r>
            <w:r w:rsidR="00F45269">
              <w:t>ЮроДжен Фарма Лімітед</w:t>
            </w:r>
            <w:r>
              <w:t>»</w:t>
            </w:r>
            <w:r w:rsidR="00F45269">
              <w:t xml:space="preserve"> [UroGen Pharma Ltd.], Ізраїль</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19</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Картка пацієнта з інформацією про візити та інструкціями щодо дослідження, версія 05 від 25 лютого 2022 року українською та російською мовами; Залучення ТОВ «МЛ» ДІЛА» до клінічного випробування</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1966 від 15.09.2021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«Рандомізоване адаптивне подвійне сліпе плацебо-контрольоване багатоцентрове дослідження фази 1b для вивчення безпечності, переносимості, фармакокінетики та фармакодинаміки багаторазових доз препарату PT101 у пацієнтів з активним виразковим колітом», PT101-201, поправка 1 від </w:t>
            </w:r>
            <w:r w:rsidR="00C95A54" w:rsidRPr="00C95A54">
              <w:t xml:space="preserve">                        </w:t>
            </w:r>
            <w:r>
              <w:t>11 травня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«Біомапас»,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/Pandion Therapeutics, Inc., a wholly-owned subsidiary of Merck &amp; Co., Inc., Kenilworth, NJ, USA (known as MSD outside the United States and Canada), США</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20</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 xml:space="preserve">Брошура дослідника для досліджуваного лікарського засобу CNTO1959 (гуселькумаб), видання </w:t>
            </w:r>
            <w:r w:rsidR="00C95A54" w:rsidRPr="00C95A54">
              <w:t xml:space="preserve">              </w:t>
            </w:r>
            <w:r>
              <w:t>13 від 14 грудня 2021 року; Матеріали для учасників дослідження: Лист-перелік матеріалів, які будуть надані пацієнтам для використання вдома (CNTO1959PSA3004 Material provided to patients for at home IP administration), від 18 листопада 2021 року</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1586 від 29.07.2021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«Pандомізоване, подвійне сліпе, плацебо-контрольоване,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CNTO1959PSA3004, поправка 1 від 07 квітня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«ПАРЕКСЕЛ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Janssen Pharmaceutica NV, Belgium / Янссен Фармацевтика НВ, Бельгія</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21</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Інформація та форма згоди для дорослих учасників дослідження Локальна версія номер 7.1 для України українською та російською мовами, дата версії 08 квітня 2022 року на основі Mастер версії номер 8.0 від 09 грудня 2021 року</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545 від 19.05.2017</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«Рандомізоване, багатоцентрове, відкрите, порівняльне дослідження III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D419QC00001, версія 6.0 від 16 січня 2020 р.</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«АСТРАЗЕНЕКА УКРАЇНА»</w:t>
            </w:r>
          </w:p>
        </w:tc>
      </w:tr>
      <w:tr w:rsidR="00E712F6" w:rsidTr="0080690F">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AstraZeneca AB, Sweden</w:t>
            </w:r>
          </w:p>
        </w:tc>
      </w:tr>
      <w:tr w:rsidR="00E712F6" w:rsidTr="0080690F">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22</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Брошура дослідника DMB-3115 (Устекінумаб), видання 05 від 30 листопада 2021 року, англійською мовою; Брошура дослідника DMB-3115 (Устекінумаб), видання 06 від 21 лютого 2022 року, англійською мовою; Інформаційний листок і форма інформованої згоди, версія V3.0UKR(uk)1.0 від 02 лютого 2022 року, переклад українською мовою від 22 лютого 2022 року; Інформаційний листок і форма інформованої згоди, версія V3.0UKR(ru)1.0 від 02 лютого 2022 року, переклад російською мовою від 22 лютого 2022 року</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1586 від 29.07.2021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DMB-3115 для підшкірного введення та препарату Стелара® виробництва ЄС у пацієнтів із хронічним бляшковим псоріазом середнього або тяжкого ступеня», DMB-3115-2, </w:t>
            </w:r>
            <w:r w:rsidR="00C95A54" w:rsidRPr="00C95A54">
              <w:t xml:space="preserve">                                             </w:t>
            </w:r>
            <w:r>
              <w:t>з інкорпорованою поправкою 01 від 04 червня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Підприємство з 100% іноземною інвестицією «АЙК’ЮВІА РДС Україна»</w:t>
            </w:r>
          </w:p>
        </w:tc>
      </w:tr>
      <w:tr w:rsidR="00E712F6" w:rsidRPr="0052591D">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Pr="009E36A3" w:rsidRDefault="00F45269">
            <w:pPr>
              <w:jc w:val="both"/>
              <w:rPr>
                <w:lang w:val="en-US"/>
              </w:rPr>
            </w:pPr>
            <w:r w:rsidRPr="009E36A3">
              <w:rPr>
                <w:lang w:val="en-US"/>
              </w:rPr>
              <w:t>Dong-A ST Co. Ltd., Republic of Korea</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23</w:t>
      </w:r>
    </w:p>
    <w:p w:rsidR="00E712F6" w:rsidRDefault="009074B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Оновлена Брошура дослідника [JNJ-67896049 / ACT-293987 / NS-304 UPTRAVI® (cелексипаг)], версія 17 від 07 лютого 2022 р.</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1962 від 29.10.2018</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«Проспективне багатоцентрове відкрите непорівняльне дослідження II фази з метою вивчення безпеки, переносимості та фармакокінетики селексипагу в дітей з легеневою артеріальною гіпертензією», AC-065A203, затверджена версія 8 від 30 вересня 2021 р.</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«МБ Квест»,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Актеліон Фармасьютікалс Лтд., Швейцарія (Actelion Pharmaceuticals Ltd, Switzerland)</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24</w:t>
      </w:r>
    </w:p>
    <w:p w:rsidR="00E712F6" w:rsidRDefault="00D15FF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 xml:space="preserve">Додаток "Набір пацієнтів в онлайн-режимі для досліджень RPC01-3201 і RPC01-3202 з оцінки індукційної терапії за програмою "YELLOWSTONE" (Ethics Dossier Appendix_Trials 24), редакція українською мовою для України від 23 лютого 2022 р., редакція російською мовою для України від 23 лютого 2022 р.; Листівка "Як взяти участь у програмі клінічних досліджень "YELLOWSTONE" (Flyer_Trials 24), редакція 1 українською мовою для України від 17 лютого 2022 р., редакція </w:t>
            </w:r>
            <w:r w:rsidR="00C95A54" w:rsidRPr="00C95A54">
              <w:t xml:space="preserve">                         </w:t>
            </w:r>
            <w:r>
              <w:t xml:space="preserve">1 російською мовою для України від 17 лютого 2022 р.; Лист "Зацікавленому пацієнтові" (Letter to Patients_Trials 24), редакція 1 українською мовою для України від 18 лютого 2022 р., редакція </w:t>
            </w:r>
            <w:r w:rsidR="00C95A54" w:rsidRPr="00C95A54">
              <w:t xml:space="preserve">                       </w:t>
            </w:r>
            <w:r>
              <w:t xml:space="preserve">1 російською мовою для України від 18 лютого 2022 р.; Лист до пацієнтів з контрольним списком питань (Patient Checklist_Trials 24), редакція 1 українською мовою для України від 18 лютого </w:t>
            </w:r>
            <w:r w:rsidR="00C95A54" w:rsidRPr="00C95A54">
              <w:t xml:space="preserve">                </w:t>
            </w:r>
            <w:r>
              <w:t>2022 р., редакція 1 російською мовою для України від 18 лютого 2022 р.; Лист колезі лікуючому лікарю щодо пацієнтки "Про програму клінічних досліджень "YELLOWSTONE" при хворобі Крона (RPC01-3201 - RPC01-3204)" (Letter to Physicians_Female_Trials 24), редакція 1 українською мовою для України від 18 лютого 2022 р., редакція 1 російською мовою для України від 18 лютого 2022 р.; Лист колезі лікуючому лікарю щодо пацієнта "Про програму клінічних досліджень "YELLOWSTONE" при хворобі Крона (RPC01-3201 - RPC01-3204)" (Letter to Physicians_Male_Trials 24), редакція 1 українською мовою для України від 18 лютого 2022 р., редакція 1 російською мовою для України від 18 лютого 2022 р.</w:t>
            </w:r>
            <w:r>
              <w:rPr>
                <w:rFonts w:cstheme="minorBidi"/>
              </w:rPr>
              <w:t xml:space="preserve"> </w:t>
            </w:r>
          </w:p>
        </w:tc>
      </w:tr>
      <w:tr w:rsidR="00E712F6" w:rsidTr="0080690F">
        <w:trPr>
          <w:trHeight w:val="81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1275 від 06.07.2018</w:t>
            </w:r>
          </w:p>
          <w:p w:rsidR="00C95A54" w:rsidRDefault="00C95A54">
            <w:pPr>
              <w:jc w:val="both"/>
            </w:pPr>
            <w:r>
              <w:t>№ 1275 від 06.07.2018</w:t>
            </w:r>
          </w:p>
        </w:tc>
      </w:tr>
    </w:tbl>
    <w:p w:rsidR="003A4BD1" w:rsidRDefault="003A4BD1" w:rsidP="003A4BD1">
      <w:pPr>
        <w:rPr>
          <w:lang w:val="uk-UA"/>
        </w:rPr>
      </w:pPr>
      <w:r>
        <w:br w:type="page"/>
      </w:r>
      <w:r>
        <w:rPr>
          <w:lang w:val="uk-UA"/>
        </w:rPr>
        <w:lastRenderedPageBreak/>
        <w:t xml:space="preserve">                                                                                                           2                                                                       продовження додатка 24</w:t>
      </w:r>
    </w:p>
    <w:p w:rsidR="003A4BD1" w:rsidRDefault="003A4BD1"/>
    <w:tbl>
      <w:tblPr>
        <w:tblStyle w:val="a6"/>
        <w:tblW w:w="0" w:type="auto"/>
        <w:tblInd w:w="0" w:type="dxa"/>
        <w:tblLayout w:type="fixed"/>
        <w:tblLook w:val="04A0" w:firstRow="1" w:lastRow="0" w:firstColumn="1" w:lastColumn="0" w:noHBand="0" w:noVBand="1"/>
      </w:tblPr>
      <w:tblGrid>
        <w:gridCol w:w="2841"/>
        <w:gridCol w:w="10479"/>
      </w:tblGrid>
      <w:tr w:rsidR="00E712F6" w:rsidTr="003A4BD1">
        <w:trPr>
          <w:trHeight w:val="1056"/>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rsidP="003A4BD1">
            <w:pPr>
              <w:jc w:val="both"/>
            </w:pPr>
            <w:r>
              <w:t xml:space="preserve">«Багатоцентрове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RPC01-3201, редакція 6.0 від 14 червня 2021 р.; </w:t>
            </w:r>
          </w:p>
        </w:tc>
      </w:tr>
      <w:tr w:rsidR="003A4BD1">
        <w:trPr>
          <w:trHeight w:val="1152"/>
        </w:trPr>
        <w:tc>
          <w:tcPr>
            <w:tcW w:w="2841" w:type="dxa"/>
            <w:tcBorders>
              <w:top w:val="single" w:sz="4" w:space="0" w:color="auto"/>
              <w:left w:val="single" w:sz="4" w:space="0" w:color="auto"/>
              <w:bottom w:val="single" w:sz="4" w:space="0" w:color="auto"/>
              <w:right w:val="single" w:sz="4" w:space="0" w:color="auto"/>
            </w:tcBorders>
          </w:tcPr>
          <w:p w:rsidR="003A4BD1" w:rsidRDefault="003A4BD1" w:rsidP="003A4BD1">
            <w:pPr>
              <w:rPr>
                <w:szCs w:val="24"/>
              </w:rPr>
            </w:pPr>
          </w:p>
        </w:tc>
        <w:tc>
          <w:tcPr>
            <w:tcW w:w="10479" w:type="dxa"/>
            <w:tcBorders>
              <w:top w:val="single" w:sz="4" w:space="0" w:color="auto"/>
              <w:left w:val="single" w:sz="4" w:space="0" w:color="auto"/>
              <w:bottom w:val="single" w:sz="4" w:space="0" w:color="auto"/>
              <w:right w:val="single" w:sz="4" w:space="0" w:color="auto"/>
            </w:tcBorders>
          </w:tcPr>
          <w:p w:rsidR="003A4BD1" w:rsidRDefault="003A4BD1" w:rsidP="003A4BD1">
            <w:pPr>
              <w:jc w:val="both"/>
            </w:pPr>
            <w:r>
              <w:t>«Багатоцентрове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RPC01-3202, редакція 6.0 від 14 червня 2021 р.</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ТОВАРИСТВО З ОБМЕЖЕНОЮ ВІДПОВІДАЛЬНІСТЮ «ПІ ЕС АЙ-УКРАЇНА»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«Селджен Інтернешнл II Сaрл» (Celgene International II Sarl), Швейцарія</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25</w:t>
      </w:r>
    </w:p>
    <w:p w:rsidR="00E712F6" w:rsidRDefault="00D15FF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Брошура дослідника SB17, версія 3.0 від 14 січня 2022 року, англійською мовою; Інформаційний листок і форма згоди, версія V2.0UKR(uk)1.0 від 30 березня 2022 року, переклад українською мовою від 31 березня 2022 року; Інформаційний листок і форма згоди, версія V2.0UKR(ru)1.0 від 30 березня 2022 року, переклад російською мовою від 31 березня 2022 року; Лист до лікаря, версія 1 для України від 18 березня 2022 року, англійською мовою; Лист до лікаря, версія 1 для України від 18 березня 2022 року, переклад українською мовою від 01 квітня 2022 року</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1326 від 02.07.2021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«Рандомізоване, подвійне сліпе, багатоцентрове клінічне дослідження фази III для оцінки ефективності, безпечності, переносимості, фармакокінетики та імуногенності препарату SB17 (запропонованого біосиміляру устекінумабу) в порівнянні з препаратом Стелара® в пацієнтів із бляшковим псоріазом середнього або тяжкого ступеня», SB17-3001, версія 2.0 від 15 лютого </w:t>
            </w:r>
            <w:r w:rsidR="00C95A54" w:rsidRPr="00C95A54">
              <w:t xml:space="preserve">                  </w:t>
            </w:r>
            <w:r>
              <w:t>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Підприємство з 100% іноземною інвестицією «АЙК’ЮВІА РДС Україна»</w:t>
            </w:r>
          </w:p>
        </w:tc>
      </w:tr>
      <w:tr w:rsidR="00E712F6" w:rsidRPr="0052591D">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Pr="009E36A3" w:rsidRDefault="00F45269">
            <w:pPr>
              <w:jc w:val="both"/>
              <w:rPr>
                <w:lang w:val="en-US"/>
              </w:rPr>
            </w:pPr>
            <w:r w:rsidRPr="009E36A3">
              <w:rPr>
                <w:lang w:val="en-US"/>
              </w:rPr>
              <w:t>Samsung Bioepis Co., Ltd, Republic of Korea</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26</w:t>
      </w:r>
    </w:p>
    <w:p w:rsidR="00E712F6" w:rsidRDefault="00D15FF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 xml:space="preserve">Досьє досліджуваного лікарського засобу (IMPD) SHR0302 Tablets, редакція 4.0 від 24 лютого </w:t>
            </w:r>
            <w:r w:rsidR="00C95A54" w:rsidRPr="00C95A54">
              <w:t xml:space="preserve">               </w:t>
            </w:r>
            <w:r>
              <w:t>2022 р.; Досьє досліджуваного лікарського засобу (IMPD) Placebo to SHR0302 Tablets, редакція 4.0 від 24 лютого 2022 р.; Запровадження оновленої назви виробника досліджуваного лікарського засобу: таблетки SHR0302, таблетки, вкриті плівковою оболонкою, 4 мг, плацебо до таблетки SHR0302, таблетки, вкриті плівковою оболонкою – "Jiangsu Hengrui Pharmaceuticals Co., Ltd.", Китай; Зразки етикеток для досліджуваного лікарського засобу: таблетки SHR0302 або плацебо, редакція 05 для України від 24 березня 2022 р., переклад з англійської мови на українську мову від 24 березня 2022 р.</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1773 від 20.08.2021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«Дослідження ІІІ фази з метою оцінки ефективності та довгострокової безпечності препарату SHR0302 для індукційної та підтримуючої терапії пацієнтів із середньотяжким і тяжким перебігом виразкового коліту в активній фазі», RSJ10135, редакція 1.1 від 18 серпня 2021 р. </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ТОВАРИСТВО З ОБМЕЖЕНОЮ ВІДПОВІДАЛЬНІСТЮ «ПІ ЕС АЙ-УКРАЇНА»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«Рейстоун Байофарма Компані Лімітед» [Reistone Biopharma Company Limited], Китай</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27</w:t>
      </w:r>
    </w:p>
    <w:p w:rsidR="00E712F6" w:rsidRDefault="00D15FF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Оновлений Протокол клінічного дослідження ICP-CL-00112, версія 5.1 від 15 березня 2022 року; Інформаційний листок і форма згоди, версія V7.0UKR(uk)1.0 від 22 лютого 2022 року, переклад українською мовою від 09 березня 2022 року; Інформаційний листок і форма згоди, версія V7.0UKR(ru)1.0 від 22 лютого 2022 року, переклад російською мовою від 09 березня 2022 року; Інформаційний листок і форма згоди для відкритого розширеного періоду дослідження, версія V4.0UKR(uk)1.0 від 22 лютого 2022 року, переклад українською мовою від 09 березня 2022 року; Інформаційний листок і форма згоди для відкритого розширеного періоду дослідження, версія V4.0UKR(ru)1.0 від 22 лютого 2022 року, переклад російською мовою від 09 березня 2022 року</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1012 від 24.05.2021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орелабрутинібу у пацієнтів із рецидивуючо-</w:t>
            </w:r>
            <w:r w:rsidR="00C95A54">
              <w:t>ремітуючим розсіяним склерозом»</w:t>
            </w:r>
            <w:r>
              <w:t>, ICP-CL-00112, версія 4.1 від 30 вересня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Підприємство з 100% іноземною інвестицією «АЙК’ЮВІА РДС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xml:space="preserve">InnoCare Pharma, Inc., USA </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28</w:t>
      </w:r>
    </w:p>
    <w:p w:rsidR="00E712F6" w:rsidRDefault="00D15FF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Оновлений протокол клінічного випробування, версія 4 від 06 січня 2022 р.; Форма інформованої згоди на участь у фазі прескринінгу, версія 3.0 для України українською та російською мовами від 31 січня 2022 р. На основі майстер-версії форми інформованої згоди на участь у фазі прескринінгу для дослідження BO42843, версія 3 від 05 січня 2022 р.; Форма інформованої згоди на участь у фазі лікування, версія 4.0 для України українською та російською мовами від 31 січня 2022 р. На основі майстер-версії форми інформованої згоди для дослідження BO42843, версія 3 від 05 січня 2022 р.; Форма інформованої згоди на участь у фазі нагляду, версія 3.0 для України українською та російською мовами від 31 січня 2022 р. На основі майстер-версії форми інформованої згоди на участь у фазі нагляду для дослідження BO42843, версія 3 від 05 січня 2022 р.</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1012 від 24.05.2021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«Рандомізоване, подвійне сліпе, багатоцентрове фази ІІІ дослідження застосування атезолізумабу (анти-PD-L1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BO42843, версія 3 від 08 березня 2021 р.</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Товариство з обмеженою відповідальністю «Рош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Ф.Хоффманн-Ля Рош Лтд, Швейцарія</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E712F6">
      <w:pPr>
        <w:ind w:left="142"/>
        <w:rPr>
          <w:lang w:val="en-US"/>
        </w:rPr>
      </w:pPr>
    </w:p>
    <w:p w:rsidR="00E712F6" w:rsidRDefault="00F45269">
      <w:pPr>
        <w:rPr>
          <w:lang w:val="uk-UA"/>
        </w:rPr>
      </w:pPr>
      <w:r>
        <w:rPr>
          <w:lang w:val="uk-UA"/>
        </w:rPr>
        <w:t xml:space="preserve">                                                                                                                                                       Додаток </w:t>
      </w:r>
      <w:r>
        <w:rPr>
          <w:lang w:val="en-US"/>
        </w:rPr>
        <w:t>29</w:t>
      </w:r>
    </w:p>
    <w:p w:rsidR="00E712F6" w:rsidRDefault="00D15FF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173BEA">
      <w:pPr>
        <w:ind w:left="9072"/>
        <w:rPr>
          <w:lang w:val="uk-UA"/>
        </w:rPr>
      </w:pPr>
      <w:r>
        <w:rPr>
          <w:u w:val="single"/>
          <w:lang w:val="uk-UA"/>
        </w:rPr>
        <w:t>17.05.2022</w:t>
      </w:r>
      <w:r>
        <w:rPr>
          <w:lang w:val="uk-UA"/>
        </w:rPr>
        <w:t xml:space="preserve"> № </w:t>
      </w:r>
      <w:r w:rsidRPr="0052591D">
        <w:rPr>
          <w:u w:val="single"/>
          <w:lang w:val="uk-UA"/>
        </w:rPr>
        <w:t>818</w:t>
      </w:r>
    </w:p>
    <w:p w:rsidR="00E712F6" w:rsidRDefault="00E712F6"/>
    <w:p w:rsidR="00E712F6" w:rsidRDefault="00E712F6"/>
    <w:tbl>
      <w:tblPr>
        <w:tblStyle w:val="a6"/>
        <w:tblW w:w="0" w:type="auto"/>
        <w:tblInd w:w="0" w:type="dxa"/>
        <w:tblLayout w:type="fixed"/>
        <w:tblLook w:val="04A0" w:firstRow="1" w:lastRow="0" w:firstColumn="1" w:lastColumn="0" w:noHBand="0" w:noVBand="1"/>
      </w:tblPr>
      <w:tblGrid>
        <w:gridCol w:w="2841"/>
        <w:gridCol w:w="10479"/>
      </w:tblGrid>
      <w:tr w:rsidR="00E712F6">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 xml:space="preserve">Оновлений Протокол клінічного випробування MS200647_0054, версія 2.0 від 30 листопада </w:t>
            </w:r>
            <w:r w:rsidR="00C95A54" w:rsidRPr="00C95A54">
              <w:t xml:space="preserve">                 </w:t>
            </w:r>
            <w:r>
              <w:t xml:space="preserve">2021 року; Брошура дослідника бінтрафуспу альфа, версія 8.0 від 22 грудня 2021 року, англійською мовою; Інформаційний листок і форма інформованої згоди, версія V2.0UKR(uk)1.0 від 27 січня </w:t>
            </w:r>
            <w:r w:rsidR="00C95A54" w:rsidRPr="00C95A54">
              <w:t xml:space="preserve">          </w:t>
            </w:r>
            <w:r>
              <w:t>2022 року, переклад українською мовою від 07 лютого 2022 року; Інформаційний листок і форма інформованої згоди, версія V2.0UKR(ru)1.0 від 27 січня 2022 року, переклад російською мовою від 03 лютого 2022 року</w:t>
            </w:r>
            <w:r>
              <w:rPr>
                <w:rFonts w:cstheme="minorBidi"/>
              </w:rPr>
              <w:t xml:space="preserve"> </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2147 від 04.10.2021</w:t>
            </w:r>
          </w:p>
        </w:tc>
      </w:tr>
      <w:tr w:rsidR="00E712F6">
        <w:trPr>
          <w:trHeight w:val="1111"/>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«Відкрите, багатоцентрове дослідження подальшого спостереження для збору довгострокових даних про учасників із декількох клінічних досліджень застосування бінтрафуспу альфа (M7824)», MS200647_0054, версія 1.0 від 13 травня 2021 року</w:t>
            </w:r>
          </w:p>
        </w:tc>
      </w:tr>
      <w:tr w:rsidR="00E712F6">
        <w:trPr>
          <w:trHeight w:val="379"/>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Підприємство з 100% іноземною інвестицією «АЙК’ЮВІА РДС Україна»</w:t>
            </w:r>
          </w:p>
        </w:tc>
      </w:tr>
      <w:tr w:rsidR="00E712F6">
        <w:trPr>
          <w:trHeight w:val="353"/>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Merck Healthcare KGaA, Німеччина</w:t>
            </w:r>
          </w:p>
        </w:tc>
      </w:tr>
      <w:tr w:rsidR="00E712F6">
        <w:trPr>
          <w:trHeight w:val="732"/>
        </w:trPr>
        <w:tc>
          <w:tcPr>
            <w:tcW w:w="2841"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t xml:space="preserve"> </w:t>
      </w:r>
      <w:r>
        <w:br w:type="page"/>
      </w:r>
    </w:p>
    <w:p w:rsidR="00E712F6" w:rsidRDefault="00F45269">
      <w:pPr>
        <w:ind w:left="708"/>
        <w:rPr>
          <w:lang w:val="uk-UA"/>
        </w:rPr>
      </w:pPr>
      <w:r>
        <w:rPr>
          <w:lang w:val="uk-UA"/>
        </w:rPr>
        <w:lastRenderedPageBreak/>
        <w:t xml:space="preserve">                                                                                                                                              Додаток </w:t>
      </w:r>
      <w:r>
        <w:rPr>
          <w:lang w:val="en-US"/>
        </w:rPr>
        <w:t>30</w:t>
      </w:r>
    </w:p>
    <w:p w:rsidR="00E712F6" w:rsidRDefault="00D15FF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p>
    <w:p w:rsidR="00E712F6" w:rsidRDefault="00173BEA">
      <w:pPr>
        <w:ind w:left="9214"/>
        <w:rPr>
          <w:lang w:val="uk-UA"/>
        </w:rPr>
      </w:pPr>
      <w:r>
        <w:rPr>
          <w:u w:val="single"/>
          <w:lang w:val="uk-UA"/>
        </w:rPr>
        <w:t>17.05.2022</w:t>
      </w:r>
      <w:r>
        <w:rPr>
          <w:lang w:val="uk-UA"/>
        </w:rPr>
        <w:t xml:space="preserve"> № </w:t>
      </w:r>
      <w:r w:rsidRPr="0052591D">
        <w:rPr>
          <w:u w:val="single"/>
          <w:lang w:val="uk-UA"/>
        </w:rPr>
        <w:t>818</w:t>
      </w:r>
    </w:p>
    <w:p w:rsidR="00E712F6" w:rsidRDefault="00E712F6"/>
    <w:tbl>
      <w:tblPr>
        <w:tblStyle w:val="a6"/>
        <w:tblW w:w="13320" w:type="dxa"/>
        <w:tblInd w:w="0" w:type="dxa"/>
        <w:tblLayout w:type="fixed"/>
        <w:tblLook w:val="04A0" w:firstRow="1" w:lastRow="0" w:firstColumn="1" w:lastColumn="0" w:noHBand="0" w:noVBand="1"/>
      </w:tblPr>
      <w:tblGrid>
        <w:gridCol w:w="2830"/>
        <w:gridCol w:w="10490"/>
      </w:tblGrid>
      <w:tr w:rsidR="00E712F6" w:rsidTr="0080690F">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Ідентифікація суттєвої поправки</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Оновлений протокол клінічного випробування TP0006 з поправкою 3 від 06 грудня 2021 року; Інформація для учасника дослідження і Форма інформованої згоди на участь у дослідженні TP0006 (myOpportunITy 2), модель для України, версія 5.0 від 09 грудня 2021 року, українською та російською мовами; Інформація для учасника дослідження і Форма інформованої згоди на участь у фармакогеномному дослідженні в рамках основного дослідження TP0006 (myOpportunITy 2), модель для України, версія 2.0 від 09 грудня 2021 року, українською та російською мовами; Матеріали для пацієнтів: Картка учасника клінічного дослідження (Patient ID Card), версія 2.0 від 07 грудня 2021 року, дата перекладу 12 січня 2022 року, українською та російською мовами; Листок-вкладка в упаковку з вакциною Бексеро, Номер дослідження TP0003 / TP0006, дата останнього оновлення 10 листопада 2021 року, українською та російською мовами; Листок-вкладка в упаковку з вакциною Превенар 13 (Prevenar 13), Номер дослідження: TP0003 / TP0006, дата останнього оновлення 26 жовтня 2021 року, українською та російською мовами; Збільшення кількості пацієнтів, які приймають участь у клінічному випробуванні на території України, з 12 до 36 осіб</w:t>
            </w:r>
            <w:r>
              <w:rPr>
                <w:rFonts w:cstheme="minorBidi"/>
              </w:rPr>
              <w:t xml:space="preserve"> </w:t>
            </w:r>
          </w:p>
        </w:tc>
      </w:tr>
      <w:tr w:rsidR="00E712F6" w:rsidTr="0080690F">
        <w:trPr>
          <w:trHeight w:val="1004"/>
        </w:trPr>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90"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700 від 24.03.2020</w:t>
            </w:r>
          </w:p>
        </w:tc>
      </w:tr>
      <w:tr w:rsidR="00E712F6" w:rsidTr="0080690F">
        <w:trPr>
          <w:trHeight w:val="1004"/>
        </w:trPr>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90"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«Багатоцентрове, подвійне сліпе, рандомізоване, плацебо-контрольоване дослідження 3 фази для оцінки ефективності,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(ІТП)», TP0006, з поправкою 2 від 08 грудня 2020 року</w:t>
            </w:r>
          </w:p>
        </w:tc>
      </w:tr>
      <w:tr w:rsidR="00E712F6" w:rsidTr="0080690F">
        <w:trPr>
          <w:trHeight w:val="343"/>
        </w:trPr>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90"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«ПАРЕКСЕЛ Україна»</w:t>
            </w:r>
          </w:p>
        </w:tc>
      </w:tr>
      <w:tr w:rsidR="00E712F6" w:rsidTr="0080690F">
        <w:trPr>
          <w:trHeight w:val="319"/>
        </w:trPr>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90"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ЮСіБі Біофарма ЕсАрЕл, Бельгія / UCB Biopharma SRL, Belgium</w:t>
            </w:r>
          </w:p>
        </w:tc>
      </w:tr>
      <w:tr w:rsidR="00E712F6" w:rsidTr="0080690F">
        <w:trPr>
          <w:trHeight w:val="1004"/>
        </w:trPr>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b/>
        </w:rPr>
        <w:t xml:space="preserve"> </w:t>
      </w:r>
      <w:r>
        <w:br w:type="page"/>
      </w:r>
    </w:p>
    <w:p w:rsidR="00E712F6" w:rsidRDefault="00E712F6"/>
    <w:p w:rsidR="00E712F6" w:rsidRDefault="00F45269">
      <w:pPr>
        <w:ind w:left="708"/>
        <w:rPr>
          <w:lang w:val="uk-UA"/>
        </w:rPr>
      </w:pPr>
      <w:r>
        <w:rPr>
          <w:lang w:val="uk-UA"/>
        </w:rPr>
        <w:t xml:space="preserve">                                                                                                                                              Додаток </w:t>
      </w:r>
      <w:r>
        <w:rPr>
          <w:lang w:val="en-US"/>
        </w:rPr>
        <w:t>31</w:t>
      </w:r>
    </w:p>
    <w:p w:rsidR="00E712F6" w:rsidRDefault="00D15FF6">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9074B3">
        <w:rPr>
          <w:lang w:val="uk-UA"/>
        </w:rPr>
        <w:t>Про затвердження суттєвих</w:t>
      </w:r>
      <w:r>
        <w:rPr>
          <w:lang w:val="uk-UA"/>
        </w:rPr>
        <w:t xml:space="preserve"> </w:t>
      </w:r>
      <w:r w:rsidRPr="009074B3">
        <w:rPr>
          <w:lang w:val="uk-UA"/>
        </w:rPr>
        <w:t>поправок до протоколів</w:t>
      </w:r>
      <w:r>
        <w:rPr>
          <w:lang w:val="uk-UA"/>
        </w:rPr>
        <w:t xml:space="preserve"> </w:t>
      </w:r>
      <w:r w:rsidRPr="009074B3">
        <w:rPr>
          <w:lang w:val="uk-UA"/>
        </w:rPr>
        <w:t>клінічних випробувань</w:t>
      </w:r>
      <w:r>
        <w:rPr>
          <w:lang w:val="uk-UA"/>
        </w:rPr>
        <w:t>»</w:t>
      </w:r>
      <w:r w:rsidR="00F45269">
        <w:rPr>
          <w:lang w:val="uk-UA"/>
        </w:rPr>
        <w:t xml:space="preserve"> </w:t>
      </w:r>
    </w:p>
    <w:p w:rsidR="00E712F6" w:rsidRDefault="00173BEA">
      <w:pPr>
        <w:ind w:left="9214"/>
        <w:rPr>
          <w:lang w:val="uk-UA"/>
        </w:rPr>
      </w:pPr>
      <w:r>
        <w:rPr>
          <w:u w:val="single"/>
          <w:lang w:val="uk-UA"/>
        </w:rPr>
        <w:t>17.05.2022</w:t>
      </w:r>
      <w:r>
        <w:rPr>
          <w:lang w:val="uk-UA"/>
        </w:rPr>
        <w:t xml:space="preserve"> № </w:t>
      </w:r>
      <w:r w:rsidRPr="0052591D">
        <w:rPr>
          <w:u w:val="single"/>
          <w:lang w:val="uk-UA"/>
        </w:rPr>
        <w:t>818</w:t>
      </w:r>
      <w:bookmarkStart w:id="0" w:name="_GoBack"/>
      <w:bookmarkEnd w:id="0"/>
    </w:p>
    <w:p w:rsidR="00E712F6" w:rsidRDefault="00E712F6"/>
    <w:p w:rsidR="00E712F6" w:rsidRDefault="00E712F6"/>
    <w:tbl>
      <w:tblPr>
        <w:tblStyle w:val="a6"/>
        <w:tblW w:w="13320" w:type="dxa"/>
        <w:tblInd w:w="0" w:type="dxa"/>
        <w:tblLayout w:type="fixed"/>
        <w:tblLook w:val="04A0" w:firstRow="1" w:lastRow="0" w:firstColumn="1" w:lastColumn="0" w:noHBand="0" w:noVBand="1"/>
      </w:tblPr>
      <w:tblGrid>
        <w:gridCol w:w="2830"/>
        <w:gridCol w:w="10490"/>
      </w:tblGrid>
      <w:tr w:rsidR="00E712F6" w:rsidTr="0080690F">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Ідентифікація суттєвої поправки</w:t>
            </w:r>
          </w:p>
        </w:tc>
        <w:tc>
          <w:tcPr>
            <w:tcW w:w="1049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E712F6" w:rsidRDefault="00F45269">
            <w:pPr>
              <w:jc w:val="both"/>
              <w:rPr>
                <w:rFonts w:cstheme="minorBidi"/>
              </w:rPr>
            </w:pPr>
            <w:r>
              <w:t>Додання форми випуску лікарського засобу (вакцини), що не є досліджуваним лікарським засобом: Пневмовакс 23, розчин для ін’єкцій у попередньо заповненому шприці, 0,5 мл; Зразки маркування українською мовою первинної та вторинної упаковки лікарського засобу (вакцини), що не є досліджуваним лікарським засобом: Пневмовакс 23, розчин для ін’єкцій у попередньо заповненому шприці, 0,5 мл, вакцина пневмококова полісахаридна</w:t>
            </w:r>
            <w:r>
              <w:rPr>
                <w:rFonts w:cstheme="minorBidi"/>
              </w:rPr>
              <w:t xml:space="preserve"> </w:t>
            </w:r>
          </w:p>
        </w:tc>
      </w:tr>
      <w:tr w:rsidR="00E712F6" w:rsidTr="0080690F">
        <w:trPr>
          <w:trHeight w:val="1004"/>
        </w:trPr>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Номер та дата наказу МОЗ щодо затвердження клінічного випробування</w:t>
            </w:r>
          </w:p>
        </w:tc>
        <w:tc>
          <w:tcPr>
            <w:tcW w:w="10490"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 700 від 24.03.2020</w:t>
            </w:r>
          </w:p>
        </w:tc>
      </w:tr>
      <w:tr w:rsidR="00E712F6" w:rsidTr="0080690F">
        <w:trPr>
          <w:trHeight w:val="1004"/>
        </w:trPr>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Назва клінічного випробування, код, версія та дата</w:t>
            </w:r>
          </w:p>
        </w:tc>
        <w:tc>
          <w:tcPr>
            <w:tcW w:w="10490"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«Багатоцентрове, подвійне сліпе, рандомізоване, плацебо-контрольоване дослідження 3 фази для оцінки ефективності, безпечності та переносимості препарату розаноліксізумаб у дорослих учасників дослідження з персистуючою або хронічною первинною імунною тромбоцитопенією (ІТП)», TP0006, з поправкою 2 від 08 грудня 2020 року</w:t>
            </w:r>
          </w:p>
        </w:tc>
      </w:tr>
      <w:tr w:rsidR="00E712F6" w:rsidTr="0080690F">
        <w:trPr>
          <w:trHeight w:val="343"/>
        </w:trPr>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Заявник, країна</w:t>
            </w:r>
          </w:p>
        </w:tc>
        <w:tc>
          <w:tcPr>
            <w:tcW w:w="10490"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ТОВ «ПАРЕКСЕЛ Україна»</w:t>
            </w:r>
          </w:p>
        </w:tc>
      </w:tr>
      <w:tr w:rsidR="00E712F6" w:rsidTr="0080690F">
        <w:trPr>
          <w:trHeight w:val="319"/>
        </w:trPr>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szCs w:val="24"/>
              </w:rPr>
            </w:pPr>
            <w:r>
              <w:rPr>
                <w:szCs w:val="24"/>
              </w:rPr>
              <w:t>Спонсор, країна</w:t>
            </w:r>
          </w:p>
        </w:tc>
        <w:tc>
          <w:tcPr>
            <w:tcW w:w="10490" w:type="dxa"/>
            <w:tcBorders>
              <w:top w:val="single" w:sz="4" w:space="0" w:color="auto"/>
              <w:left w:val="single" w:sz="4" w:space="0" w:color="auto"/>
              <w:bottom w:val="single" w:sz="4" w:space="0" w:color="auto"/>
              <w:right w:val="single" w:sz="4" w:space="0" w:color="auto"/>
            </w:tcBorders>
            <w:hideMark/>
          </w:tcPr>
          <w:p w:rsidR="00E712F6" w:rsidRDefault="00F45269">
            <w:pPr>
              <w:jc w:val="both"/>
            </w:pPr>
            <w:r>
              <w:t>ЮСіБі Біофарма ЕсАрЕл, Бельгія / UCB Biopharma SRL, Belgium</w:t>
            </w:r>
          </w:p>
        </w:tc>
      </w:tr>
      <w:tr w:rsidR="00E712F6" w:rsidTr="0080690F">
        <w:trPr>
          <w:trHeight w:val="1004"/>
        </w:trPr>
        <w:tc>
          <w:tcPr>
            <w:tcW w:w="2830" w:type="dxa"/>
            <w:tcBorders>
              <w:top w:val="single" w:sz="4" w:space="0" w:color="auto"/>
              <w:left w:val="single" w:sz="4" w:space="0" w:color="auto"/>
              <w:bottom w:val="single" w:sz="4" w:space="0" w:color="auto"/>
              <w:right w:val="single" w:sz="4" w:space="0" w:color="auto"/>
            </w:tcBorders>
            <w:hideMark/>
          </w:tcPr>
          <w:p w:rsidR="00E712F6" w:rsidRDefault="00F4526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90" w:type="dxa"/>
            <w:tcBorders>
              <w:top w:val="single" w:sz="4" w:space="0" w:color="auto"/>
              <w:left w:val="single" w:sz="4" w:space="0" w:color="auto"/>
              <w:bottom w:val="single" w:sz="4" w:space="0" w:color="auto"/>
              <w:right w:val="single" w:sz="4" w:space="0" w:color="auto"/>
            </w:tcBorders>
            <w:hideMark/>
          </w:tcPr>
          <w:p w:rsidR="00E712F6" w:rsidRDefault="00F45269">
            <w:pPr>
              <w:jc w:val="both"/>
              <w:rPr>
                <w:lang w:val="en-US"/>
              </w:rPr>
            </w:pPr>
            <w:r>
              <w:t xml:space="preserve">― </w:t>
            </w:r>
          </w:p>
        </w:tc>
      </w:tr>
    </w:tbl>
    <w:p w:rsidR="00E712F6" w:rsidRDefault="00E712F6">
      <w:pPr>
        <w:rPr>
          <w:lang w:val="uk-UA"/>
        </w:rPr>
      </w:pPr>
    </w:p>
    <w:p w:rsidR="00E712F6" w:rsidRDefault="00F45269">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12F6" w:rsidRDefault="00F45269">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b/>
        </w:rPr>
        <w:t xml:space="preserve"> </w:t>
      </w:r>
    </w:p>
    <w:sectPr w:rsidR="00E712F6" w:rsidSect="0080690F">
      <w:pgSz w:w="16838" w:h="11906" w:orient="landscape"/>
      <w:pgMar w:top="851" w:right="1245" w:bottom="709"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69"/>
    <w:rsid w:val="00173BEA"/>
    <w:rsid w:val="003A4BD1"/>
    <w:rsid w:val="0052591D"/>
    <w:rsid w:val="0080690F"/>
    <w:rsid w:val="009074B3"/>
    <w:rsid w:val="009E36A3"/>
    <w:rsid w:val="00C62C92"/>
    <w:rsid w:val="00C95A54"/>
    <w:rsid w:val="00D15FF6"/>
    <w:rsid w:val="00D53682"/>
    <w:rsid w:val="00E70BE8"/>
    <w:rsid w:val="00E712F6"/>
    <w:rsid w:val="00F45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F48E3"/>
  <w15:chartTrackingRefBased/>
  <w15:docId w15:val="{3B2DB97D-EE12-49CE-9AFB-FF53194C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lang w:eastAsia="ru-RU"/>
    </w:rPr>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a5">
    <w:name w:val="Звичайна таблиця"/>
    <w:uiPriority w:val="99"/>
    <w:semiHidden/>
    <w:tblPr>
      <w:tblCellMar>
        <w:top w:w="0" w:type="dxa"/>
        <w:left w:w="108" w:type="dxa"/>
        <w:bottom w:w="0" w:type="dxa"/>
        <w:right w:w="108" w:type="dxa"/>
      </w:tblCellMar>
    </w:tblPr>
  </w:style>
  <w:style w:type="table" w:styleId="a6">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9E36A3"/>
    <w:pPr>
      <w:jc w:val="both"/>
    </w:pPr>
    <w:rPr>
      <w:rFonts w:eastAsiaTheme="minorEastAsia" w:cs="Times New Roman"/>
      <w:szCs w:val="24"/>
      <w:lang w:val="en-US"/>
    </w:rPr>
  </w:style>
  <w:style w:type="paragraph" w:customStyle="1" w:styleId="csf06cd379">
    <w:name w:val="csf06cd379"/>
    <w:basedOn w:val="a"/>
    <w:rsid w:val="009E36A3"/>
    <w:pPr>
      <w:jc w:val="both"/>
    </w:pPr>
    <w:rPr>
      <w:rFonts w:eastAsiaTheme="minorEastAsia" w:cs="Times New Roman"/>
      <w:szCs w:val="24"/>
      <w:lang w:val="en-US"/>
    </w:rPr>
  </w:style>
  <w:style w:type="character" w:customStyle="1" w:styleId="cs9b006263">
    <w:name w:val="cs9b006263"/>
    <w:basedOn w:val="a0"/>
    <w:rsid w:val="009E36A3"/>
    <w:rPr>
      <w:rFonts w:ascii="Arial" w:hAnsi="Arial" w:cs="Arial" w:hint="default"/>
      <w:b/>
      <w:bCs/>
      <w:i w:val="0"/>
      <w:iCs w:val="0"/>
      <w:color w:val="000000"/>
      <w:sz w:val="20"/>
      <w:szCs w:val="20"/>
      <w:shd w:val="clear" w:color="auto" w:fill="auto"/>
    </w:rPr>
  </w:style>
  <w:style w:type="character" w:customStyle="1" w:styleId="cs9b006264">
    <w:name w:val="cs9b006264"/>
    <w:basedOn w:val="a0"/>
    <w:rsid w:val="009E36A3"/>
    <w:rPr>
      <w:rFonts w:ascii="Arial" w:hAnsi="Arial" w:cs="Arial" w:hint="default"/>
      <w:b/>
      <w:bCs/>
      <w:i w:val="0"/>
      <w:iCs w:val="0"/>
      <w:color w:val="000000"/>
      <w:sz w:val="20"/>
      <w:szCs w:val="20"/>
      <w:shd w:val="clear" w:color="auto" w:fill="auto"/>
    </w:rPr>
  </w:style>
  <w:style w:type="character" w:customStyle="1" w:styleId="cs9f0a40406">
    <w:name w:val="cs9f0a40406"/>
    <w:basedOn w:val="a0"/>
    <w:rsid w:val="009E36A3"/>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sid w:val="009E36A3"/>
    <w:rPr>
      <w:rFonts w:ascii="Arial" w:hAnsi="Arial" w:cs="Arial" w:hint="default"/>
      <w:b/>
      <w:bCs/>
      <w:i w:val="0"/>
      <w:iCs w:val="0"/>
      <w:color w:val="000000"/>
      <w:sz w:val="20"/>
      <w:szCs w:val="20"/>
      <w:shd w:val="clear" w:color="auto" w:fill="auto"/>
    </w:rPr>
  </w:style>
  <w:style w:type="character" w:customStyle="1" w:styleId="cs9f0a40407">
    <w:name w:val="cs9f0a40407"/>
    <w:basedOn w:val="a0"/>
    <w:rsid w:val="009E36A3"/>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6F18-6A15-4064-9E41-39B0F65E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40340</Words>
  <Characters>22995</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Ludmyla</cp:lastModifiedBy>
  <cp:revision>4</cp:revision>
  <dcterms:created xsi:type="dcterms:W3CDTF">2022-05-18T06:02:00Z</dcterms:created>
  <dcterms:modified xsi:type="dcterms:W3CDTF">2022-05-18T06:14:00Z</dcterms:modified>
</cp:coreProperties>
</file>