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22" w:rsidRDefault="00CC3DD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6209C">
        <w:t>1</w:t>
      </w:r>
    </w:p>
    <w:p w:rsidR="00FD1122" w:rsidRDefault="00CC3DD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722FF">
        <w:rPr>
          <w:lang w:val="uk-UA"/>
        </w:rPr>
        <w:t>«</w:t>
      </w:r>
      <w:r w:rsidR="008722FF"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 w:rsidR="008722FF">
        <w:rPr>
          <w:lang w:val="uk-UA"/>
        </w:rPr>
        <w:t>»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 w:rsidR="00CC3DDD"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ACE-536-MDS-002, поправка 4.0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березня</w:t>
            </w:r>
            <w:proofErr w:type="spellEnd"/>
            <w:r>
              <w:t xml:space="preserve"> </w:t>
            </w:r>
            <w:r w:rsidR="007F19FA">
              <w:rPr>
                <w:lang w:val="uk-UA"/>
              </w:rPr>
              <w:t xml:space="preserve">              </w:t>
            </w:r>
            <w:r>
              <w:t xml:space="preserve">2022 р., англійською мовою; Досьє досліджуваного лікарського засобу Луспатерцепт (АСЕ 536), версія 8.0 від жовтня 2021 р., англійською мовою; Залучення додаткової виробничої ділянки випуску та імпорту досліджуваного препарату луспатерцепт (Luspatercept, ACE-536), ліофілізат для розчину для ін’єкцій, 25 мг/37,5 мг </w:t>
            </w:r>
            <w:proofErr w:type="spellStart"/>
            <w:r>
              <w:t>луспатерцепту</w:t>
            </w:r>
            <w:proofErr w:type="spellEnd"/>
            <w:r>
              <w:t xml:space="preserve"> (50 мг/мл), </w:t>
            </w:r>
            <w:proofErr w:type="spellStart"/>
            <w:r>
              <w:t>ліофілізат</w:t>
            </w:r>
            <w:proofErr w:type="spellEnd"/>
            <w:r>
              <w:t xml:space="preserve"> для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ін’єкцій</w:t>
            </w:r>
            <w:proofErr w:type="spellEnd"/>
            <w:r>
              <w:t xml:space="preserve">, </w:t>
            </w:r>
            <w:r w:rsidR="0076209C" w:rsidRPr="0076209C">
              <w:t xml:space="preserve">                         </w:t>
            </w:r>
            <w:r>
              <w:t xml:space="preserve">75 мг/87,5 мг </w:t>
            </w:r>
            <w:proofErr w:type="spellStart"/>
            <w:r>
              <w:t>луспатерцепту</w:t>
            </w:r>
            <w:proofErr w:type="spellEnd"/>
            <w:r>
              <w:t xml:space="preserve"> (50 мг/мл), </w:t>
            </w:r>
            <w:proofErr w:type="spellStart"/>
            <w:r>
              <w:t>Bristol-Myers</w:t>
            </w:r>
            <w:proofErr w:type="spellEnd"/>
            <w:r>
              <w:t xml:space="preserve"> </w:t>
            </w:r>
            <w:proofErr w:type="spellStart"/>
            <w:r>
              <w:t>Squibb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, </w:t>
            </w:r>
            <w:proofErr w:type="spellStart"/>
            <w:r>
              <w:t>Belgium</w:t>
            </w:r>
            <w:proofErr w:type="spellEnd"/>
            <w:r>
              <w:t xml:space="preserve"> </w:t>
            </w:r>
            <w:r w:rsidR="0076209C" w:rsidRPr="0076209C">
              <w:t xml:space="preserve">               </w:t>
            </w:r>
            <w:r>
              <w:t>(</w:t>
            </w:r>
            <w:proofErr w:type="spellStart"/>
            <w:r>
              <w:t>Parc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l’Alliance</w:t>
            </w:r>
            <w:proofErr w:type="spellEnd"/>
            <w:r>
              <w:t xml:space="preserve">, </w:t>
            </w:r>
            <w:proofErr w:type="spellStart"/>
            <w:r>
              <w:t>Avenue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Finlande</w:t>
            </w:r>
            <w:proofErr w:type="spellEnd"/>
            <w:r>
              <w:t xml:space="preserve"> 4, </w:t>
            </w:r>
            <w:proofErr w:type="spellStart"/>
            <w:r>
              <w:t>Braine-l’Alleud</w:t>
            </w:r>
            <w:proofErr w:type="spellEnd"/>
            <w:r>
              <w:t>, 1420, Belgium)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9 </w:t>
            </w:r>
            <w:proofErr w:type="spellStart"/>
            <w:r>
              <w:t>від</w:t>
            </w:r>
            <w:proofErr w:type="spellEnd"/>
            <w:r>
              <w:t xml:space="preserve"> 02.01.2019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«Відкрите, рандомізоване дослідження Фази 3 для порівняння ефективності та безпечності препарату луспатерцепт (ACE-536) та епоетину альфа для лікування анемії, спричиненої мієлодиспластичними синдромами (МДС) з дуже низьким, низьким або проміжним рівнем ризику за IPSS-R, у пацієнтів, які раніше не отримували стимулятори еритропоезу та потребують переливання еритроцитів», ACE-536-MDS-002, поправка 3.0 від 23 лютого 2021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FD1122" w:rsidRPr="009852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Pr="007F19FA" w:rsidRDefault="00CC3DDD">
            <w:pPr>
              <w:jc w:val="both"/>
              <w:rPr>
                <w:lang w:val="en-US"/>
              </w:rPr>
            </w:pPr>
            <w:r w:rsidRPr="007F19FA">
              <w:rPr>
                <w:lang w:val="en-US"/>
              </w:rPr>
              <w:t xml:space="preserve">Celgene Corporation, USA/ </w:t>
            </w:r>
            <w:proofErr w:type="spellStart"/>
            <w:r>
              <w:t>Селджен</w:t>
            </w:r>
            <w:proofErr w:type="spellEnd"/>
            <w:r w:rsidRPr="007F19FA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7F19FA">
              <w:rPr>
                <w:lang w:val="en-US"/>
              </w:rPr>
              <w:t xml:space="preserve">, </w:t>
            </w:r>
            <w:r>
              <w:t>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324878">
        <w:t>2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BAY 3427080 / 21652 версія 3.0 з інтегрованою поправкою 1 від 10 лютого 2022; Оновлене досьє досліджуваного лікарського засобу Elinzanetant (BAY 3427080), версія 02 від 08 лютого 2022 («Якість»); Оновлене досьє досліджуваного лікарського засобу Elinzanetant (BAY 3427080), версія 1.0 від 25 січня 2022 («Безпека та ефективність»)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2947 </w:t>
            </w:r>
            <w:proofErr w:type="spellStart"/>
            <w:r>
              <w:t>від</w:t>
            </w:r>
            <w:proofErr w:type="spellEnd"/>
            <w:r>
              <w:t xml:space="preserve"> 30.12.2021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«Подвійне сліпе, рандомізоване, плацебо-контрольоване багатоцентрове дослідження для оцінки ефективності та безпеки елінзанетанту для лікування вазомоторних симптомів протягом 26 </w:t>
            </w:r>
            <w:r w:rsidR="00324878">
              <w:t>тижнів у жінок у постменопаузі»</w:t>
            </w:r>
            <w:r>
              <w:t>, BAY 3427080 / 21652, версія 2.0 від 15 червня 2021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 «</w:t>
            </w:r>
            <w:proofErr w:type="spellStart"/>
            <w:r>
              <w:t>Байєр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Байєр</w:t>
            </w:r>
            <w:proofErr w:type="spellEnd"/>
            <w:r>
              <w:t xml:space="preserve"> </w:t>
            </w:r>
            <w:proofErr w:type="spellStart"/>
            <w:r>
              <w:t>Консьюмер</w:t>
            </w:r>
            <w:proofErr w:type="spellEnd"/>
            <w:r>
              <w:t xml:space="preserve"> </w:t>
            </w:r>
            <w:proofErr w:type="spellStart"/>
            <w:r>
              <w:t>Кер</w:t>
            </w:r>
            <w:proofErr w:type="spellEnd"/>
            <w:r>
              <w:t xml:space="preserve"> АГ, </w:t>
            </w:r>
            <w:proofErr w:type="spellStart"/>
            <w:r>
              <w:t>Швейцарія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 xml:space="preserve">Брошура дослідника CNTO1959 (guselkumab), видання 13 від 14.12.2021 р.; Картка-пам’ятка з відомостями про візити, заплановані в межах дослідження Affinity, CNTO1959PSA2003-UKR09, версія 1.0 від 08.06.2021 р., українською мовою; Картка «Дякуємо», CNTO1959PSA2003-UKR10, версія 1.0 від 08.06.2021 р., українською мовою; «Клінічне дослідження Affinity Посібник учасника», CNTO1959PSA2003-UKR18, версія 1.0 від 08.06.2021 р., українською мовою; «Відомості про клінічні дослідження», CNTO1959PSA2003-UKR17, версія 1.0 від 08.06.2021 р., українською мовою; Оновлений розділ 3.2.S досьє ДЛЗ гуселькумаб (CNTO1959), лютий 2022 р.;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</w:t>
            </w:r>
            <w:r w:rsidR="007F19FA">
              <w:rPr>
                <w:lang w:val="uk-UA"/>
              </w:rPr>
              <w:t xml:space="preserve">             </w:t>
            </w:r>
            <w:r>
              <w:t xml:space="preserve">3.2.P </w:t>
            </w:r>
            <w:proofErr w:type="spellStart"/>
            <w:r>
              <w:t>досьє</w:t>
            </w:r>
            <w:proofErr w:type="spellEnd"/>
            <w:r>
              <w:t xml:space="preserve"> ДЛЗ </w:t>
            </w:r>
            <w:proofErr w:type="spellStart"/>
            <w:r>
              <w:t>гуселькумаб</w:t>
            </w:r>
            <w:proofErr w:type="spellEnd"/>
            <w:r>
              <w:t xml:space="preserve"> (CNTO1959),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заповнений</w:t>
            </w:r>
            <w:proofErr w:type="spellEnd"/>
            <w:r>
              <w:t xml:space="preserve"> шприц, 100 мг/мл, </w:t>
            </w:r>
            <w:proofErr w:type="spellStart"/>
            <w:r>
              <w:t>лютий</w:t>
            </w:r>
            <w:proofErr w:type="spellEnd"/>
            <w:r>
              <w:t xml:space="preserve"> </w:t>
            </w:r>
            <w:r w:rsidR="007F19FA">
              <w:rPr>
                <w:lang w:val="uk-UA"/>
              </w:rPr>
              <w:t xml:space="preserve">                 </w:t>
            </w:r>
            <w:r>
              <w:t>2022 р.; Оновлений розділ 3.2.А досьє ДЛЗ гуселькумаб (CNTO1959), лютий 2022 р.; Оновлений розділ 3.2.R досьє ДЛЗ гуселькумаб (CNTO1959), 07.02.2022 р.; Включення додаткового виробника Catalent CTS, LLC, США для ДЛЗ гуселькумаб (CNTO1959), розчин для ін'єкцій у попередньо заповненому шприці, 1 мл, 100 мг/мл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2237 </w:t>
            </w:r>
            <w:proofErr w:type="spellStart"/>
            <w:r>
              <w:t>від</w:t>
            </w:r>
            <w:proofErr w:type="spellEnd"/>
            <w:r>
              <w:t xml:space="preserve"> 18.10.2021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артритом», CNTO1959PSA2003, з поправкою 1 від 06.10.2021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</w:tbl>
    <w:p w:rsidR="00321E69" w:rsidRDefault="00321E69">
      <w:r>
        <w:br w:type="page"/>
      </w:r>
    </w:p>
    <w:p w:rsidR="00321E69" w:rsidRDefault="00321E6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3</w:t>
      </w:r>
    </w:p>
    <w:p w:rsidR="00321E69" w:rsidRPr="00321E69" w:rsidRDefault="00321E69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 xml:space="preserve">Брошура дослідника (БД) для препарату PF-07104091 (CDK2), PF-07104091, версія 2.0 від листопада 2021 року, англійською мовою; Форма інформованої згоди на участь у дослідженні, версія 04/02/00 від 03 грудня 2021 р. для України англійською мовою; Форма інформованої згоди на участь у дослідженні, версія 04/02/00 від 03 грудня 2021 р. для України українською мовою; Форма інформованої згоди на участь у дослідженні, версія 04/02/00 від 03 грудня 2021 р.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на </w:t>
            </w:r>
            <w:proofErr w:type="spellStart"/>
            <w:r>
              <w:t>лікарський</w:t>
            </w:r>
            <w:proofErr w:type="spellEnd"/>
            <w:r>
              <w:t xml:space="preserve"> </w:t>
            </w:r>
            <w:proofErr w:type="spellStart"/>
            <w:r>
              <w:t>засіб</w:t>
            </w:r>
            <w:proofErr w:type="spellEnd"/>
            <w:r>
              <w:t xml:space="preserve"> PF-07104091, </w:t>
            </w:r>
            <w:proofErr w:type="spellStart"/>
            <w:r>
              <w:t>версія</w:t>
            </w:r>
            <w:proofErr w:type="spellEnd"/>
            <w:r>
              <w:t xml:space="preserve"> 1.А </w:t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січня</w:t>
            </w:r>
            <w:proofErr w:type="spellEnd"/>
            <w:r>
              <w:t xml:space="preserve"> </w:t>
            </w:r>
            <w:r w:rsidR="007F19FA">
              <w:rPr>
                <w:lang w:val="uk-UA"/>
              </w:rPr>
              <w:t xml:space="preserve">                </w:t>
            </w:r>
            <w:r>
              <w:t>2022 р. українською мовою; Зразок маркування на лікарський засіб палбоцикліб (PD-0332991-00), версія 1.А від 15 грудня 2021 р.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475 </w:t>
            </w:r>
            <w:proofErr w:type="spellStart"/>
            <w:r>
              <w:t>від</w:t>
            </w:r>
            <w:proofErr w:type="spellEnd"/>
            <w:r>
              <w:t xml:space="preserve"> 13.03.2022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«Дослідження фази 1/2a з підвищенням дози, підбором дози та застосуванням вибраної дози препарату в розширеній когорті для оцінки безпечності, переносимості, фармакокінетики, фармакодинаміки та протипухлинної активності препарату PF-07104091 в якості </w:t>
            </w:r>
            <w:proofErr w:type="spellStart"/>
            <w:r>
              <w:t>монотерапії</w:t>
            </w:r>
            <w:proofErr w:type="spellEnd"/>
            <w:r>
              <w:t xml:space="preserve"> та у </w:t>
            </w:r>
            <w:proofErr w:type="spellStart"/>
            <w:r>
              <w:t>складі</w:t>
            </w:r>
            <w:proofErr w:type="spellEnd"/>
            <w:r>
              <w:t xml:space="preserve"> </w:t>
            </w:r>
            <w:proofErr w:type="spellStart"/>
            <w:r>
              <w:t>комбінованої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», C4161001,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протоколу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</w:t>
            </w:r>
            <w:r w:rsidR="007F19FA">
              <w:rPr>
                <w:lang w:val="uk-UA"/>
              </w:rPr>
              <w:t xml:space="preserve">              </w:t>
            </w:r>
            <w:r>
              <w:t xml:space="preserve">3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жовтня</w:t>
            </w:r>
            <w:proofErr w:type="spellEnd"/>
            <w:r>
              <w:t xml:space="preserve"> 2021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Інформація для пацієнта та інформована згода на участь у науковому дослідженні та необов’язковому дослідженні, версія 5.0 для України від 26 січня 2022 року, українською та російською мовами; Інформаційна картка учасника дослідження, версія 2.0 від 26 січня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1896 </w:t>
            </w:r>
            <w:proofErr w:type="spellStart"/>
            <w:r>
              <w:t>від</w:t>
            </w:r>
            <w:proofErr w:type="spellEnd"/>
            <w:r>
              <w:t xml:space="preserve"> 27.08.2019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«Рандомізоване, подвійне сліпе, плацебо-контрольоване дослідження Фази 3 для оцінки препарату </w:t>
            </w:r>
            <w:proofErr w:type="spellStart"/>
            <w:r>
              <w:t>упадацитиніб</w:t>
            </w:r>
            <w:proofErr w:type="spellEnd"/>
            <w:r>
              <w:t xml:space="preserve"> у </w:t>
            </w:r>
            <w:proofErr w:type="spellStart"/>
            <w:r>
              <w:t>підлітків</w:t>
            </w:r>
            <w:proofErr w:type="spellEnd"/>
            <w:r>
              <w:t xml:space="preserve"> та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помірним</w:t>
            </w:r>
            <w:proofErr w:type="spellEnd"/>
            <w:r>
              <w:t xml:space="preserve"> та тяжким </w:t>
            </w:r>
            <w:proofErr w:type="spellStart"/>
            <w:r>
              <w:t>атопічним</w:t>
            </w:r>
            <w:proofErr w:type="spellEnd"/>
            <w:r>
              <w:t xml:space="preserve"> дерматитом», </w:t>
            </w:r>
            <w:r w:rsidR="007F19FA">
              <w:rPr>
                <w:lang w:val="uk-UA"/>
              </w:rPr>
              <w:t xml:space="preserve">             </w:t>
            </w:r>
            <w:r>
              <w:t xml:space="preserve">M16-045,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січня</w:t>
            </w:r>
            <w:proofErr w:type="spellEnd"/>
            <w:r>
              <w:t xml:space="preserve">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Біофармасьютікалз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», </w:t>
            </w:r>
            <w:proofErr w:type="spellStart"/>
            <w:r>
              <w:t>Швейцарія</w:t>
            </w:r>
            <w:proofErr w:type="spellEnd"/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., USA/ 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 xml:space="preserve">Інформаційна картка учасника дослідження, версія 2.0 від 21 жовтня 2021 року, українською та російською мовами;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додаткової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, </w:t>
            </w:r>
            <w:proofErr w:type="spellStart"/>
            <w:r>
              <w:t>якій</w:t>
            </w:r>
            <w:proofErr w:type="spellEnd"/>
            <w:r>
              <w:t xml:space="preserve"> спонсор </w:t>
            </w:r>
            <w:proofErr w:type="spellStart"/>
            <w:r>
              <w:t>делегував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обов’язки</w:t>
            </w:r>
            <w:proofErr w:type="spellEnd"/>
            <w:r>
              <w:t xml:space="preserve"> та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з </w:t>
            </w:r>
            <w:proofErr w:type="spellStart"/>
            <w:r>
              <w:t>пров</w:t>
            </w:r>
            <w:r w:rsidR="00B94179">
              <w:t>еденням</w:t>
            </w:r>
            <w:proofErr w:type="spellEnd"/>
            <w:r w:rsidR="00B94179">
              <w:t xml:space="preserve"> </w:t>
            </w:r>
            <w:proofErr w:type="spellStart"/>
            <w:r w:rsidR="00B94179">
              <w:t>клінічного</w:t>
            </w:r>
            <w:proofErr w:type="spellEnd"/>
            <w:r w:rsidR="00B94179">
              <w:t xml:space="preserve"> </w:t>
            </w:r>
            <w:proofErr w:type="spellStart"/>
            <w:r w:rsidR="00B94179">
              <w:t>випробування</w:t>
            </w:r>
            <w:proofErr w:type="spellEnd"/>
            <w:r>
              <w:t xml:space="preserve"> – ТОВ «Центр Клінічних Досліджень ЛТД»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132 </w:t>
            </w:r>
            <w:proofErr w:type="spellStart"/>
            <w:r>
              <w:t>від</w:t>
            </w:r>
            <w:proofErr w:type="spellEnd"/>
            <w:r>
              <w:t xml:space="preserve"> 20.01.2022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«Відкрите рандомізоване контрольоване міжнародне дослідження 3 фази для вивчення телізотузумабу ведотину (ABBV-399) у порівнянні з доцетакселом у пацієнтів із раніше лікованим місцевопоширеним/метастатичним неплоскоклітинним недрібноклітинним раком легенів із надекспресією рецептора фактора росту гепатоцитів (c-Met) та наявністю рецептора епідермального фактора росту (EGFR) немутагенного типу», М18-868, версія 1.0 від 21 квітня 2021 року.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Біофармасьютікалз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, </w:t>
            </w:r>
            <w:proofErr w:type="spellStart"/>
            <w:r>
              <w:t>Швейцарія</w:t>
            </w:r>
            <w:proofErr w:type="spellEnd"/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», США / </w:t>
            </w: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8722FF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MK-7902-014 (E7080-G000-320)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05 </w:t>
            </w:r>
            <w:proofErr w:type="spellStart"/>
            <w:r>
              <w:t>від</w:t>
            </w:r>
            <w:proofErr w:type="spellEnd"/>
            <w:r>
              <w:t xml:space="preserve"> 01 </w:t>
            </w:r>
            <w:proofErr w:type="spellStart"/>
            <w:r>
              <w:t>березня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MK-7902-014 </w:t>
            </w:r>
            <w:r w:rsidR="00B94179">
              <w:rPr>
                <w:lang w:val="uk-UA"/>
              </w:rPr>
              <w:t xml:space="preserve">                            </w:t>
            </w:r>
            <w:r>
              <w:t xml:space="preserve">(E7080-G000-320),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B94179">
              <w:rPr>
                <w:lang w:val="uk-UA"/>
              </w:rPr>
              <w:t xml:space="preserve">                 </w:t>
            </w:r>
            <w:r>
              <w:t xml:space="preserve">31 </w:t>
            </w:r>
            <w:proofErr w:type="spellStart"/>
            <w:r>
              <w:t>березня</w:t>
            </w:r>
            <w:proofErr w:type="spellEnd"/>
            <w:r>
              <w:t xml:space="preserve"> 2022 р., українською мовою; Україна, MK-7902-014 (E7080-G000-320), Доповнення до інформації та документу про інформовану згоду для пацієнта для лікування після прогресування хвороби, версія 1.00 від 31 березня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F19FA" w:rsidRPr="007F19F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FD1122" w:rsidTr="00324878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1122" w:rsidRDefault="00CC3DDD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1122" w:rsidRDefault="00CC3DD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F19FA" w:rsidTr="0032487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19FA" w:rsidRPr="007F19FA" w:rsidRDefault="007F19FA" w:rsidP="007F19FA">
                  <w:pPr>
                    <w:pStyle w:val="cs80d9435b"/>
                    <w:rPr>
                      <w:b/>
                      <w:lang w:val="ru-RU"/>
                    </w:rPr>
                  </w:pP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Дудніченко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 С. </w:t>
                  </w:r>
                </w:p>
                <w:p w:rsidR="007F19FA" w:rsidRPr="007F19FA" w:rsidRDefault="007F19FA" w:rsidP="007F19FA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невідкладної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В.Т. Зайцева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гнійної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25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палатою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інтенсивної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6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вська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я п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слядипломної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осв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ти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      м.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19FA" w:rsidRPr="007F19FA" w:rsidRDefault="007F19FA" w:rsidP="007F19FA">
                  <w:pPr>
                    <w:pStyle w:val="cs80d9435b"/>
                    <w:rPr>
                      <w:b/>
                      <w:lang w:val="ru-RU"/>
                    </w:rPr>
                  </w:pP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Дудніченко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 С. </w:t>
                  </w:r>
                </w:p>
                <w:p w:rsidR="007F19FA" w:rsidRPr="007F19FA" w:rsidRDefault="007F19FA" w:rsidP="007F19FA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невідкладної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В.Т. Зайцева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хірургічних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ускладненої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патології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25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палатою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інтенсивної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6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вська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я п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слядипломної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осв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ти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дитячої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          м. </w:t>
                  </w:r>
                  <w:proofErr w:type="spellStart"/>
                  <w:r w:rsidRPr="007F19F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FD1122" w:rsidRDefault="00FD1122">
            <w:pPr>
              <w:rPr>
                <w:rFonts w:asciiTheme="minorHAnsi" w:hAnsiTheme="minorHAnsi"/>
                <w:sz w:val="22"/>
              </w:rPr>
            </w:pP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2237 </w:t>
            </w:r>
            <w:proofErr w:type="spellStart"/>
            <w:r>
              <w:t>від</w:t>
            </w:r>
            <w:proofErr w:type="spellEnd"/>
            <w:r>
              <w:t xml:space="preserve"> 18.10.2021</w:t>
            </w:r>
          </w:p>
        </w:tc>
      </w:tr>
    </w:tbl>
    <w:p w:rsidR="00321E69" w:rsidRDefault="00321E69" w:rsidP="00321E6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7</w:t>
      </w:r>
    </w:p>
    <w:p w:rsidR="00321E69" w:rsidRDefault="00321E69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ІІІ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пембролізумабу</w:t>
            </w:r>
            <w:proofErr w:type="spellEnd"/>
            <w:r>
              <w:t xml:space="preserve"> </w:t>
            </w:r>
            <w:r w:rsidR="007F19FA" w:rsidRPr="007F19FA">
              <w:t xml:space="preserve">              </w:t>
            </w:r>
            <w:r>
              <w:t xml:space="preserve">(MK-3475) у </w:t>
            </w:r>
            <w:proofErr w:type="spellStart"/>
            <w:r>
              <w:t>комбінації</w:t>
            </w:r>
            <w:proofErr w:type="spellEnd"/>
            <w:r>
              <w:t xml:space="preserve"> з </w:t>
            </w:r>
            <w:proofErr w:type="spellStart"/>
            <w:r>
              <w:t>ленватинібом</w:t>
            </w:r>
            <w:proofErr w:type="spellEnd"/>
            <w:r>
              <w:t xml:space="preserve"> (E7080/MK-7902) і </w:t>
            </w:r>
            <w:proofErr w:type="spellStart"/>
            <w:r>
              <w:t>хіміотерапією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стандартним</w:t>
            </w:r>
            <w:proofErr w:type="spellEnd"/>
            <w:r>
              <w:t xml:space="preserve"> </w:t>
            </w:r>
            <w:proofErr w:type="spellStart"/>
            <w:r>
              <w:t>лікуванням</w:t>
            </w:r>
            <w:proofErr w:type="spellEnd"/>
            <w:r>
              <w:t xml:space="preserve"> в якості першої лінії терапії для учасників з метастатичною карциномою стравоходу», MK-7902-014 (E7080-G000-320), з інкорпорованою поправкою 03 від 05 серпня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 xml:space="preserve">Оновлене Досьє досліджуваного лікарського засобу AZD9291 (Osimertinib, TAGRISSO™) версія від лютого 2022 року; Оновлена Брошура дослідника по препарату AZD9291 (Osimertinib, TAGRISSO™), версія номер 16.0 від 17 лютого 2022 року; Інформація про дослідження та форма згоди для дорослих, локальна версія номер 7.0 для України українською та російською мовами, дата версії 04 квітня 2022 року, на основі Мастер версії номер 9 від 15 березня 2022 року; Доповнення до форми інформованої згоди (ФІЗ) щодо проведення досліджень зразків біологічного матеріалу локальна версія номер 3.0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, дата </w:t>
            </w:r>
            <w:proofErr w:type="spellStart"/>
            <w:r>
              <w:t>версії</w:t>
            </w:r>
            <w:proofErr w:type="spellEnd"/>
            <w:r>
              <w:t xml:space="preserve"> 04 </w:t>
            </w:r>
            <w:proofErr w:type="spellStart"/>
            <w:r>
              <w:t>квітня</w:t>
            </w:r>
            <w:proofErr w:type="spellEnd"/>
            <w:r>
              <w:t xml:space="preserve"> </w:t>
            </w:r>
            <w:r w:rsidR="007F19FA" w:rsidRPr="007F19FA">
              <w:t xml:space="preserve">                </w:t>
            </w:r>
            <w:r>
              <w:t xml:space="preserve">2022 року на </w:t>
            </w:r>
            <w:proofErr w:type="spellStart"/>
            <w:r>
              <w:t>основі</w:t>
            </w:r>
            <w:proofErr w:type="spellEnd"/>
            <w:r>
              <w:t xml:space="preserve"> Мастер </w:t>
            </w:r>
            <w:proofErr w:type="spellStart"/>
            <w:r>
              <w:t>версії</w:t>
            </w:r>
            <w:proofErr w:type="spellEnd"/>
            <w:r>
              <w:t xml:space="preserve"> номер 3.0 від 15 березня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1005 </w:t>
            </w:r>
            <w:proofErr w:type="spellStart"/>
            <w:r>
              <w:t>від</w:t>
            </w:r>
            <w:proofErr w:type="spellEnd"/>
            <w:r>
              <w:t xml:space="preserve"> 28.09.2016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«Багатоцентрове рандомізоване подвійне сліпе плацебо контрольоване дослідження 3 фази для оцінки ефективності та безпечності препарату AZD9291 у порівнянні з плацебо у пацієнтів з недрібноклітинним раком легень IБ-IIIA стадії та мутацією рецептора епідермального фактора росту при застосуванні після повної резекції пухлини незалежно від проведення ад’ювантної хіміотерапії (ADAURA)», D5164С00001, версія номер 5.0 від 25 січня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 «АСТРАЗЕНЕКА УКРАЇНА»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</w:t>
            </w:r>
            <w:proofErr w:type="spellStart"/>
            <w:r>
              <w:t>АстраЗенека</w:t>
            </w:r>
            <w:proofErr w:type="spellEnd"/>
            <w:r>
              <w:t xml:space="preserve"> АБ», </w:t>
            </w:r>
            <w:proofErr w:type="spellStart"/>
            <w:r>
              <w:t>Швеція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proofErr w:type="spellStart"/>
            <w:r>
              <w:t>Оновлене</w:t>
            </w:r>
            <w:proofErr w:type="spellEnd"/>
            <w:r>
              <w:t xml:space="preserve">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PF-06651600 (</w:t>
            </w:r>
            <w:proofErr w:type="spellStart"/>
            <w:r>
              <w:t>ритлецитиніб</w:t>
            </w:r>
            <w:proofErr w:type="spellEnd"/>
            <w:r>
              <w:t xml:space="preserve">) </w:t>
            </w:r>
            <w:proofErr w:type="spellStart"/>
            <w:r>
              <w:t>від</w:t>
            </w:r>
            <w:proofErr w:type="spellEnd"/>
            <w:r>
              <w:t xml:space="preserve"> 23 лютого </w:t>
            </w:r>
            <w:r w:rsidR="007F19FA" w:rsidRPr="007F19FA">
              <w:t xml:space="preserve">            </w:t>
            </w:r>
            <w:r>
              <w:t xml:space="preserve">2022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додаткової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r w:rsidR="007F19FA" w:rsidRPr="007F19FA">
              <w:t xml:space="preserve">                  </w:t>
            </w:r>
            <w:r>
              <w:t xml:space="preserve">PF-06651600 - </w:t>
            </w:r>
            <w:proofErr w:type="spellStart"/>
            <w:r>
              <w:t>ритлецитиніб</w:t>
            </w:r>
            <w:proofErr w:type="spellEnd"/>
            <w:r>
              <w:t xml:space="preserve">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досліджуваного лікарського засобу PF-06651600 (ритлецитиніб) до 60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1207 </w:t>
            </w:r>
            <w:proofErr w:type="spellStart"/>
            <w:r>
              <w:t>від</w:t>
            </w:r>
            <w:proofErr w:type="spellEnd"/>
            <w:r>
              <w:t xml:space="preserve"> 25.06.2018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«Рандомізоване, подвійне сліпе, плацебо-контрольоване дослідження у паралельних групах фази 2А для оцінки ефективності та безпечності пероральної форми препаратів PF-06651600 та PF-06700841 в якості індукційної терапії та відкрите розширене лікування пацієнтів з хворобою Крона </w:t>
            </w:r>
            <w:proofErr w:type="spellStart"/>
            <w:r>
              <w:t>середнього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важкого</w:t>
            </w:r>
            <w:proofErr w:type="spellEnd"/>
            <w:r>
              <w:t xml:space="preserve"> </w:t>
            </w:r>
            <w:proofErr w:type="spellStart"/>
            <w:r>
              <w:t>ступеня</w:t>
            </w:r>
            <w:proofErr w:type="spellEnd"/>
            <w:r>
              <w:t xml:space="preserve"> </w:t>
            </w:r>
            <w:proofErr w:type="spellStart"/>
            <w:r>
              <w:t>тяжкості</w:t>
            </w:r>
            <w:proofErr w:type="spellEnd"/>
            <w:r>
              <w:t xml:space="preserve">», B7981007,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5,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F19FA">
              <w:rPr>
                <w:lang w:val="en-US"/>
              </w:rPr>
              <w:t xml:space="preserve">            </w:t>
            </w:r>
            <w:r>
              <w:t xml:space="preserve">27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 «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Айкон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Брошура дослідника досліджуваного лікарського засобу ІМБРУВІКА® (ібрутиніб), видання 15 від 10 грудня 2021 року англійською мовою; Інформація для пацієнта та Форма інформованої згоди для України, версія 12.0 від 9 лютого 2022 року українською та російською мовами; Подовження терміну проведення клінічного випробування в Україні до 29 грудня 2027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835 </w:t>
            </w:r>
            <w:proofErr w:type="spellStart"/>
            <w:r>
              <w:t>від</w:t>
            </w:r>
            <w:proofErr w:type="spellEnd"/>
            <w:r>
              <w:t xml:space="preserve"> 15.08.2016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відкрите</w:t>
            </w:r>
            <w:proofErr w:type="spellEnd"/>
            <w:r>
              <w:t xml:space="preserve"> </w:t>
            </w:r>
            <w:proofErr w:type="spellStart"/>
            <w:r>
              <w:t>довгострокове</w:t>
            </w:r>
            <w:proofErr w:type="spellEnd"/>
            <w:r>
              <w:t xml:space="preserve"> </w:t>
            </w:r>
            <w:proofErr w:type="spellStart"/>
            <w:r>
              <w:t>подовжене</w:t>
            </w:r>
            <w:proofErr w:type="spellEnd"/>
            <w:r>
              <w:t xml:space="preserve"> </w:t>
            </w:r>
            <w:proofErr w:type="spellStart"/>
            <w:r>
              <w:t>клінічне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3b </w:t>
            </w:r>
            <w:proofErr w:type="spellStart"/>
            <w:r>
              <w:t>фази</w:t>
            </w:r>
            <w:proofErr w:type="spellEnd"/>
            <w:r>
              <w:t xml:space="preserve"> препарату </w:t>
            </w:r>
            <w:r w:rsidR="007F19FA" w:rsidRPr="007F19FA">
              <w:t xml:space="preserve">                </w:t>
            </w:r>
            <w:r>
              <w:t>PCI-32765 (</w:t>
            </w:r>
            <w:proofErr w:type="spellStart"/>
            <w:r>
              <w:t>Ібрутиніб</w:t>
            </w:r>
            <w:proofErr w:type="spellEnd"/>
            <w:r>
              <w:t>)», PCI-32765CAN3001, поправка INT-6 від 13 серпня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CV181375 (D1680C00019), версія 06 від 07 лютого 2022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1467 </w:t>
            </w:r>
            <w:proofErr w:type="spellStart"/>
            <w:r>
              <w:t>від</w:t>
            </w:r>
            <w:proofErr w:type="spellEnd"/>
            <w:r>
              <w:t xml:space="preserve"> 21.11.2017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7F19FA">
            <w:pPr>
              <w:jc w:val="both"/>
            </w:pPr>
            <w:r>
              <w:rPr>
                <w:lang w:val="uk-UA"/>
              </w:rPr>
              <w:t>«</w:t>
            </w:r>
            <w:r w:rsidR="00CC3DDD">
              <w:t>26-тижневе, багатоцентрове, рандомізоване, плацебо-контрольоване, подвійно-сліпе випробування фази 3 в паралельних групах із 26-тижневим подовженим періодом із міркувань безпеки для оцінювання безпеки й ефективності дапагліфлозіну в дозі 5 і 10 мг та саксагліптіну в дозі 2,5 і 5 мг у пацієнтів дитячого віку хворих на цукровий діабет 2-го типу, віком від 10 років та старше, але</w:t>
            </w:r>
            <w:r>
              <w:t xml:space="preserve">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досягли</w:t>
            </w:r>
            <w:proofErr w:type="spellEnd"/>
            <w:r>
              <w:t xml:space="preserve"> 18-річного </w:t>
            </w:r>
            <w:proofErr w:type="spellStart"/>
            <w:r>
              <w:t>віку</w:t>
            </w:r>
            <w:proofErr w:type="spellEnd"/>
            <w:r>
              <w:rPr>
                <w:lang w:val="uk-UA"/>
              </w:rPr>
              <w:t>»</w:t>
            </w:r>
            <w:r w:rsidR="00CC3DDD">
              <w:t xml:space="preserve">, CV181375/D1680C00019, </w:t>
            </w:r>
            <w:proofErr w:type="spellStart"/>
            <w:r w:rsidR="00CC3DDD">
              <w:t>версія</w:t>
            </w:r>
            <w:proofErr w:type="spellEnd"/>
            <w:r w:rsidR="00CC3DDD">
              <w:t xml:space="preserve"> 05 </w:t>
            </w:r>
            <w:proofErr w:type="spellStart"/>
            <w:r w:rsidR="00CC3DDD">
              <w:t>від</w:t>
            </w:r>
            <w:proofErr w:type="spellEnd"/>
            <w:r w:rsidR="00CC3DDD">
              <w:t xml:space="preserve"> 24 </w:t>
            </w:r>
            <w:proofErr w:type="spellStart"/>
            <w:r w:rsidR="00CC3DDD">
              <w:t>вересня</w:t>
            </w:r>
            <w:proofErr w:type="spellEnd"/>
            <w:r w:rsidR="00CC3DDD">
              <w:t xml:space="preserve"> 2020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 / </w:t>
            </w:r>
            <w:proofErr w:type="spellStart"/>
            <w:r>
              <w:t>АстраЗенека</w:t>
            </w:r>
            <w:proofErr w:type="spellEnd"/>
            <w:r>
              <w:t xml:space="preserve"> АБ, </w:t>
            </w:r>
            <w:proofErr w:type="spellStart"/>
            <w:r>
              <w:t>Швеція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AMT-101-203, версія 4.0 від 12 квітня 2022 р., англійською мовою; Залучення Immunologix Laboratories, США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310 </w:t>
            </w:r>
            <w:proofErr w:type="spellStart"/>
            <w:r>
              <w:t>від</w:t>
            </w:r>
            <w:proofErr w:type="spellEnd"/>
            <w:r>
              <w:t xml:space="preserve"> 23.02.2021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«Рандомізоване, плацебо-контрольоване, подвійне сліпе, у паралельних групах, пошукове, Фаза 2, дослідження ефективності і безпечності препарату AMT-101 для перорального застосування у </w:t>
            </w:r>
            <w:proofErr w:type="spellStart"/>
            <w:r>
              <w:t>поєднанні</w:t>
            </w:r>
            <w:proofErr w:type="spellEnd"/>
            <w:r>
              <w:t xml:space="preserve"> з </w:t>
            </w:r>
            <w:proofErr w:type="spellStart"/>
            <w:r>
              <w:t>адалімумабом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виразковим</w:t>
            </w:r>
            <w:proofErr w:type="spellEnd"/>
            <w:r>
              <w:t xml:space="preserve"> </w:t>
            </w:r>
            <w:proofErr w:type="spellStart"/>
            <w:r>
              <w:t>колітом</w:t>
            </w:r>
            <w:proofErr w:type="spellEnd"/>
            <w:r>
              <w:t xml:space="preserve"> </w:t>
            </w:r>
            <w:proofErr w:type="spellStart"/>
            <w:r>
              <w:t>середнього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тяжкого </w:t>
            </w:r>
            <w:proofErr w:type="spellStart"/>
            <w:r>
              <w:t>ступеня</w:t>
            </w:r>
            <w:proofErr w:type="spellEnd"/>
            <w:r>
              <w:t xml:space="preserve">», </w:t>
            </w:r>
            <w:r w:rsidR="007F19FA">
              <w:rPr>
                <w:lang w:val="uk-UA"/>
              </w:rPr>
              <w:t xml:space="preserve">          </w:t>
            </w:r>
            <w:r>
              <w:t xml:space="preserve">AMT-101-203,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жовтня</w:t>
            </w:r>
            <w:proofErr w:type="spellEnd"/>
            <w:r>
              <w:t xml:space="preserve"> 2021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 «</w:t>
            </w:r>
            <w:proofErr w:type="spellStart"/>
            <w:r>
              <w:t>Біомапас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FD1122" w:rsidRPr="0032487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Pr="008722FF" w:rsidRDefault="00CC3DDD">
            <w:pPr>
              <w:jc w:val="both"/>
            </w:pPr>
            <w:r w:rsidRPr="007F19FA">
              <w:rPr>
                <w:lang w:val="en-US"/>
              </w:rPr>
              <w:t>Applied</w:t>
            </w:r>
            <w:r w:rsidRPr="008722FF">
              <w:t xml:space="preserve"> </w:t>
            </w:r>
            <w:r w:rsidRPr="007F19FA">
              <w:rPr>
                <w:lang w:val="en-US"/>
              </w:rPr>
              <w:t>Molecular</w:t>
            </w:r>
            <w:r w:rsidRPr="008722FF">
              <w:t xml:space="preserve"> </w:t>
            </w:r>
            <w:r w:rsidRPr="007F19FA">
              <w:rPr>
                <w:lang w:val="en-US"/>
              </w:rPr>
              <w:t>Transport</w:t>
            </w:r>
            <w:r w:rsidRPr="008722FF">
              <w:t xml:space="preserve"> </w:t>
            </w:r>
            <w:proofErr w:type="spellStart"/>
            <w:r w:rsidRPr="007F19FA">
              <w:rPr>
                <w:lang w:val="en-US"/>
              </w:rPr>
              <w:t>Inc</w:t>
            </w:r>
            <w:proofErr w:type="spellEnd"/>
            <w:r w:rsidRPr="008722FF">
              <w:t>. /«</w:t>
            </w:r>
            <w:proofErr w:type="spellStart"/>
            <w:r>
              <w:t>Еплайд</w:t>
            </w:r>
            <w:proofErr w:type="spellEnd"/>
            <w:r w:rsidRPr="008722FF">
              <w:t xml:space="preserve"> </w:t>
            </w:r>
            <w:proofErr w:type="spellStart"/>
            <w:r>
              <w:t>Молекьюлар</w:t>
            </w:r>
            <w:proofErr w:type="spellEnd"/>
            <w:r w:rsidRPr="008722FF">
              <w:t xml:space="preserve"> </w:t>
            </w:r>
            <w:proofErr w:type="spellStart"/>
            <w:r>
              <w:t>Тренспорт</w:t>
            </w:r>
            <w:proofErr w:type="spellEnd"/>
            <w:r w:rsidRPr="008722FF">
              <w:t xml:space="preserve"> </w:t>
            </w:r>
            <w:proofErr w:type="spellStart"/>
            <w:r>
              <w:t>Інк</w:t>
            </w:r>
            <w:proofErr w:type="spellEnd"/>
            <w:r w:rsidRPr="008722FF">
              <w:t xml:space="preserve">.», </w:t>
            </w:r>
            <w:r>
              <w:t>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Оновлений протокол з інкорпорованою поправкою 8 від 02 грудня 2021 року англійською мовою; Зміна спонсора протоколу клінічного випробування GS-US-419-3896 з Gilead Sciences, Inc., США на Galapagos NV, Бельгія; Інформаційний листок та форма інформованої згоди пацієнта, версія 10.1.0 від 28 грудня 2021 року українською та російською мовами; Форма згоди партнерки на подальше спостереження за вагітністю, версія 4.1.0 від 05 січня 2022 року українською та російською мовами; Картка пацієнта, версія 2.0 від 09 лютого 2022 року українською та російською мовами; Зразок маркування для досліджуваного лікарського засобу Філготініб 100 мг або 200 мг, таблетки, вкриті плівковою оболонкою, від 04 лютого 2022 року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423 </w:t>
            </w:r>
            <w:proofErr w:type="spellStart"/>
            <w:r>
              <w:t>від</w:t>
            </w:r>
            <w:proofErr w:type="spellEnd"/>
            <w:r>
              <w:t xml:space="preserve"> 12.04.2017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«Довгострокове подовжене дослідження для оцінки безпеки філготінібу у пацієнтів із хворобою Крона», GS-US-419-3896, з інкорпорованою поправкою 7 від 23 березня 2020 року 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Gilead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Додаток 01 від 01 грудня 2021 року до Брошури дослідника досліджуваного лікарського засобу Фреманезумаб (Fremanezumab) (TEV-48125), видання 07 від 13 жовтня 2021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1143 </w:t>
            </w:r>
            <w:proofErr w:type="spellStart"/>
            <w:r>
              <w:t>від</w:t>
            </w:r>
            <w:proofErr w:type="spellEnd"/>
            <w:r>
              <w:t xml:space="preserve"> 15.05.2020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«Багатоцентрове рандомізоване подвійно сліпе плацебо-контрольоване дослідження в паралельних групах із подальшим відкритим додатковим періодом для оцінки ефективності та безпечності фреманезумабу для профілактичного лікування мігрені в пацієнтів із великим депресивним розладом», TV48125-MH-40142, з поправкою 04 від 04 травня 2020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FD1122" w:rsidRPr="009852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Pr="007F19FA" w:rsidRDefault="00CC3DDD">
            <w:pPr>
              <w:jc w:val="both"/>
              <w:rPr>
                <w:lang w:val="en-US"/>
              </w:rPr>
            </w:pPr>
            <w:proofErr w:type="spellStart"/>
            <w:r w:rsidRPr="007F19FA">
              <w:rPr>
                <w:lang w:val="en-US"/>
              </w:rPr>
              <w:t>Teva</w:t>
            </w:r>
            <w:proofErr w:type="spellEnd"/>
            <w:r w:rsidRPr="007F19FA">
              <w:rPr>
                <w:lang w:val="en-US"/>
              </w:rPr>
              <w:t xml:space="preserve"> Branded Pharmaceutical Products R&amp;D, Inc., </w:t>
            </w:r>
            <w:r>
              <w:t>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Оновлене досьє досліджуваного лікарського засобу Тіраголумаб 60 мг/мл, версія від грудня 2021 р.; Додавання альтернативного виробника досліджуваного лікарського засобу Тіраголумаб концентрат для розчину для внутрішньовенних інфузій (600 мг/10 мл) 60 мг/мл - Ф.Хоффманн-Ля Рош Лтд, Швейцарія; Додавання зразків маркувань досліджуваного лікарського засобу Тіраголумаб 600 мг/10 мл або плацебо у флаконі №1 з альтернативним виробником Ф.Хоффманн-Ля Рош Лтд, Швейцарія українською мовою від 06 квітня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2917 </w:t>
            </w:r>
            <w:proofErr w:type="spellStart"/>
            <w:r>
              <w:t>від</w:t>
            </w:r>
            <w:proofErr w:type="spellEnd"/>
            <w:r>
              <w:t xml:space="preserve"> 15.12.2020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«Рандомізоване, подвійне сліпе, плацебо-контрольоване фази III дослідження атезолізумабу 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YO42137, версія 5 від 27 серпня 2021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Олапариб</w:t>
            </w:r>
            <w:proofErr w:type="spellEnd"/>
            <w:r>
              <w:t xml:space="preserve"> (</w:t>
            </w:r>
            <w:proofErr w:type="spellStart"/>
            <w:r>
              <w:t>Olaparib</w:t>
            </w:r>
            <w:proofErr w:type="spellEnd"/>
            <w:r>
              <w:t xml:space="preserve">) (AZD2281, KU-0059436), </w:t>
            </w:r>
            <w:proofErr w:type="spellStart"/>
            <w:r>
              <w:t>видання</w:t>
            </w:r>
            <w:proofErr w:type="spellEnd"/>
            <w:r>
              <w:t xml:space="preserve"> 21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січня</w:t>
            </w:r>
            <w:proofErr w:type="spellEnd"/>
            <w:r>
              <w:t xml:space="preserve"> </w:t>
            </w:r>
            <w:r w:rsidR="007F19FA">
              <w:rPr>
                <w:lang w:val="uk-UA"/>
              </w:rPr>
              <w:t xml:space="preserve">                      </w:t>
            </w:r>
            <w:r>
              <w:t xml:space="preserve">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МК-7339-007, </w:t>
            </w:r>
            <w:proofErr w:type="spellStart"/>
            <w:r>
              <w:t>версія</w:t>
            </w:r>
            <w:proofErr w:type="spellEnd"/>
            <w:r>
              <w:t xml:space="preserve"> 06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квітня</w:t>
            </w:r>
            <w:proofErr w:type="spellEnd"/>
            <w:r>
              <w:t xml:space="preserve"> 2022 р., українською мовою, інформація та документ про інформовану згоду для пацієнта, створена на основі глобального шаблону для МК-7339-007, версія 06 від 15 березня 2022 р., а також шаблону, затвердженого для України, версія від 15 січня 2021 р.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2487 </w:t>
            </w:r>
            <w:proofErr w:type="spellStart"/>
            <w:r>
              <w:t>від</w:t>
            </w:r>
            <w:proofErr w:type="spellEnd"/>
            <w:r>
              <w:t xml:space="preserve"> 17.12.2019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ДНК», MK-7339-007, з інкорпорованою поправкою 04 від 04 серпня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>., USA)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Брошура дослідника JNJ-67896049 / ACT-293987 / NS-304 Uptravi® (selexipag), Видання 17 від 07.02.2022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310 </w:t>
            </w:r>
            <w:proofErr w:type="spellStart"/>
            <w:r>
              <w:t>від</w:t>
            </w:r>
            <w:proofErr w:type="spellEnd"/>
            <w:r>
              <w:t xml:space="preserve"> 23.02.2021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«Багатоцентрове, з одним рукавом лікування, відкрите, довготривале клінічне дослідження спостереження безпечності Селексіпагу у учасників, які брали участь у попередньому клінічному дослідженні Селексіпагу», 67896049PUH3001, з Поправкою 1 від 08.12.2020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Включення додаткової виробничої ділянки для ДЛЗ Абіратерона ацетат, Аbiraterone acetate, Зитига, ZYTIGA; JNJ-212082; (G0002); таблетки; 250 мг: Patheon Inc., Канада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2777 </w:t>
            </w:r>
            <w:proofErr w:type="spellStart"/>
            <w:r>
              <w:t>від</w:t>
            </w:r>
            <w:proofErr w:type="spellEnd"/>
            <w:r>
              <w:t xml:space="preserve"> 02.12.2020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(mCSPC) зі шкідливою гермінальною або соматичною мутацією генів, що відповідають за репарацію шляхом гомологічної рекомбінації (HRR)», 67652000PCR3002, з Поправкою 1 від 21.12.2020 р.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</w:t>
      </w:r>
      <w:r w:rsidR="007F19FA">
        <w:rPr>
          <w:lang w:val="uk-UA"/>
        </w:rPr>
        <w:t xml:space="preserve">                                </w:t>
      </w:r>
      <w:r w:rsidR="007F19FA">
        <w:rPr>
          <w:lang w:val="en-US"/>
        </w:rPr>
        <w:t xml:space="preserve"> </w:t>
      </w:r>
      <w:r>
        <w:rPr>
          <w:lang w:val="uk-UA"/>
        </w:rPr>
        <w:t xml:space="preserve">                     Додаток </w:t>
      </w:r>
      <w:r>
        <w:rPr>
          <w:lang w:val="en-US"/>
        </w:rPr>
        <w:t>19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P2-IMU-838-UC, фінальна версія 6.0 від 14 грудня 2021 року; Оновлений інформаційний листок пацієнта та форма інформованої згоди (ІЛП/ФІЗ) для України, фінальна версія 7.0 від 31 січня 2022 року на основі фінальної </w:t>
            </w:r>
            <w:proofErr w:type="spellStart"/>
            <w:r>
              <w:t>майстер</w:t>
            </w:r>
            <w:proofErr w:type="spellEnd"/>
            <w:r>
              <w:t xml:space="preserve"> </w:t>
            </w:r>
            <w:proofErr w:type="spellStart"/>
            <w:r>
              <w:t>версії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січня</w:t>
            </w:r>
            <w:proofErr w:type="spellEnd"/>
            <w:r>
              <w:t xml:space="preserve"> 2022 року </w:t>
            </w:r>
            <w:proofErr w:type="spellStart"/>
            <w:r>
              <w:t>англійською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з ТОВ «КОВАНС КЛІНІКАЛ ДЕВЕЛОПМЕНТ УКРАЇНА» на ТОВ «ЛАБКОРП КЛІНІКАЛ ДЕВЕЛОПМЕНТ УКРАЇНА»</w:t>
            </w:r>
            <w:r w:rsidR="007F19FA" w:rsidRPr="007F19FA">
              <w:t xml:space="preserve">; </w:t>
            </w:r>
            <w:proofErr w:type="spellStart"/>
            <w:r w:rsidR="007F19FA">
              <w:t>Зміна</w:t>
            </w:r>
            <w:proofErr w:type="spellEnd"/>
            <w:r w:rsidR="007F19FA">
              <w:t xml:space="preserve"> </w:t>
            </w:r>
            <w:proofErr w:type="spellStart"/>
            <w:r w:rsidR="007F19FA">
              <w:t>назви</w:t>
            </w:r>
            <w:proofErr w:type="spellEnd"/>
            <w:r w:rsidR="007F19FA">
              <w:t xml:space="preserve"> </w:t>
            </w:r>
            <w:proofErr w:type="spellStart"/>
            <w:r w:rsidR="007F19FA">
              <w:t>місця</w:t>
            </w:r>
            <w:proofErr w:type="spellEnd"/>
            <w:r w:rsidR="007F19FA">
              <w:t xml:space="preserve"> </w:t>
            </w:r>
            <w:proofErr w:type="spellStart"/>
            <w:r w:rsidR="007F19FA">
              <w:t>проведення</w:t>
            </w:r>
            <w:proofErr w:type="spellEnd"/>
            <w:r w:rsidR="007F19FA">
              <w:t xml:space="preserve"> </w:t>
            </w:r>
            <w:proofErr w:type="spellStart"/>
            <w:r w:rsidR="007F19FA">
              <w:t>клінічного</w:t>
            </w:r>
            <w:proofErr w:type="spellEnd"/>
            <w:r w:rsidR="007F19FA">
              <w:t xml:space="preserve"> </w:t>
            </w:r>
            <w:proofErr w:type="spellStart"/>
            <w:r w:rsidR="007F19FA">
              <w:t>випробування</w:t>
            </w:r>
            <w:proofErr w:type="spellEnd"/>
            <w:r w:rsidR="007F19FA" w:rsidRPr="007F19F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FD112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1122" w:rsidRDefault="00CC3DDD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1122" w:rsidRDefault="00CC3DD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F19F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19FA" w:rsidRPr="007F19FA" w:rsidRDefault="007F19FA" w:rsidP="007F19FA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Скибало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С.А. </w:t>
                  </w:r>
                </w:p>
                <w:p w:rsidR="007F19FA" w:rsidRPr="007F19FA" w:rsidRDefault="007F19FA" w:rsidP="007F19FA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 1»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 2, м.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19FA" w:rsidRPr="007F19FA" w:rsidRDefault="007F19FA" w:rsidP="007F19FA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Скибало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С.А.</w:t>
                  </w:r>
                </w:p>
                <w:p w:rsidR="007F19FA" w:rsidRPr="007F19FA" w:rsidRDefault="007F19FA" w:rsidP="007F19FA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 1»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F19FA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FD1122" w:rsidRDefault="00FD1122">
            <w:pPr>
              <w:rPr>
                <w:rFonts w:asciiTheme="minorHAnsi" w:hAnsiTheme="minorHAnsi"/>
                <w:sz w:val="22"/>
              </w:rPr>
            </w:pP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1132 </w:t>
            </w:r>
            <w:proofErr w:type="spellStart"/>
            <w:r>
              <w:t>від</w:t>
            </w:r>
            <w:proofErr w:type="spellEnd"/>
            <w:r>
              <w:t xml:space="preserve"> 15.06.2018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«Фаза 2, багатоцентрове, рандомізоване, подвійне сліпе, плацебо-контрольоване дослідження з метою визначення дози для оцінки ефективності та безпеки препарату IMU-838, що використовується в якості засобу індукційної та підтримуючої терапії при виразковому коліті середнього та тяжкого ступеня», P2-IMU-838-UC, фінальна версія 5.0 від 26 лютого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«ЛАБКОРП КЛІНІКАЛ ДЕВЕЛОПМЕНТ УКРАЇНА»</w:t>
            </w:r>
          </w:p>
        </w:tc>
      </w:tr>
    </w:tbl>
    <w:p w:rsidR="00321E69" w:rsidRDefault="00321E69" w:rsidP="00321E6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19</w:t>
      </w:r>
    </w:p>
    <w:p w:rsidR="00321E69" w:rsidRDefault="00321E69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Immunic</w:t>
            </w:r>
            <w:proofErr w:type="spellEnd"/>
            <w:r>
              <w:t xml:space="preserve"> AG, </w:t>
            </w:r>
            <w:proofErr w:type="spellStart"/>
            <w:r>
              <w:t>Німеччина</w:t>
            </w:r>
            <w:proofErr w:type="spellEnd"/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4878" w:rsidRPr="00324878" w:rsidRDefault="00324878">
      <w:pPr>
        <w:rPr>
          <w:b/>
          <w:color w:val="000000"/>
          <w:sz w:val="16"/>
          <w:szCs w:val="16"/>
          <w:shd w:val="clear" w:color="auto" w:fill="FFFFFF"/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F19FA">
        <w:t>20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Pr="007F19FA" w:rsidRDefault="00CC3DDD">
            <w:pPr>
              <w:jc w:val="both"/>
            </w:pPr>
            <w:r>
              <w:t xml:space="preserve">Оновлений протокол клінічного випробування C4221016, остаточна версія протоколу, Поправка 2 від 02 грудня 2021 року, англійською мовою; Сторінка підпису протоколу C4221016 з поправкою 2, підписана спонсором 02 грудня 2021 року; Синопсис протоколу клінічного дослідження C4221016 з інкорпорованою поправкою 2 англійською мовою від 02 грудня 2021 року; Синопсис протоколу клінічного дослідження C4221016 з інкорпорованою поправкою 1 українською мовою від 02 грудня 2021 року; Форма інформованої згоди на участь у ввідній частині дослідження для оцінки безпечності, версія 3.0 від 28 грудня 2021 р. для України англійською мовою; Форма інформованої згоди на участь у </w:t>
            </w:r>
            <w:proofErr w:type="spellStart"/>
            <w:r>
              <w:t>ввідній</w:t>
            </w:r>
            <w:proofErr w:type="spellEnd"/>
            <w:r>
              <w:t xml:space="preserve"> </w:t>
            </w:r>
            <w:proofErr w:type="spellStart"/>
            <w:r>
              <w:t>частині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грудня</w:t>
            </w:r>
            <w:proofErr w:type="spellEnd"/>
            <w:r>
              <w:t xml:space="preserve"> </w:t>
            </w:r>
            <w:r w:rsidR="007F19FA" w:rsidRPr="007F19FA">
              <w:t xml:space="preserve">            </w:t>
            </w:r>
            <w:r>
              <w:t xml:space="preserve">2021 р.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</w:t>
            </w:r>
            <w:r w:rsidR="007F19FA" w:rsidRPr="007F19FA">
              <w:t xml:space="preserve"> </w:t>
            </w:r>
            <w:r>
              <w:t xml:space="preserve">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на участь у ввідній частині дослідження для оцінки безпечності, версія 3.0 від 28 грудня 2021 р. для України українською мовою; Форма інформованої згоди на участь у дослідженні, версія 4.0 від від 28 грудня 2021 р. для України українською мовою; Форма інформованої згоди на участь у дослідженні, версія 4.0 від від 28 грудня 2021 р. для України російською мовою; Форма інформованої згоди на участь у дослідженні, версія 4.0 від від 28 грудня 2021 р. для України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833 </w:t>
            </w:r>
            <w:proofErr w:type="spellStart"/>
            <w:r>
              <w:t>від</w:t>
            </w:r>
            <w:proofErr w:type="spellEnd"/>
            <w:r>
              <w:t xml:space="preserve"> 28.04.2021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BRAF V600E/K», C4221016, остаточна версія протоколу, Поправка 1 від 31 березня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</w:tbl>
    <w:p w:rsidR="00321E69" w:rsidRDefault="00321E69" w:rsidP="00321E6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20</w:t>
      </w:r>
    </w:p>
    <w:p w:rsidR="00321E69" w:rsidRDefault="00321E69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324878" w:rsidRPr="00324878" w:rsidRDefault="00324878">
      <w:pPr>
        <w:rPr>
          <w:b/>
          <w:color w:val="000000"/>
          <w:sz w:val="16"/>
          <w:szCs w:val="16"/>
          <w:shd w:val="clear" w:color="auto" w:fill="FFFFFF"/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F19FA">
        <w:t>21</w:t>
      </w:r>
    </w:p>
    <w:p w:rsidR="00FD1122" w:rsidRDefault="008722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MK-7684A-004, з інкорпорованою поправкою 03 від 18 лютого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1722 </w:t>
            </w:r>
            <w:proofErr w:type="spellStart"/>
            <w:r>
              <w:t>від</w:t>
            </w:r>
            <w:proofErr w:type="spellEnd"/>
            <w:r>
              <w:t xml:space="preserve"> 11.08.2021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«Відкрите дослідження фази 2 для оцінки безпеки та ефективності MK-7684A (комбінація MK-7684 [вібостолімаб] з MK-3475 [пембролізумаб]) у </w:t>
            </w:r>
            <w:proofErr w:type="spellStart"/>
            <w:r>
              <w:t>учасників</w:t>
            </w:r>
            <w:proofErr w:type="spellEnd"/>
            <w:r>
              <w:t xml:space="preserve"> з </w:t>
            </w:r>
            <w:proofErr w:type="spellStart"/>
            <w:r>
              <w:t>рецидивуючими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рефрактерними</w:t>
            </w:r>
            <w:proofErr w:type="spellEnd"/>
            <w:r>
              <w:t xml:space="preserve"> </w:t>
            </w:r>
            <w:proofErr w:type="spellStart"/>
            <w:r>
              <w:t>гематологічними</w:t>
            </w:r>
            <w:proofErr w:type="spellEnd"/>
            <w:r>
              <w:t xml:space="preserve"> </w:t>
            </w:r>
            <w:proofErr w:type="spellStart"/>
            <w:r>
              <w:t>злоякісними</w:t>
            </w:r>
            <w:proofErr w:type="spellEnd"/>
            <w:r>
              <w:t xml:space="preserve"> </w:t>
            </w:r>
            <w:proofErr w:type="spellStart"/>
            <w:r>
              <w:t>новоутвореннями</w:t>
            </w:r>
            <w:proofErr w:type="spellEnd"/>
            <w:r>
              <w:t xml:space="preserve">», MK-7684A-004,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</w:t>
            </w:r>
            <w:r w:rsidR="007F19FA" w:rsidRPr="007F19FA">
              <w:t xml:space="preserve">            </w:t>
            </w:r>
            <w:r>
              <w:t xml:space="preserve">02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вересня</w:t>
            </w:r>
            <w:proofErr w:type="spellEnd"/>
            <w:r>
              <w:t xml:space="preserve">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D11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>., USA)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FD1122" w:rsidRDefault="00CC3DD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FD1122" w:rsidRDefault="00321E6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  <w:r w:rsidR="00CC3DDD">
        <w:rPr>
          <w:lang w:val="uk-UA"/>
        </w:rPr>
        <w:t xml:space="preserve"> </w:t>
      </w:r>
    </w:p>
    <w:p w:rsidR="00FD1122" w:rsidRDefault="00985251">
      <w:pPr>
        <w:ind w:left="9072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</w:p>
    <w:p w:rsidR="00FD1122" w:rsidRDefault="00FD1122"/>
    <w:p w:rsidR="00FD1122" w:rsidRDefault="00FD112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11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1122" w:rsidRDefault="00CC3DDD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SGN22E-003, з </w:t>
            </w:r>
            <w:proofErr w:type="spellStart"/>
            <w:r>
              <w:t>поправкою</w:t>
            </w:r>
            <w:proofErr w:type="spellEnd"/>
            <w:r>
              <w:t xml:space="preserve"> 5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березня</w:t>
            </w:r>
            <w:proofErr w:type="spellEnd"/>
            <w:r>
              <w:t xml:space="preserve"> </w:t>
            </w:r>
            <w:r w:rsidR="007F19FA" w:rsidRPr="007F19FA">
              <w:t xml:space="preserve">                       </w:t>
            </w:r>
            <w:r>
              <w:t xml:space="preserve">2022 року; </w:t>
            </w:r>
            <w:proofErr w:type="spellStart"/>
            <w:r>
              <w:t>Матеріали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: </w:t>
            </w:r>
            <w:proofErr w:type="spellStart"/>
            <w:r>
              <w:t>Брошура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(SGN22E-003: EV-302 – PFM – Patient Brochure), версія 1.0 від 11 </w:t>
            </w:r>
            <w:proofErr w:type="spellStart"/>
            <w:r>
              <w:t>січня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Довідник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візитів</w:t>
            </w:r>
            <w:proofErr w:type="spellEnd"/>
            <w:r>
              <w:t xml:space="preserve"> «Ваш </w:t>
            </w:r>
            <w:proofErr w:type="spellStart"/>
            <w:r w:rsidR="007F19FA">
              <w:t>Довідник</w:t>
            </w:r>
            <w:proofErr w:type="spellEnd"/>
            <w:r w:rsidR="007F19FA">
              <w:t xml:space="preserve"> для </w:t>
            </w:r>
            <w:proofErr w:type="spellStart"/>
            <w:r w:rsidR="007F19FA">
              <w:t>дослідження</w:t>
            </w:r>
            <w:proofErr w:type="spellEnd"/>
            <w:r w:rsidR="007F19FA">
              <w:t xml:space="preserve"> EV-302</w:t>
            </w:r>
            <w:r w:rsidR="007F19FA">
              <w:rPr>
                <w:lang w:val="uk-UA"/>
              </w:rPr>
              <w:t>»</w:t>
            </w:r>
            <w:r>
              <w:t xml:space="preserve"> (SGN22E-003: EV-302 – PFM – </w:t>
            </w:r>
            <w:proofErr w:type="spellStart"/>
            <w:r>
              <w:t>Visit-by-visit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11 </w:t>
            </w:r>
            <w:proofErr w:type="spellStart"/>
            <w:r>
              <w:t>січня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№ 1586 </w:t>
            </w:r>
            <w:proofErr w:type="spellStart"/>
            <w:r>
              <w:t>від</w:t>
            </w:r>
            <w:proofErr w:type="spellEnd"/>
            <w:r>
              <w:t xml:space="preserve"> 29.07.2021</w:t>
            </w:r>
          </w:p>
        </w:tc>
      </w:tr>
      <w:tr w:rsidR="00FD11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>«Відкрите, рандомізоване, контрольоване, 3 фази дослідження енфортумабу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раку», SGN22E-003, з поправкою 4 від 11 листопада 2021 року</w:t>
            </w:r>
          </w:p>
        </w:tc>
      </w:tr>
      <w:tr w:rsidR="00FD11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FD1122" w:rsidRPr="0098525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Pr="007F19FA" w:rsidRDefault="00CC3DDD">
            <w:pPr>
              <w:jc w:val="both"/>
              <w:rPr>
                <w:lang w:val="en-US"/>
              </w:rPr>
            </w:pPr>
            <w:r w:rsidRPr="007F19FA">
              <w:rPr>
                <w:lang w:val="en-US"/>
              </w:rPr>
              <w:t>«</w:t>
            </w:r>
            <w:proofErr w:type="spellStart"/>
            <w:r>
              <w:t>Сіджен</w:t>
            </w:r>
            <w:proofErr w:type="spellEnd"/>
            <w:r w:rsidRPr="007F19FA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7F19FA">
              <w:rPr>
                <w:lang w:val="en-US"/>
              </w:rPr>
              <w:t xml:space="preserve">.»/ </w:t>
            </w:r>
            <w:proofErr w:type="spellStart"/>
            <w:r w:rsidRPr="007F19FA">
              <w:rPr>
                <w:lang w:val="en-US"/>
              </w:rPr>
              <w:t>Seagen</w:t>
            </w:r>
            <w:proofErr w:type="spellEnd"/>
            <w:r w:rsidRPr="007F19FA">
              <w:rPr>
                <w:lang w:val="en-US"/>
              </w:rPr>
              <w:t xml:space="preserve"> Inc., </w:t>
            </w:r>
            <w:r>
              <w:t>США</w:t>
            </w:r>
          </w:p>
        </w:tc>
      </w:tr>
      <w:tr w:rsidR="00FD11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22" w:rsidRDefault="00CC3DD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FD1122" w:rsidRDefault="00FD1122">
      <w:pPr>
        <w:rPr>
          <w:lang w:val="uk-UA"/>
        </w:rPr>
      </w:pPr>
    </w:p>
    <w:p w:rsidR="00FD1122" w:rsidRDefault="00CC3DD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CC3DD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  <w:r w:rsidR="003316B9">
        <w:t xml:space="preserve"> </w:t>
      </w:r>
      <w:r>
        <w:br w:type="page"/>
      </w:r>
    </w:p>
    <w:p w:rsidR="00B94179" w:rsidRDefault="00B94179" w:rsidP="00B9417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143377">
        <w:t>23</w:t>
      </w:r>
    </w:p>
    <w:p w:rsidR="00B94179" w:rsidRDefault="00321E69" w:rsidP="00B9417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722FF">
        <w:rPr>
          <w:lang w:val="uk-UA"/>
        </w:rPr>
        <w:t>Про затвердження суттєвих поправок до протоколів клінічних випробувань та внесення змін до наказу Міністерства охорони здоров’я України від 17 травня 2022 року № 818</w:t>
      </w:r>
      <w:r>
        <w:rPr>
          <w:lang w:val="uk-UA"/>
        </w:rPr>
        <w:t>»</w:t>
      </w:r>
    </w:p>
    <w:p w:rsidR="00B94179" w:rsidRDefault="00985251" w:rsidP="00B94179">
      <w:pPr>
        <w:ind w:left="9214"/>
        <w:rPr>
          <w:lang w:val="uk-UA"/>
        </w:rPr>
      </w:pPr>
      <w:r>
        <w:rPr>
          <w:u w:val="single"/>
          <w:lang w:val="uk-UA"/>
        </w:rPr>
        <w:t>20.05.2022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863</w:t>
      </w:r>
      <w:bookmarkStart w:id="0" w:name="_GoBack"/>
      <w:bookmarkEnd w:id="0"/>
    </w:p>
    <w:p w:rsidR="00B94179" w:rsidRDefault="00B94179" w:rsidP="00B94179"/>
    <w:tbl>
      <w:tblPr>
        <w:tblStyle w:val="a6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0490"/>
      </w:tblGrid>
      <w:tr w:rsidR="00B94179" w:rsidTr="0032487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94179" w:rsidRPr="00B94179" w:rsidRDefault="00B94179" w:rsidP="00324878">
            <w:pPr>
              <w:jc w:val="both"/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TP0003 з </w:t>
            </w:r>
            <w:proofErr w:type="spellStart"/>
            <w:r>
              <w:t>поправкою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03 </w:t>
            </w:r>
            <w:proofErr w:type="spellStart"/>
            <w:r>
              <w:t>грудня</w:t>
            </w:r>
            <w:proofErr w:type="spellEnd"/>
            <w:r>
              <w:t xml:space="preserve"> 2021 року;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на участь у </w:t>
            </w:r>
            <w:proofErr w:type="spellStart"/>
            <w:r>
              <w:t>дослідженні</w:t>
            </w:r>
            <w:proofErr w:type="spellEnd"/>
            <w:r>
              <w:t xml:space="preserve"> TP0003 (</w:t>
            </w:r>
            <w:proofErr w:type="spellStart"/>
            <w:r>
              <w:t>myOpportunITy</w:t>
            </w:r>
            <w:proofErr w:type="spellEnd"/>
            <w:r>
              <w:t xml:space="preserve"> 1), модель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09 </w:t>
            </w:r>
            <w:proofErr w:type="spellStart"/>
            <w:r>
              <w:t>грудня</w:t>
            </w:r>
            <w:proofErr w:type="spellEnd"/>
            <w:r>
              <w:t xml:space="preserve"> 2021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на участь у </w:t>
            </w:r>
            <w:proofErr w:type="spellStart"/>
            <w:r>
              <w:t>фармакогеномному</w:t>
            </w:r>
            <w:proofErr w:type="spellEnd"/>
            <w:r>
              <w:t xml:space="preserve"> </w:t>
            </w:r>
            <w:proofErr w:type="spellStart"/>
            <w:r>
              <w:t>дослідженні</w:t>
            </w:r>
            <w:proofErr w:type="spellEnd"/>
            <w:r>
              <w:t xml:space="preserve"> в рамках основного </w:t>
            </w:r>
            <w:proofErr w:type="spellStart"/>
            <w:r>
              <w:t>дослідження</w:t>
            </w:r>
            <w:proofErr w:type="spellEnd"/>
            <w:r>
              <w:t xml:space="preserve"> TP0003 (</w:t>
            </w:r>
            <w:proofErr w:type="spellStart"/>
            <w:r>
              <w:t>myOpportunITy</w:t>
            </w:r>
            <w:proofErr w:type="spellEnd"/>
            <w:r>
              <w:t xml:space="preserve"> 1), модель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09 </w:t>
            </w:r>
            <w:proofErr w:type="spellStart"/>
            <w:r>
              <w:t>грудня</w:t>
            </w:r>
            <w:proofErr w:type="spellEnd"/>
            <w:r>
              <w:t xml:space="preserve"> 2021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>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для </w:t>
            </w:r>
            <w:proofErr w:type="spellStart"/>
            <w:r>
              <w:t>пацієнтів</w:t>
            </w:r>
            <w:proofErr w:type="spellEnd"/>
            <w:r>
              <w:t xml:space="preserve">: </w:t>
            </w:r>
            <w:proofErr w:type="spellStart"/>
            <w:r>
              <w:t>Картка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(</w:t>
            </w:r>
            <w:proofErr w:type="spellStart"/>
            <w:r>
              <w:t>Patient</w:t>
            </w:r>
            <w:proofErr w:type="spellEnd"/>
            <w:r>
              <w:t xml:space="preserve"> ID </w:t>
            </w:r>
            <w:proofErr w:type="spellStart"/>
            <w:r>
              <w:t>Card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7 </w:t>
            </w:r>
            <w:proofErr w:type="spellStart"/>
            <w:r>
              <w:t>грудня</w:t>
            </w:r>
            <w:proofErr w:type="spellEnd"/>
            <w:r>
              <w:t xml:space="preserve"> 2021 року, дата перекладу 21 </w:t>
            </w:r>
            <w:proofErr w:type="spellStart"/>
            <w:r>
              <w:t>грудня</w:t>
            </w:r>
            <w:proofErr w:type="spellEnd"/>
            <w:r>
              <w:t xml:space="preserve"> 2021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Листок-вкладка в упаковку з вакциною </w:t>
            </w:r>
            <w:proofErr w:type="spellStart"/>
            <w:r>
              <w:t>Бексеро</w:t>
            </w:r>
            <w:proofErr w:type="spellEnd"/>
            <w:r>
              <w:t xml:space="preserve"> для </w:t>
            </w:r>
            <w:proofErr w:type="spellStart"/>
            <w:r>
              <w:t>дослідження</w:t>
            </w:r>
            <w:proofErr w:type="spellEnd"/>
            <w:r>
              <w:t xml:space="preserve"> TP0003 / TP0006, </w:t>
            </w:r>
            <w:proofErr w:type="spellStart"/>
            <w:r>
              <w:t>від</w:t>
            </w:r>
            <w:proofErr w:type="spellEnd"/>
            <w:r>
              <w:t xml:space="preserve"> 10 листопада 2021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Листок-вкладка в упаковку з вакциною </w:t>
            </w:r>
            <w:proofErr w:type="spellStart"/>
            <w:r>
              <w:t>Превенар</w:t>
            </w:r>
            <w:proofErr w:type="spellEnd"/>
            <w:r>
              <w:t xml:space="preserve"> 13 (</w:t>
            </w:r>
            <w:proofErr w:type="spellStart"/>
            <w:r>
              <w:t>Prevenar</w:t>
            </w:r>
            <w:proofErr w:type="spellEnd"/>
            <w:r>
              <w:t xml:space="preserve"> 13) для </w:t>
            </w:r>
            <w:proofErr w:type="spellStart"/>
            <w:r>
              <w:t>дослідження</w:t>
            </w:r>
            <w:proofErr w:type="spellEnd"/>
            <w:r>
              <w:t xml:space="preserve"> TP0003 / TP0006,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жовтня</w:t>
            </w:r>
            <w:proofErr w:type="spellEnd"/>
            <w:r>
              <w:t xml:space="preserve"> 2021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приймають</w:t>
            </w:r>
            <w:proofErr w:type="spellEnd"/>
            <w:r>
              <w:t xml:space="preserve"> участь у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r>
              <w:t>випробуванні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з 16 до 18 </w:t>
            </w:r>
            <w:proofErr w:type="spellStart"/>
            <w:r>
              <w:t>осіб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B94179" w:rsidTr="00324878">
        <w:trPr>
          <w:trHeight w:val="10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jc w:val="both"/>
            </w:pPr>
            <w:r>
              <w:t xml:space="preserve">№ 1246 </w:t>
            </w:r>
            <w:proofErr w:type="spellStart"/>
            <w:r>
              <w:t>від</w:t>
            </w:r>
            <w:proofErr w:type="spellEnd"/>
            <w:r>
              <w:t xml:space="preserve"> 26.05.2020</w:t>
            </w:r>
          </w:p>
        </w:tc>
      </w:tr>
      <w:tr w:rsidR="00B94179" w:rsidTr="00324878">
        <w:trPr>
          <w:trHeight w:val="10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,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переносимості</w:t>
            </w:r>
            <w:proofErr w:type="spellEnd"/>
            <w:r>
              <w:t xml:space="preserve"> препарату </w:t>
            </w:r>
            <w:proofErr w:type="spellStart"/>
            <w:r>
              <w:t>розаноліксізумаб</w:t>
            </w:r>
            <w:proofErr w:type="spellEnd"/>
            <w:r>
              <w:t xml:space="preserve">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з </w:t>
            </w:r>
            <w:proofErr w:type="spellStart"/>
            <w:r>
              <w:t>персистуючою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хронічною</w:t>
            </w:r>
            <w:proofErr w:type="spellEnd"/>
            <w:r>
              <w:t xml:space="preserve"> </w:t>
            </w:r>
            <w:proofErr w:type="spellStart"/>
            <w:r>
              <w:t>первинною</w:t>
            </w:r>
            <w:proofErr w:type="spellEnd"/>
            <w:r>
              <w:t xml:space="preserve"> </w:t>
            </w:r>
            <w:proofErr w:type="spellStart"/>
            <w:r>
              <w:t>імунною</w:t>
            </w:r>
            <w:proofErr w:type="spellEnd"/>
            <w:r>
              <w:t xml:space="preserve"> </w:t>
            </w:r>
            <w:proofErr w:type="spellStart"/>
            <w:r>
              <w:t>тромбоцитопенією</w:t>
            </w:r>
            <w:proofErr w:type="spellEnd"/>
            <w:r>
              <w:t xml:space="preserve"> (ІТП)», TP0003, з </w:t>
            </w:r>
            <w:proofErr w:type="spellStart"/>
            <w:r>
              <w:t>поправкою</w:t>
            </w:r>
            <w:proofErr w:type="spellEnd"/>
            <w:r>
              <w:t xml:space="preserve"> 2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вересня</w:t>
            </w:r>
            <w:proofErr w:type="spellEnd"/>
            <w:r>
              <w:t xml:space="preserve"> 2020 року</w:t>
            </w:r>
          </w:p>
        </w:tc>
      </w:tr>
      <w:tr w:rsidR="00B94179" w:rsidTr="00324878">
        <w:trPr>
          <w:trHeight w:val="3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B94179" w:rsidTr="00324878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jc w:val="both"/>
            </w:pPr>
            <w:proofErr w:type="spellStart"/>
            <w:r>
              <w:t>ЮСіБі</w:t>
            </w:r>
            <w:proofErr w:type="spellEnd"/>
            <w:r>
              <w:t xml:space="preserve"> </w:t>
            </w:r>
            <w:proofErr w:type="spellStart"/>
            <w:r>
              <w:t>Біофарма</w:t>
            </w:r>
            <w:proofErr w:type="spellEnd"/>
            <w:r>
              <w:t xml:space="preserve"> </w:t>
            </w:r>
            <w:proofErr w:type="spellStart"/>
            <w:r>
              <w:t>ЕсАрЕл</w:t>
            </w:r>
            <w:proofErr w:type="spellEnd"/>
            <w:r>
              <w:t xml:space="preserve">, </w:t>
            </w:r>
            <w:proofErr w:type="spellStart"/>
            <w:r>
              <w:t>Бельгія</w:t>
            </w:r>
            <w:proofErr w:type="spellEnd"/>
            <w:r>
              <w:t xml:space="preserve"> / UCB </w:t>
            </w:r>
            <w:proofErr w:type="spellStart"/>
            <w:r>
              <w:t>Biopharma</w:t>
            </w:r>
            <w:proofErr w:type="spellEnd"/>
            <w:r>
              <w:t xml:space="preserve"> SRL, </w:t>
            </w:r>
            <w:proofErr w:type="spellStart"/>
            <w:r>
              <w:t>Belgium</w:t>
            </w:r>
            <w:proofErr w:type="spellEnd"/>
          </w:p>
        </w:tc>
      </w:tr>
    </w:tbl>
    <w:p w:rsidR="00321E69" w:rsidRDefault="00321E69" w:rsidP="00321E6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продовження додатка 23</w:t>
      </w:r>
    </w:p>
    <w:p w:rsidR="00321E69" w:rsidRDefault="00321E69"/>
    <w:tbl>
      <w:tblPr>
        <w:tblStyle w:val="a6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0490"/>
      </w:tblGrid>
      <w:tr w:rsidR="00B94179" w:rsidTr="00324878">
        <w:trPr>
          <w:trHeight w:val="10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79" w:rsidRDefault="00B94179" w:rsidP="008722F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B94179" w:rsidRPr="00324878" w:rsidRDefault="00B94179" w:rsidP="00B94179">
      <w:pPr>
        <w:rPr>
          <w:sz w:val="16"/>
          <w:szCs w:val="16"/>
          <w:lang w:val="uk-UA"/>
        </w:rPr>
      </w:pPr>
    </w:p>
    <w:p w:rsidR="00B94179" w:rsidRDefault="00B94179" w:rsidP="00B94179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FD1122" w:rsidRDefault="00B94179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3316B9">
        <w:rPr>
          <w:b/>
          <w:bCs/>
          <w:color w:val="000000"/>
          <w:lang w:val="uk-UA"/>
        </w:rPr>
        <w:t>Олександр ГРІЦЕНКО</w:t>
      </w:r>
    </w:p>
    <w:sectPr w:rsidR="00FD1122" w:rsidSect="00324878">
      <w:pgSz w:w="16838" w:h="11906" w:orient="landscape"/>
      <w:pgMar w:top="851" w:right="1245" w:bottom="709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D"/>
    <w:rsid w:val="00321E69"/>
    <w:rsid w:val="00324878"/>
    <w:rsid w:val="00325788"/>
    <w:rsid w:val="003316B9"/>
    <w:rsid w:val="005A35AE"/>
    <w:rsid w:val="005E074E"/>
    <w:rsid w:val="0076209C"/>
    <w:rsid w:val="007F19FA"/>
    <w:rsid w:val="008722FF"/>
    <w:rsid w:val="00985251"/>
    <w:rsid w:val="00B94179"/>
    <w:rsid w:val="00CC3DDD"/>
    <w:rsid w:val="00ED529A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32F97"/>
  <w15:chartTrackingRefBased/>
  <w15:docId w15:val="{5641C2ED-C562-45D4-BCB6-E6B782C7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7F19FA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7">
    <w:name w:val="cs9b006267"/>
    <w:basedOn w:val="a0"/>
    <w:rsid w:val="007F19F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7F19FA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f0a404019">
    <w:name w:val="cs9f0a404019"/>
    <w:basedOn w:val="a0"/>
    <w:rsid w:val="007F19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27485</Words>
  <Characters>15668</Characters>
  <Application>Microsoft Office Word</Application>
  <DocSecurity>0</DocSecurity>
  <Lines>130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2022-05-21T17:00:00Z</dcterms:created>
  <dcterms:modified xsi:type="dcterms:W3CDTF">2022-05-21T17:03:00Z</dcterms:modified>
</cp:coreProperties>
</file>