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CC" w:rsidRPr="00745FCC" w:rsidRDefault="00745FCC" w:rsidP="00745FCC">
      <w:pPr>
        <w:spacing w:after="240" w:line="240" w:lineRule="auto"/>
        <w:rPr>
          <w:rFonts w:ascii="Times New Roman" w:eastAsia="Times New Roman" w:hAnsi="Times New Roman" w:cs="Times New Roman"/>
          <w:sz w:val="24"/>
          <w:szCs w:val="24"/>
          <w:lang w:eastAsia="uk-UA"/>
        </w:rPr>
      </w:pPr>
      <w:r w:rsidRPr="00745FCC">
        <w:rPr>
          <w:rFonts w:ascii="Times New Roman" w:eastAsia="Times New Roman" w:hAnsi="Times New Roman" w:cs="Times New Roman"/>
          <w:sz w:val="24"/>
          <w:szCs w:val="24"/>
          <w:lang w:eastAsia="uk-UA"/>
        </w:rPr>
        <w:t>Роз’яснення МОЗ України стосовно оновленої процедури ввезення незареєстрованих лікарських засобів, медичних виробів та/або медичного обладнання, дозволених для застосування у межах клінічних випробувань</w:t>
      </w:r>
    </w:p>
    <w:tbl>
      <w:tblPr>
        <w:tblW w:w="5000" w:type="pct"/>
        <w:jc w:val="center"/>
        <w:tblCellMar>
          <w:left w:w="0" w:type="dxa"/>
          <w:right w:w="0" w:type="dxa"/>
        </w:tblCellMar>
        <w:tblLook w:val="04A0" w:firstRow="1" w:lastRow="0" w:firstColumn="1" w:lastColumn="0" w:noHBand="0" w:noVBand="1"/>
      </w:tblPr>
      <w:tblGrid>
        <w:gridCol w:w="7514"/>
        <w:gridCol w:w="2119"/>
      </w:tblGrid>
      <w:tr w:rsidR="00745FCC" w:rsidRPr="00745FCC" w:rsidTr="00745FCC">
        <w:trPr>
          <w:jc w:val="center"/>
        </w:trPr>
        <w:tc>
          <w:tcPr>
            <w:tcW w:w="0" w:type="auto"/>
            <w:tcBorders>
              <w:top w:val="single" w:sz="2" w:space="0" w:color="CCCCCC"/>
              <w:left w:val="single" w:sz="2" w:space="0" w:color="CCCCCC"/>
              <w:bottom w:val="single" w:sz="2" w:space="0" w:color="CCCCCC"/>
              <w:right w:val="single" w:sz="2" w:space="0" w:color="CCCCCC"/>
            </w:tcBorders>
            <w:tcMar>
              <w:top w:w="30" w:type="dxa"/>
              <w:left w:w="45" w:type="dxa"/>
              <w:bottom w:w="30" w:type="dxa"/>
              <w:right w:w="45" w:type="dxa"/>
            </w:tcMar>
            <w:hideMark/>
          </w:tcPr>
          <w:p w:rsidR="00745FCC" w:rsidRPr="00745FCC" w:rsidRDefault="00745FCC" w:rsidP="00745FCC">
            <w:pPr>
              <w:spacing w:after="0" w:line="240" w:lineRule="auto"/>
              <w:rPr>
                <w:rFonts w:ascii="Times New Roman" w:eastAsia="Times New Roman" w:hAnsi="Times New Roman" w:cs="Times New Roman"/>
                <w:sz w:val="24"/>
                <w:szCs w:val="24"/>
                <w:lang w:eastAsia="uk-UA"/>
              </w:rPr>
            </w:pPr>
            <w:r w:rsidRPr="00745FCC">
              <w:rPr>
                <w:rFonts w:ascii="Times New Roman" w:eastAsia="Times New Roman" w:hAnsi="Times New Roman" w:cs="Times New Roman"/>
                <w:b/>
                <w:bCs/>
                <w:sz w:val="24"/>
                <w:szCs w:val="24"/>
                <w:lang w:eastAsia="uk-UA"/>
              </w:rPr>
              <w:t>16.04.2015</w:t>
            </w:r>
          </w:p>
        </w:tc>
        <w:tc>
          <w:tcPr>
            <w:tcW w:w="0" w:type="auto"/>
            <w:tcBorders>
              <w:top w:val="single" w:sz="2" w:space="0" w:color="CCCCCC"/>
              <w:left w:val="single" w:sz="2" w:space="0" w:color="CCCCCC"/>
              <w:bottom w:val="single" w:sz="2" w:space="0" w:color="CCCCCC"/>
              <w:right w:val="single" w:sz="2" w:space="0" w:color="CCCCCC"/>
            </w:tcBorders>
            <w:tcMar>
              <w:top w:w="30" w:type="dxa"/>
              <w:left w:w="45" w:type="dxa"/>
              <w:bottom w:w="30" w:type="dxa"/>
              <w:right w:w="45" w:type="dxa"/>
            </w:tcMar>
            <w:hideMark/>
          </w:tcPr>
          <w:p w:rsidR="00745FCC" w:rsidRPr="00745FCC" w:rsidRDefault="00745FCC" w:rsidP="00745FCC">
            <w:pPr>
              <w:spacing w:after="0" w:line="240" w:lineRule="auto"/>
              <w:jc w:val="right"/>
              <w:rPr>
                <w:rFonts w:ascii="Times New Roman" w:eastAsia="Times New Roman" w:hAnsi="Times New Roman" w:cs="Times New Roman"/>
                <w:sz w:val="24"/>
                <w:szCs w:val="24"/>
                <w:lang w:eastAsia="uk-UA"/>
              </w:rPr>
            </w:pPr>
            <w:r w:rsidRPr="00745FCC">
              <w:rPr>
                <w:rFonts w:ascii="Times New Roman" w:eastAsia="Times New Roman" w:hAnsi="Times New Roman" w:cs="Times New Roman"/>
                <w:noProof/>
                <w:sz w:val="24"/>
                <w:szCs w:val="24"/>
                <w:lang w:eastAsia="uk-UA"/>
              </w:rPr>
              <w:drawing>
                <wp:inline distT="0" distB="0" distL="0" distR="0" wp14:anchorId="1C7D48FD" wp14:editId="1C3E4016">
                  <wp:extent cx="152400" cy="152400"/>
                  <wp:effectExtent l="0" t="0" r="0" b="0"/>
                  <wp:docPr id="1" name="Рисунок 1" descr="http://www.moz.gov.ua/pi/4/misk/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z.gov.ua/pi/4/misk/f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45FCC" w:rsidRPr="00745FCC" w:rsidRDefault="00745FCC" w:rsidP="00745FCC">
      <w:pPr>
        <w:spacing w:after="0" w:line="240" w:lineRule="auto"/>
        <w:rPr>
          <w:rFonts w:ascii="Times New Roman" w:eastAsia="Times New Roman" w:hAnsi="Times New Roman" w:cs="Times New Roman"/>
          <w:vanish/>
          <w:sz w:val="24"/>
          <w:szCs w:val="24"/>
          <w:lang w:eastAsia="uk-UA"/>
        </w:rPr>
      </w:pPr>
    </w:p>
    <w:tbl>
      <w:tblPr>
        <w:tblW w:w="5000" w:type="pct"/>
        <w:jc w:val="center"/>
        <w:tblCellMar>
          <w:left w:w="0" w:type="dxa"/>
          <w:right w:w="0" w:type="dxa"/>
        </w:tblCellMar>
        <w:tblLook w:val="04A0" w:firstRow="1" w:lastRow="0" w:firstColumn="1" w:lastColumn="0" w:noHBand="0" w:noVBand="1"/>
      </w:tblPr>
      <w:tblGrid>
        <w:gridCol w:w="9633"/>
      </w:tblGrid>
      <w:tr w:rsidR="00745FCC" w:rsidRPr="00745FCC" w:rsidTr="00745FCC">
        <w:trPr>
          <w:jc w:val="center"/>
        </w:trPr>
        <w:tc>
          <w:tcPr>
            <w:tcW w:w="0" w:type="auto"/>
            <w:tcBorders>
              <w:top w:val="single" w:sz="2" w:space="0" w:color="CCCCCC"/>
              <w:left w:val="single" w:sz="2" w:space="0" w:color="CCCCCC"/>
              <w:bottom w:val="single" w:sz="2" w:space="0" w:color="CCCCCC"/>
              <w:right w:val="single" w:sz="2" w:space="0" w:color="CCCCCC"/>
            </w:tcBorders>
            <w:tcMar>
              <w:top w:w="30" w:type="dxa"/>
              <w:left w:w="45" w:type="dxa"/>
              <w:bottom w:w="30" w:type="dxa"/>
              <w:right w:w="45" w:type="dxa"/>
            </w:tcMar>
            <w:hideMark/>
          </w:tcPr>
          <w:p w:rsidR="00745FCC" w:rsidRPr="00745FCC" w:rsidRDefault="00745FCC" w:rsidP="00745FCC">
            <w:pPr>
              <w:spacing w:after="0" w:line="240" w:lineRule="auto"/>
              <w:rPr>
                <w:rFonts w:ascii="Times New Roman" w:eastAsia="Times New Roman" w:hAnsi="Times New Roman" w:cs="Times New Roman"/>
                <w:sz w:val="24"/>
                <w:szCs w:val="24"/>
                <w:lang w:eastAsia="uk-UA"/>
              </w:rPr>
            </w:pPr>
            <w:r w:rsidRPr="00745FCC">
              <w:rPr>
                <w:rFonts w:ascii="Tahoma" w:eastAsia="Times New Roman" w:hAnsi="Tahoma" w:cs="Tahoma"/>
                <w:color w:val="525252"/>
                <w:sz w:val="21"/>
                <w:szCs w:val="21"/>
                <w:shd w:val="clear" w:color="auto" w:fill="FFFFFF"/>
                <w:lang w:eastAsia="uk-UA"/>
              </w:rPr>
              <w:t>У зв’язку із затвердженням наказу МОЗ України від 18.12.2014 № 967 «Про внесення змін наказу Міністерства охорони здоров’я України від 26 квітня 2011 року № 237», який зареєстровано в Міністерстві юстиції України 12.03.2015 за № 276/26721, що набрав чинності 3 квітня 2015 року, Міністерство охорони здоров’я України інформує.</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Даний наказ був розроблений для приведення Порядку ввезення на територію України незареєстрованих лікарських засобів, стандартних зразків, реагентів, затвердженого наказом МОЗ України від 26 квітня 2011 року № 237, зареєстрованого в Міністерстві юстиції України 11 серпня 2011 року за № 965/19703 (далі – Порядок № 237) у відповідність до законодавства України, в тому числі до підпункту "в" пункту 193.1 статті 193 Податкового кодексу, яким передбачено встановлення ставки податку у розмірі 7% від бази оподаткування по операціях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з метою уникнення дублювання процедур, зменшення регуляторного навантаження на суб’єктів господарювання, що займаються забезпеченням проведення клінічних випробувань в Україні.</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Відповідно до абзацу четвертого пункту 3.3 (в редакції наказу МОЗ України від 18.12.2014 № 967) розділу ІІІ Порядку № 237 ввезення незареєстрованих в Україні лікарських засобів, призначених для проведення клінічних випробувань, здійснюється за наявності рішення Міністерства охорони здоров'я України про проведення клінічних випробувань, прийнятого відповідно до Порядку проведення клінічних випробувань лікарських засобів та експертизи матеріалів клінічних випробувань, затвердженого наказом МОЗ України від 23.09.2009 № 690 (далі – Порядок № 690), зареєстрованого в Міністерстві юстиції України 29 жовтня 2009 року за № 1010/17026, яким дозволяється проведення клінічних випробувань лікарських засобів (далі – рішення МОЗ України про проведення клінічних випробувань).</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Відповідно до абзацу другого пункту 7.6 розділу VII Порядку № 690 рішенням про проведення клінічного випробування затверджуються назва клінічного випробування, код дослідження, версія та дата протоколу, спонсор, заявник, місце проведення дослідження, перелік досліджуваних лікарських засобів, препаратів порівняння та супутніх матеріалів.</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Згідно із пунктом 9 Положення про Міністерство охорони здоров'я України, затверджено Указом Президента України від 13 квітня 2011 року № 467/2011, МОЗ України у межах повноважень, на основі та на виконання Конституції та законів України, актів і доручень Президента України, актів Кабінету Міністрів України видає накази, організовує і контролює їх виконання.</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Накази МОЗ України з основних питань діяльності оформлюються відповідно до чинної Інструкції з діловодства у Міністерстві охорони здоров’я України та розміщуються на сайті Міністерства охорони здоров'я України у розділі «Документи».</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Отже, на сьогодні у зв’язку із набуттям чинності змін до Порядку № 237 та змін до Порядку № 690, клінічні випробування лікарських засобів в Україні можуть бути розпочаті лише за наявності рішення МОЗ України про проведення клінічних випробувань, що затверджується відповідним наказом МОЗ України про проведення клінічних випробувань. Зазначені накази МОЗ України розміщуватимуться на офіційному сайті МОЗ України у вільному доступі. Заявникам клінічних випробувань надаватимуться витяги з наказів МОЗ України щодо проведення певного клінічного випробування.</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 xml:space="preserve">Для оптимізації взаємодії між Митними органами України та МОЗ України електронна версія відповідних наказів МОЗ України буде направлятись до Державної фіскальної служби України для врахування в роботі з метою забезпечення виконання норми підпункту "в" пункту 193.1 статті 193 </w:t>
            </w:r>
            <w:r w:rsidRPr="00745FCC">
              <w:rPr>
                <w:rFonts w:ascii="Tahoma" w:eastAsia="Times New Roman" w:hAnsi="Tahoma" w:cs="Tahoma"/>
                <w:color w:val="525252"/>
                <w:sz w:val="21"/>
                <w:szCs w:val="21"/>
                <w:lang w:eastAsia="uk-UA"/>
              </w:rPr>
              <w:lastRenderedPageBreak/>
              <w:t>Податкового кодексу щодо встановлення ставки податку у розмірі 7% від бази оподаткування по операціях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Зміни до Порядку № 690 в частині запровадження положення щодо можливості проведення клінічних випробувань лише за наявності рішення про проведення клінічних випробувань ЦОВВ, що приймається на підставі позитивного висновку експертизи матеріалів щодо проведення клінічного випробування, який надається Центром, затверджені наказом МОЗ України від 18.12.2014 № 966 «Про внесення змін до наказу Міністерства охорони здоров’я України від 23 вересня 2009 року № 690», зареєстрованим у Міністерстві юстиції України 17.01.2015 р. за № 62/26507, та набрали чинності 17 лютого 2015 року.</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Відповідно до статті 58 Конституції України та згідно із пунктом 1 резолютивної частини Рішення Конституційного Суду України 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від 09 лютого 1999 року №1-рп/99, закони та інші нормативно-правові акти не мають зворотної дії в часі, крім випадків, коли вони пом’якшують або скасовують відповідальність особи. Нормативно-правові акти регулюють відносини, які виникли з дня набрання ними чинності. Якщо відносини, які виникли раніше і регулювалися нормативно-правовим актом, який втратив чинність, новий нормативно-правовий акт застосовується до прав та обов'язків, що виникли з моменту набрання ним чинності.</w:t>
            </w:r>
          </w:p>
          <w:p w:rsidR="00745FCC" w:rsidRPr="00745FCC" w:rsidRDefault="00745FCC" w:rsidP="00745FCC">
            <w:pPr>
              <w:shd w:val="clear" w:color="auto" w:fill="FFFFFF"/>
              <w:spacing w:after="0"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Враховуючи вищенаведене, МОЗ України підтверджує, що всі види клінічних випробувань лікарських засобів, які тривають та були розпочаті до набрання чинності наказу МОЗ України від 18.12.2014 № 967, та всі види клінічних випробувань заяви про проведення яких були подані до МОЗ України до набрання чинності наказу МОЗ України від 18.12.2014 № 967, проводяться відповідно до вимог законодавства, чинного на момент їх подання та затвердження, </w:t>
            </w:r>
            <w:r w:rsidRPr="00745FCC">
              <w:rPr>
                <w:rFonts w:ascii="Tahoma" w:eastAsia="Times New Roman" w:hAnsi="Tahoma" w:cs="Tahoma"/>
                <w:b/>
                <w:bCs/>
                <w:color w:val="525252"/>
                <w:sz w:val="21"/>
                <w:szCs w:val="21"/>
                <w:lang w:eastAsia="uk-UA"/>
              </w:rPr>
              <w:t>на підставі позитивного висновку експертизи матеріалів щодо проведення клінічного випробування, який надається ДП «Державний експертний центр МОЗ України» та затверджується МОЗ України</w:t>
            </w:r>
            <w:r w:rsidRPr="00745FCC">
              <w:rPr>
                <w:rFonts w:ascii="Tahoma" w:eastAsia="Times New Roman" w:hAnsi="Tahoma" w:cs="Tahoma"/>
                <w:color w:val="525252"/>
                <w:sz w:val="21"/>
                <w:szCs w:val="21"/>
                <w:lang w:eastAsia="uk-UA"/>
              </w:rPr>
              <w:t>.</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Відповідно, на ввезення лікарських засобів, медичних виробів та/або медичного обладнання, призначених для проведення клінічних випробувань, що були розпочаті та заяви про проведення яких були подані до МОЗ України до набрання чинності наказу МОЗ України від 18.12.2014 № 967, поширюється дія норми підпункту "в" пункту 193.1 статті 193 Податкового кодексу щодо встановлення ставки податку у розмірі 7% від бази оподаткування по операціях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w:t>
            </w:r>
          </w:p>
          <w:p w:rsidR="00745FCC" w:rsidRPr="00745FCC" w:rsidRDefault="00745FCC" w:rsidP="00745FCC">
            <w:pPr>
              <w:shd w:val="clear" w:color="auto" w:fill="FFFFFF"/>
              <w:spacing w:after="0"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Отже, документами, які підтверджують право суб’єктів господарювання на ввезення на митну територію України незареєстрованих лікарських засобів, медичних виробів та/або медичного обладнання, дозволених для застосування у межах клінічних випробувань, є </w:t>
            </w:r>
            <w:r w:rsidRPr="00745FCC">
              <w:rPr>
                <w:rFonts w:ascii="Tahoma" w:eastAsia="Times New Roman" w:hAnsi="Tahoma" w:cs="Tahoma"/>
                <w:b/>
                <w:bCs/>
                <w:color w:val="525252"/>
                <w:sz w:val="21"/>
                <w:szCs w:val="21"/>
                <w:lang w:eastAsia="uk-UA"/>
              </w:rPr>
              <w:t>наказ МОЗ України про проведення клінічного випробування або висновок ДП «Державний експертний центр МОЗ України» щодо експертизи матеріалів щодо проведення клінічного випробування, затверджений МОЗ України</w:t>
            </w:r>
            <w:r w:rsidRPr="00745FCC">
              <w:rPr>
                <w:rFonts w:ascii="Tahoma" w:eastAsia="Times New Roman" w:hAnsi="Tahoma" w:cs="Tahoma"/>
                <w:color w:val="525252"/>
                <w:sz w:val="21"/>
                <w:szCs w:val="21"/>
                <w:lang w:eastAsia="uk-UA"/>
              </w:rPr>
              <w:t>.</w:t>
            </w:r>
          </w:p>
          <w:p w:rsidR="00745FCC" w:rsidRPr="00745FCC" w:rsidRDefault="00745FCC" w:rsidP="00745FCC">
            <w:pPr>
              <w:shd w:val="clear" w:color="auto" w:fill="FFFFFF"/>
              <w:spacing w:after="165"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color w:val="525252"/>
                <w:sz w:val="21"/>
                <w:szCs w:val="21"/>
                <w:lang w:eastAsia="uk-UA"/>
              </w:rPr>
              <w:t>Окремо інформуємо всі лікарські засоби, медичні вироби та/або медичне обладнання, що ввозиться в межах проведення клінічних випробувань, повинні бути відповідно промарковані в частині наявності коду клінічного випробування (код дослідження), дозвіл на проведення якого надано центральним органом виконавчої влади, що забезпечує формування державної політики у сфері охорони здоров’я.</w:t>
            </w:r>
          </w:p>
          <w:p w:rsidR="00745FCC" w:rsidRPr="00745FCC" w:rsidRDefault="00745FCC" w:rsidP="00745FCC">
            <w:pPr>
              <w:shd w:val="clear" w:color="auto" w:fill="FFFFFF"/>
              <w:spacing w:after="0" w:line="273" w:lineRule="atLeast"/>
              <w:jc w:val="both"/>
              <w:rPr>
                <w:rFonts w:ascii="Tahoma" w:eastAsia="Times New Roman" w:hAnsi="Tahoma" w:cs="Tahoma"/>
                <w:color w:val="525252"/>
                <w:sz w:val="21"/>
                <w:szCs w:val="21"/>
                <w:lang w:eastAsia="uk-UA"/>
              </w:rPr>
            </w:pPr>
            <w:r w:rsidRPr="00745FCC">
              <w:rPr>
                <w:rFonts w:ascii="Tahoma" w:eastAsia="Times New Roman" w:hAnsi="Tahoma" w:cs="Tahoma"/>
                <w:b/>
                <w:bCs/>
                <w:color w:val="525252"/>
                <w:sz w:val="21"/>
                <w:szCs w:val="21"/>
                <w:lang w:eastAsia="uk-UA"/>
              </w:rPr>
              <w:t>За інформацією Управління фармацевтичної діяльності та якості фармацевтичної продукції МОЗ України</w:t>
            </w:r>
          </w:p>
          <w:p w:rsidR="00745FCC" w:rsidRPr="00745FCC" w:rsidRDefault="00745FCC" w:rsidP="00745FCC">
            <w:pPr>
              <w:spacing w:after="0" w:line="240" w:lineRule="auto"/>
              <w:rPr>
                <w:rFonts w:ascii="Times New Roman" w:eastAsia="Times New Roman" w:hAnsi="Times New Roman" w:cs="Times New Roman"/>
                <w:sz w:val="24"/>
                <w:szCs w:val="24"/>
                <w:lang w:eastAsia="uk-UA"/>
              </w:rPr>
            </w:pPr>
          </w:p>
        </w:tc>
      </w:tr>
    </w:tbl>
    <w:p w:rsidR="00593856" w:rsidRDefault="00593856">
      <w:bookmarkStart w:id="0" w:name="_GoBack"/>
      <w:bookmarkEnd w:id="0"/>
    </w:p>
    <w:sectPr w:rsidR="005938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9F"/>
    <w:rsid w:val="002F6219"/>
    <w:rsid w:val="00593856"/>
    <w:rsid w:val="00745FCC"/>
    <w:rsid w:val="00B26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695F63-339B-4182-9082-C1797DCB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F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5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5131</Words>
  <Characters>2926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Александрина Лія Ігоревна</cp:lastModifiedBy>
  <cp:revision>2</cp:revision>
  <cp:lastPrinted>2015-04-24T09:20:00Z</cp:lastPrinted>
  <dcterms:created xsi:type="dcterms:W3CDTF">2015-04-24T09:18:00Z</dcterms:created>
  <dcterms:modified xsi:type="dcterms:W3CDTF">2015-04-24T09:50:00Z</dcterms:modified>
</cp:coreProperties>
</file>