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C736EE" w:rsidRDefault="00C736EE" w:rsidP="003577AD">
            <w:pPr>
              <w:framePr w:hSpace="180" w:wrap="around" w:vAnchor="text" w:hAnchor="margin" w:y="-140"/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C736EE" w:rsidRDefault="00C736EE" w:rsidP="003577AD">
            <w:pPr>
              <w:framePr w:hSpace="180" w:wrap="around" w:vAnchor="text" w:hAnchor="margin" w:y="-140"/>
            </w:pPr>
            <w:r>
              <w:t>ЗАТВЕРДЖЕНО</w:t>
            </w:r>
          </w:p>
          <w:p w:rsidR="00C736EE" w:rsidRDefault="00C736EE" w:rsidP="003577AD">
            <w:pPr>
              <w:framePr w:hSpace="180" w:wrap="around" w:vAnchor="text" w:hAnchor="margin" w:y="-140"/>
            </w:pPr>
            <w:r>
              <w:t xml:space="preserve">Наказом МОЗ України </w:t>
            </w:r>
          </w:p>
          <w:p w:rsidR="00C736EE" w:rsidRDefault="00C736EE" w:rsidP="003577AD">
            <w:pPr>
              <w:framePr w:hSpace="180" w:wrap="around" w:vAnchor="text" w:hAnchor="margin" w:y="-140"/>
            </w:pPr>
            <w:r>
              <w:t>від «30» серпня 2011р.№ 550</w:t>
            </w:r>
          </w:p>
        </w:tc>
      </w:tr>
    </w:tbl>
    <w:p w:rsidR="00C736EE" w:rsidRDefault="00C736EE" w:rsidP="00C736EE">
      <w:pPr>
        <w:jc w:val="center"/>
      </w:pPr>
    </w:p>
    <w:p w:rsidR="00C736EE" w:rsidRDefault="00C736EE" w:rsidP="00C736EE">
      <w:pPr>
        <w:jc w:val="center"/>
        <w:rPr>
          <w:b/>
        </w:rPr>
      </w:pPr>
      <w:r>
        <w:rPr>
          <w:b/>
        </w:rPr>
        <w:t xml:space="preserve">Склад </w:t>
      </w:r>
    </w:p>
    <w:p w:rsidR="00C736EE" w:rsidRDefault="00C736EE" w:rsidP="00C736EE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C736EE" w:rsidRDefault="00C736EE" w:rsidP="00C736EE">
      <w:pPr>
        <w:jc w:val="center"/>
      </w:pPr>
      <w:r>
        <w:rPr>
          <w:b/>
        </w:rPr>
        <w:t>медико-технологічних документів зі стандартизації медичної допомоги за темою «Артеріальна гіпертензія»</w:t>
      </w:r>
    </w:p>
    <w:p w:rsidR="00C736EE" w:rsidRDefault="00C736EE" w:rsidP="00C736EE">
      <w:pPr>
        <w:jc w:val="center"/>
      </w:pPr>
    </w:p>
    <w:p w:rsidR="00C736EE" w:rsidRDefault="00C736EE" w:rsidP="00C736EE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4140"/>
        <w:gridCol w:w="3060"/>
      </w:tblGrid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Нетяженко</w:t>
            </w:r>
            <w:proofErr w:type="spellEnd"/>
            <w:r>
              <w:t xml:space="preserve"> В.З.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«Терапія» (заступник голови з клінічних питань)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Степаненко А.В.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Амбросова</w:t>
            </w:r>
            <w:proofErr w:type="spellEnd"/>
            <w:r>
              <w:t xml:space="preserve"> Т. 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Доцент кафедри пропедевтики внутрішньої медицини №1 Харківського НМУ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 xml:space="preserve">Вершигора А.В. 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«Медицина невідкладних станів»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Pr>
              <w:jc w:val="both"/>
            </w:pPr>
            <w:proofErr w:type="spellStart"/>
            <w:r>
              <w:t>Гідзинська</w:t>
            </w:r>
            <w:proofErr w:type="spellEnd"/>
            <w:r>
              <w:t xml:space="preserve"> І.М.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 xml:space="preserve">Провідний науковий співробітник відділу внутрішньої медицини, завідувач </w:t>
            </w:r>
            <w:proofErr w:type="spellStart"/>
            <w:r>
              <w:t>денн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стаціонару ДНУ «Науково-практичний центр профілактичної та клінічної медицини» ДУС (за згодою)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Гранкіна</w:t>
            </w:r>
            <w:proofErr w:type="spellEnd"/>
            <w:r>
              <w:t xml:space="preserve"> В.О.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Представник</w:t>
            </w:r>
            <w:proofErr w:type="spellEnd"/>
            <w:r>
              <w:rPr>
                <w:lang w:val="en-US"/>
              </w:rPr>
              <w:t xml:space="preserve"> </w:t>
            </w:r>
            <w:r>
              <w:t>пацієнтів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Демченко Н.Ф.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Сімейний лікар вищої категорії, головної лікар сімейної амбулаторії, с. </w:t>
            </w:r>
            <w:proofErr w:type="spellStart"/>
            <w:r>
              <w:t>Кутузівка</w:t>
            </w:r>
            <w:proofErr w:type="spellEnd"/>
            <w:r>
              <w:t>, Харківського району, Харківської області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Дзізінська</w:t>
            </w:r>
            <w:proofErr w:type="spellEnd"/>
            <w:r>
              <w:t xml:space="preserve"> О.О.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Старший науковий співробітник ДНУ «Науково-практичний центр профілактичної та клінічної медицини» ДУС (за згодою)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Дударь</w:t>
            </w:r>
            <w:proofErr w:type="spellEnd"/>
            <w:r>
              <w:t xml:space="preserve"> Л.В. 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Головний позаштатний спеціаліст МОЗ України зі спеціальності «Лікувальна фізкультура і спортивна медицина»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Кабачний</w:t>
            </w:r>
            <w:proofErr w:type="spellEnd"/>
            <w:r>
              <w:t xml:space="preserve"> О.Г.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Асистент кафедри менеджменту і маркетингу у фармації, Національний фармацевтичний університет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Ковальова О.М.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Завідувач кафедри пропедевтики внутрішньої медицини Харківського НМУ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Корж О. 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Завідувач кафедри загальної практики – сімейної медицини ХМАПО</w:t>
            </w:r>
          </w:p>
          <w:p w:rsidR="00C736EE" w:rsidRDefault="00C736EE" w:rsidP="003577AD">
            <w:pPr>
              <w:jc w:val="both"/>
            </w:pP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 xml:space="preserve">Матюха Л.Ф. 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lastRenderedPageBreak/>
              <w:t>Мороз Г.З.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Головний науковий співробітник ДНУ «Науково-практичний центр профілактичної та клінічної медицини» ДУС (за згодою)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Островерхова</w:t>
            </w:r>
            <w:proofErr w:type="spellEnd"/>
            <w:r>
              <w:t xml:space="preserve"> М.М.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  <w:rPr>
                <w:lang w:val="ru-RU"/>
              </w:rPr>
            </w:pPr>
            <w:r>
              <w:t>Начальник відділу управління якістю та стандартизації медичної допомоги Департаменту Управління та контролю якості медичних послуг</w:t>
            </w:r>
            <w:r>
              <w:rPr>
                <w:lang w:val="ru-RU"/>
              </w:rPr>
              <w:t xml:space="preserve"> МОЗ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</w:p>
        </w:tc>
      </w:tr>
      <w:tr w:rsidR="00C736EE" w:rsidTr="003577AD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Острополець</w:t>
            </w:r>
            <w:proofErr w:type="spellEnd"/>
            <w:r>
              <w:t xml:space="preserve"> Н.А.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Завідувач сектору розвитку служби крові та лабораторної справи Департаменту лікувально-профілактичної допомоги МОЗ України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Рожнова</w:t>
            </w:r>
            <w:proofErr w:type="spellEnd"/>
            <w:r>
              <w:t xml:space="preserve"> О.В.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Медична сестра загальної практики – сімейної медицини сімейної амбулаторії, с. </w:t>
            </w:r>
            <w:proofErr w:type="spellStart"/>
            <w:r>
              <w:t>Кутузівка</w:t>
            </w:r>
            <w:proofErr w:type="spellEnd"/>
            <w:r>
              <w:t>, Харківського району, Харківської області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Сіренко Ю.М.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Головний позаштатний спеціаліст МОЗ України зі спеціальності «Кардіологія»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Титова Т. А.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Доцент кафедри загальної практики та сімейної медицини ХМАПО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2"/>
          </w:tcPr>
          <w:p w:rsidR="00C736EE" w:rsidRDefault="00C736EE" w:rsidP="003577AD">
            <w:r>
              <w:t>Методичний супровід та інформаційне забезпечення</w:t>
            </w:r>
          </w:p>
        </w:tc>
        <w:tc>
          <w:tcPr>
            <w:tcW w:w="3060" w:type="dxa"/>
          </w:tcPr>
          <w:p w:rsidR="00C736EE" w:rsidRDefault="00C736EE" w:rsidP="003577AD">
            <w:pPr>
              <w:jc w:val="both"/>
            </w:pP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Горох Є.Л.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r>
              <w:t>Кравець О.М.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C736EE" w:rsidTr="003577AD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C736EE" w:rsidRDefault="00C736EE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200" w:type="dxa"/>
            <w:gridSpan w:val="2"/>
          </w:tcPr>
          <w:p w:rsidR="00C736EE" w:rsidRDefault="00C736EE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C736EE" w:rsidRDefault="00C736EE" w:rsidP="00C736EE"/>
    <w:p w:rsidR="00C736EE" w:rsidRDefault="00C736EE" w:rsidP="00C736EE"/>
    <w:p w:rsidR="00C736EE" w:rsidRDefault="00C736EE" w:rsidP="00C736EE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EE"/>
    <w:rsid w:val="00C736EE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9982A-C9C4-42CC-8D48-423B3BE9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2024</Words>
  <Characters>1155</Characters>
  <Application>Microsoft Office Word</Application>
  <DocSecurity>0</DocSecurity>
  <Lines>9</Lines>
  <Paragraphs>6</Paragraphs>
  <ScaleCrop>false</ScaleCrop>
  <Company>DEC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2016-01-28T12:34:00Z</dcterms:created>
  <dcterms:modified xsi:type="dcterms:W3CDTF">2016-01-28T12:34:00Z</dcterms:modified>
</cp:coreProperties>
</file>