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F314C6" w:rsidRPr="00F314C6" w:rsidRDefault="001903E4" w:rsidP="00F314C6">
      <w:pPr>
        <w:tabs>
          <w:tab w:val="left" w:pos="6820"/>
        </w:tabs>
        <w:suppressAutoHyphens/>
        <w:spacing w:after="0" w:line="240" w:lineRule="auto"/>
        <w:jc w:val="both"/>
        <w:rPr>
          <w:rFonts w:eastAsia="Times New Roman"/>
          <w:b/>
          <w:bCs/>
          <w:color w:val="auto"/>
          <w:sz w:val="24"/>
          <w:szCs w:val="24"/>
          <w:lang w:eastAsia="ar-SA"/>
        </w:rPr>
      </w:pPr>
      <w:r w:rsidRPr="00F314C6">
        <w:rPr>
          <w:color w:val="000000" w:themeColor="text1"/>
          <w:sz w:val="24"/>
          <w:szCs w:val="24"/>
        </w:rPr>
        <w:t xml:space="preserve">Назва закупівлі: </w:t>
      </w:r>
      <w:r w:rsidR="00F314C6" w:rsidRPr="00F314C6">
        <w:rPr>
          <w:rFonts w:eastAsia="Times New Roman"/>
          <w:b/>
          <w:bCs/>
          <w:color w:val="auto"/>
          <w:sz w:val="24"/>
          <w:szCs w:val="24"/>
          <w:lang w:eastAsia="ar-SA"/>
        </w:rPr>
        <w:t xml:space="preserve">ОХОРОННІ ПОСЛУГИ (Послуги з охорони майна ДЕРЖАВНОГО ПІДПРИЄМСТВА «ДЕРЖАВНИЙ ЕКСПЕРТНИЙ ЦЕНТР МІНІСТЕРСТВА ОХОРОНИ ЗДОРОВ’Я УКРАЇНИ»), </w:t>
      </w:r>
    </w:p>
    <w:p w:rsidR="001903E4" w:rsidRPr="00F314C6" w:rsidRDefault="001903E4" w:rsidP="00F314C6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F314C6">
        <w:rPr>
          <w:bCs/>
          <w:color w:val="000000" w:themeColor="text1"/>
          <w:sz w:val="24"/>
          <w:szCs w:val="24"/>
        </w:rPr>
        <w:t>Класифікатор та його відповідний код:</w:t>
      </w:r>
      <w:r w:rsidRPr="00F314C6">
        <w:rPr>
          <w:color w:val="000000" w:themeColor="text1"/>
          <w:sz w:val="24"/>
          <w:szCs w:val="24"/>
        </w:rPr>
        <w:t> </w:t>
      </w:r>
      <w:r w:rsidR="00F314C6" w:rsidRPr="00F314C6">
        <w:rPr>
          <w:rFonts w:eastAsia="Times New Roman"/>
          <w:b/>
          <w:bCs/>
          <w:color w:val="auto"/>
          <w:sz w:val="24"/>
          <w:szCs w:val="24"/>
          <w:lang w:eastAsia="ar-SA"/>
        </w:rPr>
        <w:t>ДК 021:2015 – 79710000-4 Охоронні послуги</w:t>
      </w:r>
      <w:r w:rsidR="00F314C6" w:rsidRPr="00F314C6">
        <w:rPr>
          <w:color w:val="000000" w:themeColor="text1"/>
          <w:sz w:val="24"/>
          <w:szCs w:val="24"/>
        </w:rPr>
        <w:t xml:space="preserve"> </w:t>
      </w:r>
      <w:r w:rsidRPr="00F314C6">
        <w:rPr>
          <w:color w:val="000000" w:themeColor="text1"/>
          <w:sz w:val="24"/>
          <w:szCs w:val="24"/>
        </w:rPr>
        <w:t xml:space="preserve">Процедура закупівлі: </w:t>
      </w:r>
      <w:r w:rsidRPr="00F314C6">
        <w:rPr>
          <w:b/>
          <w:color w:val="000000" w:themeColor="text1"/>
          <w:sz w:val="24"/>
          <w:szCs w:val="24"/>
        </w:rPr>
        <w:t>Відкриті торги</w:t>
      </w:r>
    </w:p>
    <w:p w:rsidR="00F314C6" w:rsidRPr="00F314C6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F314C6">
        <w:rPr>
          <w:color w:val="000000" w:themeColor="text1"/>
          <w:sz w:val="24"/>
          <w:szCs w:val="24"/>
        </w:rPr>
        <w:t xml:space="preserve">Очікувана вартість: </w:t>
      </w:r>
      <w:r w:rsidR="00F314C6" w:rsidRPr="00F314C6">
        <w:rPr>
          <w:b/>
          <w:color w:val="auto"/>
          <w:sz w:val="24"/>
          <w:szCs w:val="24"/>
        </w:rPr>
        <w:t>2 500 000,00 UAH з ПДВ</w:t>
      </w:r>
      <w:r w:rsidR="00F314C6" w:rsidRPr="00F314C6">
        <w:rPr>
          <w:b/>
          <w:color w:val="auto"/>
          <w:sz w:val="24"/>
          <w:szCs w:val="24"/>
        </w:rPr>
        <w:t xml:space="preserve"> </w:t>
      </w:r>
    </w:p>
    <w:p w:rsidR="001903E4" w:rsidRPr="00F314C6" w:rsidRDefault="001903E4" w:rsidP="001903E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F314C6">
        <w:rPr>
          <w:color w:val="000000" w:themeColor="text1"/>
          <w:sz w:val="24"/>
          <w:szCs w:val="24"/>
        </w:rPr>
        <w:t xml:space="preserve">Дата оприлюднення: </w:t>
      </w:r>
      <w:r w:rsidRPr="00F314C6">
        <w:rPr>
          <w:b/>
          <w:color w:val="000000" w:themeColor="text1"/>
          <w:sz w:val="24"/>
          <w:szCs w:val="24"/>
        </w:rPr>
        <w:t>0</w:t>
      </w:r>
      <w:r w:rsidR="00F314C6">
        <w:rPr>
          <w:b/>
          <w:color w:val="000000" w:themeColor="text1"/>
          <w:sz w:val="24"/>
          <w:szCs w:val="24"/>
        </w:rPr>
        <w:t>1</w:t>
      </w:r>
      <w:r w:rsidRPr="00F314C6">
        <w:rPr>
          <w:b/>
          <w:color w:val="000000" w:themeColor="text1"/>
          <w:sz w:val="24"/>
          <w:szCs w:val="24"/>
        </w:rPr>
        <w:t xml:space="preserve"> листопада 2021 року</w:t>
      </w:r>
    </w:p>
    <w:p w:rsidR="001903E4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="00F314C6" w:rsidRPr="00354480">
          <w:rPr>
            <w:rStyle w:val="a5"/>
            <w:sz w:val="24"/>
            <w:szCs w:val="24"/>
          </w:rPr>
          <w:t>https://prozorro.gov.ua/tender/UA-2021-11-01-002233-b</w:t>
        </w:r>
      </w:hyperlink>
    </w:p>
    <w:p w:rsidR="00F314C6" w:rsidRPr="0094383F" w:rsidRDefault="00F314C6" w:rsidP="001903E4">
      <w:pPr>
        <w:spacing w:after="0" w:line="276" w:lineRule="auto"/>
        <w:rPr>
          <w:color w:val="000000" w:themeColor="text1"/>
          <w:sz w:val="24"/>
          <w:szCs w:val="24"/>
        </w:rPr>
      </w:pPr>
    </w:p>
    <w:p w:rsidR="001903E4" w:rsidRDefault="001903E4" w:rsidP="001903E4">
      <w:pPr>
        <w:ind w:right="-25"/>
        <w:jc w:val="center"/>
        <w:rPr>
          <w:b/>
          <w:sz w:val="24"/>
          <w:szCs w:val="24"/>
        </w:rPr>
      </w:pPr>
      <w:r w:rsidRPr="00886F92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424299">
        <w:rPr>
          <w:rFonts w:eastAsia="Times New Roman CYR"/>
          <w:color w:val="auto"/>
          <w:sz w:val="20"/>
          <w:szCs w:val="20"/>
          <w:lang w:eastAsia="ru-RU"/>
        </w:rPr>
        <w:t>Учасник самостійно визначає ціни на послуги, які він пропонує надати за Договором про закупівлю.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</w:t>
      </w:r>
      <w:r w:rsidRPr="00424299">
        <w:rPr>
          <w:rFonts w:eastAsia="Times New Roman"/>
          <w:color w:val="auto"/>
          <w:sz w:val="20"/>
          <w:szCs w:val="20"/>
          <w:lang w:eastAsia="ru-RU"/>
        </w:rPr>
        <w:t xml:space="preserve"> Загальна вартість пропозиції (ціна тендерної пропозиції) і всі інші ціни повинні бути чітко та остаточно визначені. </w:t>
      </w:r>
    </w:p>
    <w:p w:rsidR="00F314C6" w:rsidRPr="00424299" w:rsidRDefault="00F314C6" w:rsidP="00F314C6">
      <w:pPr>
        <w:suppressAutoHyphens/>
        <w:spacing w:after="0" w:line="240" w:lineRule="auto"/>
        <w:ind w:firstLine="567"/>
        <w:jc w:val="both"/>
        <w:rPr>
          <w:color w:val="auto"/>
          <w:sz w:val="20"/>
          <w:szCs w:val="20"/>
          <w:lang w:eastAsia="ar-SA"/>
        </w:rPr>
      </w:pPr>
      <w:r w:rsidRPr="00424299">
        <w:rPr>
          <w:color w:val="auto"/>
          <w:sz w:val="20"/>
          <w:szCs w:val="20"/>
          <w:lang w:eastAsia="ar-SA"/>
        </w:rPr>
        <w:t>При проведенні даної процедури закупівлі Замо</w:t>
      </w:r>
      <w:r>
        <w:rPr>
          <w:color w:val="auto"/>
          <w:sz w:val="20"/>
          <w:szCs w:val="20"/>
          <w:lang w:eastAsia="ar-SA"/>
        </w:rPr>
        <w:t>вник встановлює наступні вимоги.</w:t>
      </w:r>
      <w:r w:rsidRPr="00424299">
        <w:rPr>
          <w:color w:val="auto"/>
          <w:sz w:val="20"/>
          <w:szCs w:val="20"/>
          <w:lang w:eastAsia="ar-SA"/>
        </w:rPr>
        <w:t xml:space="preserve"> </w:t>
      </w:r>
    </w:p>
    <w:p w:rsidR="00F314C6" w:rsidRPr="00424299" w:rsidRDefault="00F314C6" w:rsidP="00F314C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eastAsia="Times New Roman CYR"/>
          <w:bCs/>
          <w:iCs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bCs/>
          <w:iCs/>
          <w:color w:val="auto"/>
          <w:sz w:val="20"/>
          <w:szCs w:val="20"/>
          <w:lang w:eastAsia="ar-SA"/>
        </w:rPr>
        <w:t>Відомості про об'єкти охорони предмета закупівлі:</w:t>
      </w:r>
    </w:p>
    <w:p w:rsidR="00F314C6" w:rsidRPr="00424299" w:rsidRDefault="00F314C6" w:rsidP="00F314C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Будівля, споруди, територія, інше рухоме і нерухоме майно, що знаходиться за адресою: вул. Смоленська, 10, м. Київ та належить </w:t>
      </w:r>
      <w:r w:rsidRPr="00424299">
        <w:rPr>
          <w:color w:val="auto"/>
          <w:sz w:val="20"/>
          <w:szCs w:val="20"/>
        </w:rPr>
        <w:t>ДЕРЖАВНОМУ ЕКСПЕРТНОМУ ЦЕНТРУ МОЗ</w:t>
      </w:r>
      <w:r w:rsidRPr="00424299">
        <w:rPr>
          <w:rFonts w:ascii="Calibri" w:hAnsi="Calibri"/>
          <w:color w:val="auto"/>
          <w:sz w:val="20"/>
          <w:szCs w:val="20"/>
        </w:rPr>
        <w:t xml:space="preserve"> </w:t>
      </w:r>
      <w:r w:rsidRPr="00424299">
        <w:rPr>
          <w:color w:val="auto"/>
          <w:sz w:val="20"/>
          <w:szCs w:val="20"/>
        </w:rPr>
        <w:t>УКРАЇНИ</w:t>
      </w:r>
      <w:r w:rsidRPr="00424299">
        <w:rPr>
          <w:rFonts w:eastAsia="Times New Roman"/>
          <w:color w:val="auto"/>
          <w:sz w:val="20"/>
          <w:szCs w:val="20"/>
          <w:lang w:eastAsia="ar-SA"/>
        </w:rPr>
        <w:t>.</w:t>
      </w:r>
    </w:p>
    <w:p w:rsidR="00F314C6" w:rsidRPr="00364C38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Державний експертний центр МОЗ</w:t>
      </w:r>
      <w:r w:rsidRPr="00424299">
        <w:rPr>
          <w:rFonts w:ascii="Calibri" w:hAnsi="Calibri"/>
          <w:color w:val="auto"/>
          <w:sz w:val="20"/>
          <w:szCs w:val="20"/>
        </w:rPr>
        <w:t xml:space="preserve"> </w:t>
      </w:r>
      <w:r w:rsidRPr="00424299">
        <w:rPr>
          <w:color w:val="auto"/>
          <w:sz w:val="20"/>
          <w:szCs w:val="20"/>
        </w:rPr>
        <w:t xml:space="preserve">України, відповідно до критеріїв оцінки від провадження господарської діяльності є об’єктом з високим ступенем ризику, яке відповідно до статуту має право на придбання, використання, зберігання та знищення наркотичних засобів, психотропних речовин та прекурсорів, </w:t>
      </w:r>
      <w:r w:rsidRPr="00364C38">
        <w:rPr>
          <w:color w:val="auto"/>
          <w:sz w:val="20"/>
          <w:szCs w:val="20"/>
        </w:rPr>
        <w:t xml:space="preserve">необхідних для здійснення передбачених статутом та законодавством завдань та повноважень. </w:t>
      </w:r>
    </w:p>
    <w:p w:rsidR="00F314C6" w:rsidRPr="00424299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364C38">
        <w:rPr>
          <w:color w:val="auto"/>
          <w:sz w:val="20"/>
          <w:szCs w:val="20"/>
        </w:rPr>
        <w:t xml:space="preserve">Прибудинкова територія, що охороняється, складає 8230 </w:t>
      </w:r>
      <w:proofErr w:type="spellStart"/>
      <w:r w:rsidRPr="00364C38">
        <w:rPr>
          <w:color w:val="auto"/>
          <w:sz w:val="20"/>
          <w:szCs w:val="20"/>
        </w:rPr>
        <w:t>кв.м</w:t>
      </w:r>
      <w:proofErr w:type="spellEnd"/>
      <w:r w:rsidRPr="00364C38">
        <w:rPr>
          <w:color w:val="auto"/>
          <w:sz w:val="20"/>
          <w:szCs w:val="20"/>
        </w:rPr>
        <w:t>.</w:t>
      </w:r>
      <w:r w:rsidRPr="00424299">
        <w:rPr>
          <w:color w:val="auto"/>
          <w:sz w:val="20"/>
          <w:szCs w:val="20"/>
        </w:rPr>
        <w:t xml:space="preserve"> </w:t>
      </w:r>
    </w:p>
    <w:p w:rsidR="00F314C6" w:rsidRPr="00424299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Загальна площа будівлі Центру, запущеної в експлуатацію, складає 6418,6 </w:t>
      </w:r>
      <w:proofErr w:type="spellStart"/>
      <w:r w:rsidRPr="00424299">
        <w:rPr>
          <w:color w:val="auto"/>
          <w:sz w:val="20"/>
          <w:szCs w:val="20"/>
        </w:rPr>
        <w:t>кв.м</w:t>
      </w:r>
      <w:proofErr w:type="spellEnd"/>
      <w:r w:rsidRPr="00424299">
        <w:rPr>
          <w:color w:val="auto"/>
          <w:sz w:val="20"/>
          <w:szCs w:val="20"/>
        </w:rPr>
        <w:t xml:space="preserve">. </w:t>
      </w:r>
    </w:p>
    <w:p w:rsidR="00F314C6" w:rsidRPr="00424299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Загальна площа будівлі Центру незавершеного будівництва, складає 5405,0 </w:t>
      </w:r>
      <w:proofErr w:type="spellStart"/>
      <w:r w:rsidRPr="00424299">
        <w:rPr>
          <w:color w:val="auto"/>
          <w:sz w:val="20"/>
          <w:szCs w:val="20"/>
        </w:rPr>
        <w:t>кв.м</w:t>
      </w:r>
      <w:proofErr w:type="spellEnd"/>
      <w:r w:rsidRPr="00424299">
        <w:rPr>
          <w:color w:val="auto"/>
          <w:sz w:val="20"/>
          <w:szCs w:val="20"/>
        </w:rPr>
        <w:t>.</w:t>
      </w:r>
    </w:p>
    <w:p w:rsidR="00F314C6" w:rsidRPr="00BD302A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BD302A">
        <w:rPr>
          <w:color w:val="auto"/>
          <w:sz w:val="20"/>
          <w:szCs w:val="20"/>
        </w:rPr>
        <w:t xml:space="preserve">Чисельна кількість робочих місць, розміщених в будівлі, близько 400 чоловік. </w:t>
      </w:r>
    </w:p>
    <w:p w:rsidR="00F314C6" w:rsidRPr="00BD302A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BD302A">
        <w:rPr>
          <w:color w:val="auto"/>
          <w:sz w:val="20"/>
          <w:szCs w:val="20"/>
        </w:rPr>
        <w:t xml:space="preserve">Щоденно відвідує (окрім вихідних та святкових днів) понад 100 чоловік. </w:t>
      </w:r>
    </w:p>
    <w:p w:rsidR="00F314C6" w:rsidRPr="00424299" w:rsidRDefault="00F314C6" w:rsidP="00F314C6">
      <w:pPr>
        <w:spacing w:after="0" w:line="252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Будівля та прилегла територія. В будівлі розміщені офісні приміщення. Будівля обладнана охоронно-тривожною сигналізацією, пожежною сигналізацією, системою контролю та управління доступом, системою відеоспостереження, наявні тривожні кнопки Управління поліції охорони Національної поліції України (далі разом – системи безпеки). Територія будівлі огороджена парканом, обладнана освітленням та системою відеоспостереження. На території наявна стоянка для автомобілів. Усі системи безпеки заведені на пост центрального спостереження охорони будівлі</w:t>
      </w:r>
      <w:r>
        <w:rPr>
          <w:color w:val="auto"/>
          <w:sz w:val="20"/>
          <w:szCs w:val="20"/>
        </w:rPr>
        <w:t>, який повинен обслуговувати персонал охорони</w:t>
      </w:r>
      <w:r w:rsidRPr="00424299">
        <w:rPr>
          <w:color w:val="auto"/>
          <w:sz w:val="20"/>
          <w:szCs w:val="20"/>
        </w:rPr>
        <w:t>.</w:t>
      </w:r>
    </w:p>
    <w:p w:rsidR="00F314C6" w:rsidRPr="00424299" w:rsidRDefault="00F314C6" w:rsidP="00F314C6">
      <w:pPr>
        <w:widowControl w:val="0"/>
        <w:tabs>
          <w:tab w:val="left" w:pos="4111"/>
          <w:tab w:val="left" w:pos="4395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Кількість об’єктів охорони </w:t>
      </w:r>
      <w:r w:rsidRPr="00424299">
        <w:rPr>
          <w:rFonts w:eastAsia="Times New Roman"/>
          <w:b/>
          <w:bCs/>
          <w:color w:val="auto"/>
          <w:sz w:val="20"/>
          <w:szCs w:val="20"/>
          <w:lang w:eastAsia="ar-SA"/>
        </w:rPr>
        <w:t>-</w:t>
      </w: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 1; всього постів </w:t>
      </w:r>
      <w:r w:rsidRPr="00424299">
        <w:rPr>
          <w:rFonts w:eastAsia="Times New Roman"/>
          <w:b/>
          <w:bCs/>
          <w:color w:val="auto"/>
          <w:sz w:val="20"/>
          <w:szCs w:val="20"/>
          <w:lang w:eastAsia="ar-SA"/>
        </w:rPr>
        <w:t>-</w:t>
      </w: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 4; цілодобових постів </w:t>
      </w:r>
      <w:r w:rsidRPr="00424299">
        <w:rPr>
          <w:rFonts w:eastAsia="Times New Roman"/>
          <w:b/>
          <w:bCs/>
          <w:color w:val="auto"/>
          <w:sz w:val="20"/>
          <w:szCs w:val="20"/>
          <w:lang w:eastAsia="ar-SA"/>
        </w:rPr>
        <w:t>-</w:t>
      </w: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 3; денний пост </w:t>
      </w:r>
      <w:r w:rsidRPr="00424299">
        <w:rPr>
          <w:rFonts w:eastAsia="Times New Roman"/>
          <w:b/>
          <w:bCs/>
          <w:color w:val="auto"/>
          <w:sz w:val="20"/>
          <w:szCs w:val="20"/>
          <w:lang w:eastAsia="ar-SA"/>
        </w:rPr>
        <w:t>-</w:t>
      </w:r>
      <w:r w:rsidRPr="00424299">
        <w:rPr>
          <w:rFonts w:eastAsia="Times New Roman"/>
          <w:color w:val="auto"/>
          <w:sz w:val="20"/>
          <w:szCs w:val="20"/>
          <w:lang w:eastAsia="ar-SA"/>
        </w:rPr>
        <w:t xml:space="preserve"> 1.</w:t>
      </w:r>
    </w:p>
    <w:p w:rsidR="00F314C6" w:rsidRPr="00424299" w:rsidRDefault="00F314C6" w:rsidP="00F314C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eastAsia="Times New Roman CYR"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color w:val="auto"/>
          <w:sz w:val="20"/>
          <w:szCs w:val="20"/>
          <w:lang w:eastAsia="ar-SA"/>
        </w:rPr>
        <w:t>Охорона об’єкту охорони забезпечується відповідно до дислокації.</w:t>
      </w:r>
    </w:p>
    <w:p w:rsidR="00F314C6" w:rsidRPr="00424299" w:rsidRDefault="00F314C6" w:rsidP="00F314C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eastAsia="Times New Roman CYR"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color w:val="auto"/>
          <w:sz w:val="20"/>
          <w:szCs w:val="20"/>
          <w:lang w:eastAsia="ar-SA"/>
        </w:rPr>
        <w:t>3 поста: добова зміна. Чергування доба через три.</w:t>
      </w:r>
    </w:p>
    <w:p w:rsidR="00F314C6" w:rsidRPr="00424299" w:rsidRDefault="00F314C6" w:rsidP="00F314C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eastAsia="Times New Roman CYR"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color w:val="auto"/>
          <w:sz w:val="20"/>
          <w:szCs w:val="20"/>
          <w:lang w:eastAsia="ar-SA"/>
        </w:rPr>
        <w:t>1 пост: денна зміна (9 годин). Чергування в робочі дні.</w:t>
      </w:r>
    </w:p>
    <w:p w:rsidR="00F314C6" w:rsidRPr="00424299" w:rsidRDefault="00F314C6" w:rsidP="00F314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Times New Roman CYR"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color w:val="auto"/>
          <w:sz w:val="20"/>
          <w:szCs w:val="20"/>
          <w:lang w:eastAsia="ar-SA"/>
        </w:rPr>
        <w:t xml:space="preserve">Охорона об’єкту, в тому числі цілодобова, повинна здійснюватися охоронниками 3 розряду. </w:t>
      </w:r>
    </w:p>
    <w:p w:rsidR="00F314C6" w:rsidRPr="00424299" w:rsidRDefault="00F314C6" w:rsidP="00F314C6">
      <w:pPr>
        <w:widowControl w:val="0"/>
        <w:suppressAutoHyphens/>
        <w:autoSpaceDE w:val="0"/>
        <w:spacing w:after="0" w:line="240" w:lineRule="auto"/>
        <w:rPr>
          <w:rFonts w:eastAsia="Times New Roman CYR"/>
          <w:color w:val="auto"/>
          <w:sz w:val="20"/>
          <w:szCs w:val="20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2"/>
        <w:gridCol w:w="1523"/>
        <w:gridCol w:w="1125"/>
        <w:gridCol w:w="705"/>
        <w:gridCol w:w="737"/>
        <w:gridCol w:w="809"/>
        <w:gridCol w:w="849"/>
        <w:gridCol w:w="968"/>
        <w:gridCol w:w="926"/>
      </w:tblGrid>
      <w:tr w:rsidR="00F314C6" w:rsidRPr="00424299" w:rsidTr="006B17FA">
        <w:trPr>
          <w:trHeight w:val="285"/>
        </w:trPr>
        <w:tc>
          <w:tcPr>
            <w:tcW w:w="445" w:type="dxa"/>
            <w:vMerge w:val="restart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№</w:t>
            </w: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п/п</w:t>
            </w:r>
          </w:p>
        </w:tc>
        <w:tc>
          <w:tcPr>
            <w:tcW w:w="1817" w:type="dxa"/>
            <w:vMerge w:val="restart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Найменування об’єкту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Адреса розташування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Кількість охоронників на добу</w:t>
            </w:r>
          </w:p>
        </w:tc>
        <w:tc>
          <w:tcPr>
            <w:tcW w:w="4077" w:type="dxa"/>
            <w:gridSpan w:val="5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Години охорони «від-до» в дні: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Примітка</w:t>
            </w:r>
          </w:p>
        </w:tc>
      </w:tr>
      <w:tr w:rsidR="00F314C6" w:rsidRPr="00424299" w:rsidTr="006B17FA">
        <w:trPr>
          <w:trHeight w:val="255"/>
        </w:trPr>
        <w:tc>
          <w:tcPr>
            <w:tcW w:w="445" w:type="dxa"/>
            <w:vMerge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робочі</w:t>
            </w:r>
          </w:p>
        </w:tc>
        <w:tc>
          <w:tcPr>
            <w:tcW w:w="73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перед-вихідні</w:t>
            </w:r>
          </w:p>
        </w:tc>
        <w:tc>
          <w:tcPr>
            <w:tcW w:w="81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вихідні</w:t>
            </w:r>
          </w:p>
        </w:tc>
        <w:tc>
          <w:tcPr>
            <w:tcW w:w="849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перед-святкові</w:t>
            </w:r>
          </w:p>
        </w:tc>
        <w:tc>
          <w:tcPr>
            <w:tcW w:w="973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424299">
              <w:rPr>
                <w:b/>
                <w:color w:val="auto"/>
                <w:sz w:val="16"/>
                <w:szCs w:val="16"/>
              </w:rPr>
              <w:t>святкові</w:t>
            </w:r>
          </w:p>
        </w:tc>
        <w:tc>
          <w:tcPr>
            <w:tcW w:w="926" w:type="dxa"/>
            <w:vMerge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F314C6" w:rsidRPr="00424299" w:rsidTr="006B17FA">
        <w:tc>
          <w:tcPr>
            <w:tcW w:w="445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 xml:space="preserve">Охорона адміністративної будівлі Державного експертного центру МОЗ (1 пост, Пост-1) </w:t>
            </w:r>
          </w:p>
        </w:tc>
        <w:tc>
          <w:tcPr>
            <w:tcW w:w="153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вул. Смоленська, 10, м. Київ</w:t>
            </w:r>
          </w:p>
        </w:tc>
        <w:tc>
          <w:tcPr>
            <w:tcW w:w="109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73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1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49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73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2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Без вихідних</w:t>
            </w:r>
          </w:p>
        </w:tc>
      </w:tr>
      <w:tr w:rsidR="00F314C6" w:rsidRPr="00424299" w:rsidTr="006B17FA">
        <w:tc>
          <w:tcPr>
            <w:tcW w:w="445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Охорона адміністративної будівлі Державного експертного центру МОЗ (1 пост, Пост-2)</w:t>
            </w:r>
          </w:p>
        </w:tc>
        <w:tc>
          <w:tcPr>
            <w:tcW w:w="153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вул. Смоленська, 10, м. Київ</w:t>
            </w:r>
          </w:p>
        </w:tc>
        <w:tc>
          <w:tcPr>
            <w:tcW w:w="109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73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1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49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73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2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Без вихідних</w:t>
            </w:r>
          </w:p>
        </w:tc>
      </w:tr>
      <w:tr w:rsidR="00F314C6" w:rsidRPr="00424299" w:rsidTr="006B17FA">
        <w:tc>
          <w:tcPr>
            <w:tcW w:w="445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181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 xml:space="preserve">Охорона території адміністративної будівлі Державного експертного центру МОЗ (1 пост, шлагбаум, зовнішня охорона Пост-3) </w:t>
            </w:r>
          </w:p>
        </w:tc>
        <w:tc>
          <w:tcPr>
            <w:tcW w:w="153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вул. Смоленська, 10, м. Київ</w:t>
            </w:r>
          </w:p>
        </w:tc>
        <w:tc>
          <w:tcPr>
            <w:tcW w:w="109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73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1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849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73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08:00-08:00</w:t>
            </w:r>
          </w:p>
        </w:tc>
        <w:tc>
          <w:tcPr>
            <w:tcW w:w="92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Без вихідних</w:t>
            </w:r>
          </w:p>
        </w:tc>
      </w:tr>
      <w:tr w:rsidR="00F314C6" w:rsidRPr="00424299" w:rsidTr="006B17FA">
        <w:tc>
          <w:tcPr>
            <w:tcW w:w="445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817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 xml:space="preserve">Охорона адміністративної будівлі Державного експертного центру МОЗ (1 пост, Пост-4) </w:t>
            </w:r>
          </w:p>
        </w:tc>
        <w:tc>
          <w:tcPr>
            <w:tcW w:w="1532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вул. Смоленська, 10, м. Київ</w:t>
            </w:r>
          </w:p>
        </w:tc>
        <w:tc>
          <w:tcPr>
            <w:tcW w:w="1092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08:00-17:00</w:t>
            </w:r>
          </w:p>
        </w:tc>
        <w:tc>
          <w:tcPr>
            <w:tcW w:w="737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08:00-17:00</w:t>
            </w:r>
          </w:p>
        </w:tc>
        <w:tc>
          <w:tcPr>
            <w:tcW w:w="812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849" w:type="dxa"/>
            <w:shd w:val="clear" w:color="auto" w:fill="auto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08:00-17:00</w:t>
            </w:r>
          </w:p>
        </w:tc>
        <w:tc>
          <w:tcPr>
            <w:tcW w:w="973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926" w:type="dxa"/>
            <w:shd w:val="clear" w:color="auto" w:fill="FFFFFF"/>
          </w:tcPr>
          <w:p w:rsidR="00F314C6" w:rsidRPr="00424299" w:rsidRDefault="00F314C6" w:rsidP="006B17F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24299">
              <w:rPr>
                <w:color w:val="auto"/>
                <w:sz w:val="16"/>
                <w:szCs w:val="16"/>
              </w:rPr>
              <w:t>Крім суботи, неділі та святкових днів</w:t>
            </w:r>
          </w:p>
        </w:tc>
      </w:tr>
    </w:tbl>
    <w:p w:rsidR="00F314C6" w:rsidRPr="00424299" w:rsidRDefault="00F314C6" w:rsidP="00F314C6">
      <w:pPr>
        <w:tabs>
          <w:tab w:val="left" w:pos="709"/>
        </w:tabs>
        <w:suppressAutoHyphens/>
        <w:spacing w:after="0" w:line="240" w:lineRule="auto"/>
        <w:jc w:val="center"/>
        <w:rPr>
          <w:rFonts w:eastAsia="Times New Roman CYR"/>
          <w:b/>
          <w:bCs/>
          <w:color w:val="auto"/>
          <w:sz w:val="20"/>
          <w:szCs w:val="20"/>
          <w:lang w:eastAsia="ar-SA"/>
        </w:rPr>
      </w:pPr>
    </w:p>
    <w:p w:rsidR="00F314C6" w:rsidRPr="00424299" w:rsidRDefault="00F314C6" w:rsidP="00F314C6">
      <w:pPr>
        <w:tabs>
          <w:tab w:val="left" w:pos="709"/>
        </w:tabs>
        <w:suppressAutoHyphens/>
        <w:spacing w:after="0" w:line="240" w:lineRule="auto"/>
        <w:jc w:val="center"/>
        <w:rPr>
          <w:rFonts w:eastAsia="Times New Roman"/>
          <w:bCs/>
          <w:color w:val="auto"/>
          <w:sz w:val="20"/>
          <w:szCs w:val="20"/>
          <w:lang w:eastAsia="ar-SA"/>
        </w:rPr>
      </w:pPr>
      <w:r w:rsidRPr="00424299">
        <w:rPr>
          <w:rFonts w:eastAsia="Times New Roman CYR"/>
          <w:b/>
          <w:bCs/>
          <w:color w:val="auto"/>
          <w:sz w:val="20"/>
          <w:szCs w:val="20"/>
          <w:lang w:eastAsia="ar-SA"/>
        </w:rPr>
        <w:t xml:space="preserve">Перелік вимог замовника, </w:t>
      </w:r>
      <w:r w:rsidRPr="00424299">
        <w:rPr>
          <w:rFonts w:eastAsia="Times New Roman"/>
          <w:b/>
          <w:bCs/>
          <w:color w:val="auto"/>
          <w:sz w:val="20"/>
          <w:szCs w:val="20"/>
          <w:lang w:eastAsia="ar-SA"/>
        </w:rPr>
        <w:t>яким повинен відповідати предмет закупівлі:</w:t>
      </w:r>
    </w:p>
    <w:p w:rsidR="00F314C6" w:rsidRPr="00424299" w:rsidRDefault="00F314C6" w:rsidP="00F314C6">
      <w:pPr>
        <w:tabs>
          <w:tab w:val="left" w:pos="6820"/>
        </w:tabs>
        <w:suppressAutoHyphens/>
        <w:spacing w:after="0" w:line="240" w:lineRule="auto"/>
        <w:ind w:firstLine="284"/>
        <w:jc w:val="center"/>
        <w:rPr>
          <w:rFonts w:eastAsia="Times New Roman"/>
          <w:b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b/>
          <w:color w:val="auto"/>
          <w:sz w:val="20"/>
          <w:szCs w:val="20"/>
          <w:lang w:eastAsia="ar-SA"/>
        </w:rPr>
        <w:t xml:space="preserve">ОХОРОННІ ПОСЛУГИ (Послуги з охорони майна ДЕРЖАВНОГО ПІДПРИЄМСТВА </w:t>
      </w:r>
    </w:p>
    <w:p w:rsidR="00F314C6" w:rsidRPr="00424299" w:rsidRDefault="00F314C6" w:rsidP="00F314C6">
      <w:pPr>
        <w:tabs>
          <w:tab w:val="left" w:pos="6820"/>
        </w:tabs>
        <w:suppressAutoHyphens/>
        <w:spacing w:after="0" w:line="240" w:lineRule="auto"/>
        <w:ind w:firstLine="284"/>
        <w:jc w:val="center"/>
        <w:rPr>
          <w:rFonts w:eastAsia="Times New Roman"/>
          <w:b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b/>
          <w:color w:val="auto"/>
          <w:sz w:val="20"/>
          <w:szCs w:val="20"/>
          <w:lang w:eastAsia="ar-SA"/>
        </w:rPr>
        <w:t xml:space="preserve">«ДЕРЖАВНИЙ ЕКСПЕРТНИЙ ЦЕНТР МІНІСТЕРСТВА ОХОРОНИ ЗДОРОВ’Я УКРАЇНИ»)  </w:t>
      </w:r>
    </w:p>
    <w:p w:rsidR="00F314C6" w:rsidRPr="00424299" w:rsidRDefault="00F314C6" w:rsidP="00F314C6">
      <w:pPr>
        <w:tabs>
          <w:tab w:val="left" w:pos="6820"/>
        </w:tabs>
        <w:suppressAutoHyphens/>
        <w:spacing w:after="0" w:line="240" w:lineRule="auto"/>
        <w:ind w:firstLine="284"/>
        <w:jc w:val="center"/>
        <w:rPr>
          <w:rFonts w:eastAsia="Times New Roman"/>
          <w:b/>
          <w:bCs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b/>
          <w:color w:val="auto"/>
          <w:sz w:val="20"/>
          <w:szCs w:val="20"/>
          <w:lang w:eastAsia="ar-SA"/>
        </w:rPr>
        <w:t>ДК 021:2015 – 79710000-4 Охоронні послуги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rFonts w:eastAsia="Times New Roman" w:cs="Courier New"/>
          <w:b/>
          <w:color w:val="auto"/>
          <w:sz w:val="20"/>
          <w:szCs w:val="20"/>
          <w:lang w:eastAsia="ru-RU"/>
        </w:rPr>
      </w:pPr>
      <w:r w:rsidRPr="00424299">
        <w:rPr>
          <w:rFonts w:eastAsia="Times New Roman"/>
          <w:color w:val="auto"/>
          <w:sz w:val="20"/>
          <w:szCs w:val="20"/>
          <w:lang w:eastAsia="ru-RU"/>
        </w:rPr>
        <w:t>Послуги повинні надаватись учасником відповідно до вимог Закону України «Про охоронну діяльність», постанови Кабінету Міністрів України від 18.11.2015 № 960 «Про затвердження Ліцензійних умов провадження охоронної діяльності» та інших норм чинного законодавства України.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Персонал охорони Учасника здійснює охорону об’єкту, забезпечує пропускний режим на об’єкті, охорону майна та співробітників Замовника. 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Права та обов'язки персоналу охорони визначаються Законом України «Про охоронну діяльність».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Порядок несення служби, персоналом охорони, розробляється УЧАСНИКОМ у відповідності до додатку 1 до Договору та інструкції з організації роботи персоналу охорони, яка погоджується із ЗАМОВНИКОМ.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b/>
          <w:color w:val="auto"/>
          <w:sz w:val="20"/>
          <w:szCs w:val="20"/>
        </w:rPr>
        <w:t>Відповідальність:</w:t>
      </w:r>
      <w:r w:rsidRPr="00424299">
        <w:rPr>
          <w:color w:val="auto"/>
          <w:sz w:val="20"/>
          <w:szCs w:val="20"/>
        </w:rPr>
        <w:t xml:space="preserve"> 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УЧАСНИК несе повну матеріальну відповідальність за збитки, спричинені Замовнику внаслідок неналежного виконання ним своїх зобов’язань. </w:t>
      </w:r>
    </w:p>
    <w:p w:rsidR="00F314C6" w:rsidRPr="00424299" w:rsidRDefault="00F314C6" w:rsidP="00F314C6">
      <w:pPr>
        <w:widowControl w:val="0"/>
        <w:tabs>
          <w:tab w:val="left" w:pos="741"/>
        </w:tabs>
        <w:spacing w:after="0" w:line="240" w:lineRule="auto"/>
        <w:ind w:firstLine="567"/>
        <w:jc w:val="both"/>
        <w:rPr>
          <w:b/>
          <w:iCs/>
          <w:color w:val="auto"/>
          <w:sz w:val="20"/>
          <w:szCs w:val="20"/>
          <w:shd w:val="clear" w:color="auto" w:fill="FFFFFF"/>
        </w:rPr>
      </w:pPr>
      <w:r w:rsidRPr="00424299">
        <w:rPr>
          <w:b/>
          <w:iCs/>
          <w:color w:val="auto"/>
          <w:sz w:val="20"/>
          <w:szCs w:val="20"/>
          <w:shd w:val="clear" w:color="auto" w:fill="FFFFFF"/>
        </w:rPr>
        <w:t>Основні завдання Учасника:</w:t>
      </w:r>
    </w:p>
    <w:p w:rsidR="00F314C6" w:rsidRPr="00424299" w:rsidRDefault="00F314C6" w:rsidP="00F314C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iCs/>
          <w:color w:val="auto"/>
          <w:sz w:val="20"/>
          <w:szCs w:val="20"/>
          <w:shd w:val="clear" w:color="auto" w:fill="FFFFFF"/>
        </w:rPr>
        <w:t>Забезпечення охорони майна (будівлі, територія, приміщення, обладнання, матеріальні цінності що знаходяться на території та у будівлі).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b/>
          <w:color w:val="auto"/>
          <w:sz w:val="20"/>
          <w:szCs w:val="20"/>
        </w:rPr>
      </w:pPr>
      <w:r w:rsidRPr="00424299">
        <w:rPr>
          <w:b/>
          <w:color w:val="auto"/>
          <w:sz w:val="20"/>
          <w:szCs w:val="20"/>
        </w:rPr>
        <w:t>Обов’язки Учасника: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Здійснення заходів охорони майна Замовника, шляхом: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здійснення цілодобового чергування на добових постах охорони та денного чергування на денному посту охорони;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забезпечення </w:t>
      </w:r>
      <w:proofErr w:type="spellStart"/>
      <w:r w:rsidRPr="00424299">
        <w:rPr>
          <w:color w:val="auto"/>
          <w:sz w:val="20"/>
          <w:szCs w:val="20"/>
        </w:rPr>
        <w:t>цілісносності</w:t>
      </w:r>
      <w:proofErr w:type="spellEnd"/>
      <w:r w:rsidRPr="00424299">
        <w:rPr>
          <w:color w:val="auto"/>
          <w:sz w:val="20"/>
          <w:szCs w:val="20"/>
        </w:rPr>
        <w:t xml:space="preserve"> об'єкту охорони та недоторканності майна, що на ньому зберігається, недоторканності фізичних осіб;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забезпечення пропускного та </w:t>
      </w:r>
      <w:proofErr w:type="spellStart"/>
      <w:r w:rsidRPr="00424299">
        <w:rPr>
          <w:color w:val="auto"/>
          <w:sz w:val="20"/>
          <w:szCs w:val="20"/>
        </w:rPr>
        <w:t>внутрішньооб’єктового</w:t>
      </w:r>
      <w:proofErr w:type="spellEnd"/>
      <w:r w:rsidRPr="00424299">
        <w:rPr>
          <w:color w:val="auto"/>
          <w:sz w:val="20"/>
          <w:szCs w:val="20"/>
        </w:rPr>
        <w:t xml:space="preserve"> режимів;</w:t>
      </w:r>
    </w:p>
    <w:p w:rsidR="00F314C6" w:rsidRPr="00424299" w:rsidRDefault="00F314C6" w:rsidP="00F314C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iCs/>
          <w:color w:val="auto"/>
          <w:sz w:val="20"/>
          <w:szCs w:val="20"/>
          <w:shd w:val="clear" w:color="auto" w:fill="FFFFFF"/>
        </w:rPr>
        <w:t xml:space="preserve">контроль приміщень та території за допомогою пульту центрального спостереження (далі – ПЦС) на який виведено систему відеоспостереження, системи контролю та управління доступом, пожежну сигналізацію та охоронно-тривожну сигналізацію якими обладнана будівля Замовника; </w:t>
      </w:r>
    </w:p>
    <w:p w:rsidR="00F314C6" w:rsidRPr="00424299" w:rsidRDefault="00F314C6" w:rsidP="00F314C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iCs/>
          <w:color w:val="auto"/>
          <w:sz w:val="20"/>
          <w:szCs w:val="20"/>
          <w:shd w:val="clear" w:color="auto" w:fill="FFFFFF"/>
        </w:rPr>
        <w:t>систематичні обходи будівлі та території;</w:t>
      </w:r>
    </w:p>
    <w:p w:rsidR="00F314C6" w:rsidRPr="00424299" w:rsidRDefault="00F314C6" w:rsidP="00F314C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iCs/>
          <w:color w:val="auto"/>
          <w:sz w:val="20"/>
          <w:szCs w:val="20"/>
          <w:shd w:val="clear" w:color="auto" w:fill="FFFFFF"/>
        </w:rPr>
        <w:t>контроль внесення/винесення матеріальних цінностей;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забезпечення охорони об'єкту Замовника та прийнятих під охорону товарно-матеріальних цінностей від розкрадання, знищення, псування;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забезпечення контролю за переміщенням товарно-матеріальних цінностей, які охороняються; 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забезпечення надійної охорони переданих під охорону цінностей та майна підприємства;</w:t>
      </w:r>
    </w:p>
    <w:p w:rsidR="00F314C6" w:rsidRPr="00424299" w:rsidRDefault="00F314C6" w:rsidP="00F314C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iCs/>
          <w:color w:val="auto"/>
          <w:sz w:val="20"/>
          <w:szCs w:val="20"/>
          <w:shd w:val="clear" w:color="auto" w:fill="FFFFFF"/>
        </w:rPr>
        <w:t>контроль за звуковими сигналами охоронно-тривожної та протипожежної сигналізації.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припинення правопорушення проти власності, фізичних осіб, порушення режиму роботи об'єкту охорони шляхом здійснення заходів реагування згідно вимог чинного законодавства України;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запобігання та/або не допущення чи припинення будь-яких протиправних і несанкціонованих дій на об’єкті охорони;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запобігання та/або не допущення знаходження на об’єкті охорони осіб у нетверезому стані або під дією наркотичних речовин, а також осіб з агресивною поведінкою;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виявлення та затримання осіб, які незаконно перебувають на території об’єкта;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запобігання та/або не допущення пошкодження, псування, крадіжки та пограбування майна;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доведення до відома Замовника інформації про порушення пропускного і </w:t>
      </w:r>
      <w:proofErr w:type="spellStart"/>
      <w:r w:rsidRPr="00424299">
        <w:rPr>
          <w:color w:val="auto"/>
          <w:sz w:val="20"/>
          <w:szCs w:val="20"/>
        </w:rPr>
        <w:t>внутрішньооб’єктового</w:t>
      </w:r>
      <w:proofErr w:type="spellEnd"/>
      <w:r w:rsidRPr="00424299">
        <w:rPr>
          <w:color w:val="auto"/>
          <w:sz w:val="20"/>
          <w:szCs w:val="20"/>
        </w:rPr>
        <w:t xml:space="preserve"> режиму;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негайного у будь-який спосіб повідомлення відповідних правоохоронних органів про вчинення протиправних дій щодо власності, фізичних осіб та інших незаконних дій, що мають ознаки кримінального правопорушення на об'єкті охорони;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lastRenderedPageBreak/>
        <w:t>збереження таємниці, що охороняється законом, а також конфіденційної інформації про господарську діяльність Замовника, оголошену такою в установленому порядку, відомостей про особисте і сімейне життя працівників Замовника, що стали відомі у зв'язку з виконанням службових обов'язків, крім випадків, передбачених законодавством;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утримання від дій, що порушуют</w:t>
      </w:r>
      <w:r w:rsidRPr="00424299">
        <w:rPr>
          <w:rFonts w:ascii="Calibri" w:hAnsi="Calibri"/>
          <w:color w:val="auto"/>
          <w:sz w:val="20"/>
          <w:szCs w:val="20"/>
        </w:rPr>
        <w:t xml:space="preserve">ь </w:t>
      </w:r>
      <w:r w:rsidRPr="00424299">
        <w:rPr>
          <w:color w:val="auto"/>
          <w:sz w:val="20"/>
          <w:szCs w:val="20"/>
        </w:rPr>
        <w:t>громадський порядок на об'єкті охорони;</w:t>
      </w:r>
    </w:p>
    <w:p w:rsidR="00F314C6" w:rsidRPr="00424299" w:rsidRDefault="00F314C6" w:rsidP="00F314C6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424299">
        <w:rPr>
          <w:rFonts w:eastAsia="Times New Roman"/>
          <w:color w:val="auto"/>
          <w:sz w:val="20"/>
          <w:szCs w:val="20"/>
          <w:lang w:eastAsia="ar-SA"/>
        </w:rPr>
        <w:t>виконання усних та письмових вказівок начальника Управління внутрішньої та зовнішньої безпеки, працівників сектору внутрішнього контролю Управління внутрішньої та зовнішньої безпеки та Відповідальної особи Замовника, щодо охорони та пропускного режиму;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невідкладного інформування Відповідальної особи Замовника про виникнення будь-яких надзвичайних подій на об'єкті охорони;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забезпечення охайного вигляду та наявність у персоналу охорони форми з обов'язковою наявністю на формі ознак належності до Учасника;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забезпечення персоналу охорони спецзасобами,</w:t>
      </w:r>
      <w:r>
        <w:rPr>
          <w:color w:val="auto"/>
          <w:sz w:val="20"/>
          <w:szCs w:val="20"/>
        </w:rPr>
        <w:t xml:space="preserve"> </w:t>
      </w:r>
      <w:r w:rsidRPr="009051F6">
        <w:rPr>
          <w:color w:val="auto"/>
          <w:sz w:val="20"/>
          <w:szCs w:val="20"/>
        </w:rPr>
        <w:t>смартфонами</w:t>
      </w:r>
      <w:r w:rsidRPr="009051F6">
        <w:t xml:space="preserve"> </w:t>
      </w:r>
      <w:r w:rsidRPr="009051F6">
        <w:rPr>
          <w:color w:val="auto"/>
          <w:sz w:val="20"/>
          <w:szCs w:val="20"/>
        </w:rPr>
        <w:t>з фото- відеокамерою</w:t>
      </w:r>
      <w:r>
        <w:rPr>
          <w:color w:val="auto"/>
          <w:sz w:val="20"/>
          <w:szCs w:val="20"/>
        </w:rPr>
        <w:t xml:space="preserve"> роздільною здатністю не менше 13Мп</w:t>
      </w:r>
      <w:r w:rsidRPr="009051F6">
        <w:rPr>
          <w:color w:val="auto"/>
          <w:sz w:val="20"/>
          <w:szCs w:val="20"/>
        </w:rPr>
        <w:t xml:space="preserve"> та програмним забезпеченням </w:t>
      </w:r>
      <w:proofErr w:type="spellStart"/>
      <w:r w:rsidRPr="009051F6">
        <w:rPr>
          <w:color w:val="auto"/>
          <w:sz w:val="20"/>
          <w:szCs w:val="20"/>
        </w:rPr>
        <w:t>Android</w:t>
      </w:r>
      <w:proofErr w:type="spellEnd"/>
      <w:r w:rsidRPr="009051F6">
        <w:rPr>
          <w:color w:val="auto"/>
          <w:sz w:val="20"/>
          <w:szCs w:val="20"/>
        </w:rPr>
        <w:t xml:space="preserve"> або IOS, </w:t>
      </w:r>
      <w:proofErr w:type="spellStart"/>
      <w:r w:rsidRPr="009051F6">
        <w:rPr>
          <w:color w:val="auto"/>
          <w:sz w:val="20"/>
          <w:szCs w:val="20"/>
        </w:rPr>
        <w:t>Viber</w:t>
      </w:r>
      <w:proofErr w:type="spellEnd"/>
      <w:r w:rsidRPr="009051F6">
        <w:rPr>
          <w:color w:val="auto"/>
          <w:sz w:val="20"/>
          <w:szCs w:val="20"/>
        </w:rPr>
        <w:t xml:space="preserve">, </w:t>
      </w:r>
      <w:proofErr w:type="spellStart"/>
      <w:r w:rsidRPr="009051F6">
        <w:rPr>
          <w:color w:val="auto"/>
          <w:sz w:val="20"/>
          <w:szCs w:val="20"/>
        </w:rPr>
        <w:t>Telegram</w:t>
      </w:r>
      <w:proofErr w:type="spellEnd"/>
      <w:r w:rsidRPr="00E1765E">
        <w:rPr>
          <w:color w:val="auto"/>
          <w:sz w:val="20"/>
          <w:szCs w:val="20"/>
        </w:rPr>
        <w:t>,</w:t>
      </w:r>
      <w:r w:rsidRPr="00424299">
        <w:rPr>
          <w:color w:val="auto"/>
          <w:sz w:val="20"/>
          <w:szCs w:val="20"/>
        </w:rPr>
        <w:t xml:space="preserve"> </w:t>
      </w:r>
      <w:proofErr w:type="spellStart"/>
      <w:r w:rsidRPr="00424299">
        <w:rPr>
          <w:color w:val="auto"/>
          <w:sz w:val="20"/>
          <w:szCs w:val="20"/>
        </w:rPr>
        <w:t>бейджиками</w:t>
      </w:r>
      <w:proofErr w:type="spellEnd"/>
      <w:r w:rsidRPr="00424299">
        <w:rPr>
          <w:color w:val="auto"/>
          <w:sz w:val="20"/>
          <w:szCs w:val="20"/>
        </w:rPr>
        <w:t xml:space="preserve"> та посвідченням охоронника;</w:t>
      </w:r>
    </w:p>
    <w:p w:rsidR="00F314C6" w:rsidRPr="00424299" w:rsidRDefault="00F314C6" w:rsidP="00F314C6">
      <w:pPr>
        <w:tabs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rFonts w:eastAsia="Times New Roman"/>
          <w:color w:val="auto"/>
          <w:sz w:val="20"/>
          <w:szCs w:val="20"/>
          <w:lang w:eastAsia="x-none"/>
        </w:rPr>
        <w:t>обов’язкового фіксування будь-яких порушень або надзвичайних подій в журналі прийому-передачі зміни. У разі виникнення будь-яких подій або скоєння правопорушень особами або персоналом охорони, старший зміни охорони подає доповідну записку Відповідальній особі Замовника;</w:t>
      </w:r>
      <w:r w:rsidRPr="00424299">
        <w:rPr>
          <w:color w:val="auto"/>
          <w:sz w:val="20"/>
          <w:szCs w:val="20"/>
          <w:highlight w:val="cyan"/>
        </w:rPr>
        <w:t xml:space="preserve"> </w:t>
      </w:r>
    </w:p>
    <w:p w:rsidR="00F314C6" w:rsidRPr="00424299" w:rsidRDefault="00F314C6" w:rsidP="00F314C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запобігання та/або не допущення розвантаження (складування) майна, матеріалів, техніки на площах загального користування без відповідних погоджень та дозволів;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прийом-видача ключів від приміщень;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своєчасного попередження та запобігання злочинам та правопорушенням;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забезпечення захисту та прийняття участі у проведенні спеціальних операцій на об’єктах Замовника у разі виникнення надзвичайних обставин (пожежа, стихійне лихо, інші катастрофи), при встановленні факту нападу, проникнення на об’єкти охорони сторонніх осіб, або знищення, пошкодження майна Замовника, терміново оповістити Відповідальну особу Замовника, а також відповідні органи, служби, та прийняти всі можливі заходи щодо недопущення протиправних дій;</w:t>
      </w:r>
    </w:p>
    <w:p w:rsidR="00F314C6" w:rsidRPr="00424299" w:rsidRDefault="00F314C6" w:rsidP="00F314C6">
      <w:pPr>
        <w:tabs>
          <w:tab w:val="left" w:pos="567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здійснення періодичного патрулювання об’єкта та прилеглої території з метою виявлення сторонніх осіб у нічний час та у вихідні дні, не рідше ніж 1 раз на годину;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за зверненням надання Замовнику консультацій та підготовка заходів щодо підвищення рівня охорони об’єкта;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організація взаємодії з державними правоохоронними органами з метою належного виконання зобов’язань за Договором. Негайне оповіщення правоохоронних органів та Відповідальної особи Замовника у випадку виявлення порушення цілісності об’єкту охорони, крадіжки, грабежу, розбою, підпалу, тощо. До прибуття представників вищезазначених органів Учасник забезпечує недоторканість місця події.</w:t>
      </w:r>
    </w:p>
    <w:p w:rsidR="00F314C6" w:rsidRPr="00424299" w:rsidRDefault="00F314C6" w:rsidP="00F314C6">
      <w:pPr>
        <w:widowControl w:val="0"/>
        <w:tabs>
          <w:tab w:val="left" w:pos="1054"/>
        </w:tabs>
        <w:spacing w:after="0" w:line="240" w:lineRule="auto"/>
        <w:ind w:firstLine="567"/>
        <w:jc w:val="both"/>
        <w:rPr>
          <w:iCs/>
          <w:color w:val="auto"/>
          <w:sz w:val="20"/>
          <w:szCs w:val="20"/>
          <w:shd w:val="clear" w:color="auto" w:fill="FFFFFF"/>
        </w:rPr>
      </w:pPr>
      <w:r w:rsidRPr="00424299">
        <w:rPr>
          <w:b/>
          <w:iCs/>
          <w:color w:val="auto"/>
          <w:sz w:val="20"/>
          <w:szCs w:val="20"/>
          <w:shd w:val="clear" w:color="auto" w:fill="FFFFFF"/>
        </w:rPr>
        <w:t>Загальні вимоги до Учасника</w:t>
      </w:r>
      <w:r w:rsidRPr="00424299">
        <w:rPr>
          <w:iCs/>
          <w:color w:val="auto"/>
          <w:sz w:val="20"/>
          <w:szCs w:val="20"/>
          <w:shd w:val="clear" w:color="auto" w:fill="FFFFFF"/>
        </w:rPr>
        <w:t>: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  <w:bookmarkStart w:id="0" w:name="_GoBack"/>
      <w:bookmarkEnd w:id="0"/>
      <w:r w:rsidRPr="00424299">
        <w:rPr>
          <w:color w:val="auto"/>
          <w:sz w:val="20"/>
          <w:szCs w:val="20"/>
        </w:rPr>
        <w:t xml:space="preserve">здатність за своїми діловими та моральними якостями, освітнім і професійним рівнем, станом здоров'я виконувати службові обов’язки згідно </w:t>
      </w:r>
      <w:r w:rsidRPr="00424299">
        <w:rPr>
          <w:rFonts w:eastAsia="Times New Roman"/>
          <w:color w:val="auto"/>
          <w:sz w:val="20"/>
          <w:szCs w:val="20"/>
          <w:lang w:eastAsia="ru-RU"/>
        </w:rPr>
        <w:t>з вимогами Закону України «Про охоронну діяльність», постанови Кабінету Міністрів України від 18.11.2015 № 960 «Про затвердження Ліцензійних умов провадження охоронної діяльності» та інших норм чинного законодавства України;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rFonts w:eastAsia="Times New Roman" w:cs="Courier New"/>
          <w:color w:val="auto"/>
          <w:sz w:val="20"/>
          <w:szCs w:val="20"/>
          <w:lang w:eastAsia="ru-RU"/>
        </w:rPr>
      </w:pPr>
      <w:r w:rsidRPr="00424299">
        <w:rPr>
          <w:rFonts w:eastAsia="Times New Roman" w:cs="Courier New"/>
          <w:color w:val="auto"/>
          <w:sz w:val="20"/>
          <w:szCs w:val="20"/>
          <w:lang w:eastAsia="ru-RU"/>
        </w:rPr>
        <w:t>наявність Сертифікату, який підтверджує, що система управління якістю, охорони здоров’я та безпеки праці стосовно надання послуг, які є предметом закупівлі, не нижче ніж ДСТУ ISO 9001, ISO 45001 (надати скановані копії з оригіналів);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наявність форменого одягу з використанням знаків належності до відповідного суб’єкта охоронної діяльності згідно з його статутними документами (надати фото форменого одягу);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наявність спеціальних засобів відповідно до постанови Кабінету Міністрів України від 11.02.2013 № 97 «Про затвердження переліку спеціальних засобів, придбання, зберігання та використання яких здійснюється суб’єктами охоронної діяльності»;</w:t>
      </w:r>
    </w:p>
    <w:p w:rsidR="00F314C6" w:rsidRPr="00666790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 xml:space="preserve">уміння охоронників володіти зазначеними спеціальними засобами, </w:t>
      </w:r>
      <w:r w:rsidRPr="00666790">
        <w:rPr>
          <w:color w:val="auto"/>
          <w:sz w:val="20"/>
          <w:szCs w:val="20"/>
        </w:rPr>
        <w:t xml:space="preserve">засобами зв’язку та фото- </w:t>
      </w:r>
      <w:proofErr w:type="spellStart"/>
      <w:r w:rsidRPr="00666790">
        <w:rPr>
          <w:color w:val="auto"/>
          <w:sz w:val="20"/>
          <w:szCs w:val="20"/>
        </w:rPr>
        <w:t>відеофіксації</w:t>
      </w:r>
      <w:proofErr w:type="spellEnd"/>
      <w:r w:rsidRPr="00666790">
        <w:rPr>
          <w:color w:val="auto"/>
          <w:sz w:val="20"/>
          <w:szCs w:val="20"/>
        </w:rPr>
        <w:t>, технічними засобами охорони та протипожежними засобами;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666790">
        <w:rPr>
          <w:color w:val="auto"/>
          <w:sz w:val="20"/>
          <w:szCs w:val="20"/>
        </w:rPr>
        <w:t xml:space="preserve">наявність у персоналу охорони вміння та досвіду користування персональним комп'ютером та програмним забезпеченням Microsoft: </w:t>
      </w:r>
      <w:r w:rsidRPr="00666790">
        <w:rPr>
          <w:color w:val="auto"/>
          <w:sz w:val="20"/>
          <w:szCs w:val="20"/>
          <w:lang w:val="en-US"/>
        </w:rPr>
        <w:t>Windows</w:t>
      </w:r>
      <w:r w:rsidRPr="00666790">
        <w:rPr>
          <w:color w:val="auto"/>
          <w:sz w:val="20"/>
          <w:szCs w:val="20"/>
        </w:rPr>
        <w:t xml:space="preserve">, Word, Excel, Outlook іншими поштовими клієнтами, а також смартфоном з фото- відеокамерою та програмним забезпеченням </w:t>
      </w:r>
      <w:r w:rsidRPr="00666790">
        <w:rPr>
          <w:color w:val="auto"/>
          <w:sz w:val="20"/>
          <w:szCs w:val="20"/>
          <w:lang w:val="en-US"/>
        </w:rPr>
        <w:t>Android</w:t>
      </w:r>
      <w:r w:rsidRPr="00666790">
        <w:rPr>
          <w:color w:val="auto"/>
          <w:sz w:val="21"/>
          <w:szCs w:val="21"/>
        </w:rPr>
        <w:t xml:space="preserve"> або </w:t>
      </w:r>
      <w:r w:rsidRPr="00666790">
        <w:rPr>
          <w:color w:val="auto"/>
          <w:sz w:val="21"/>
          <w:szCs w:val="21"/>
          <w:lang w:val="en-US"/>
        </w:rPr>
        <w:t>IOS</w:t>
      </w:r>
      <w:r w:rsidRPr="00666790">
        <w:rPr>
          <w:color w:val="auto"/>
          <w:sz w:val="20"/>
          <w:szCs w:val="20"/>
        </w:rPr>
        <w:t xml:space="preserve">, </w:t>
      </w:r>
      <w:proofErr w:type="spellStart"/>
      <w:r w:rsidRPr="00666790">
        <w:rPr>
          <w:color w:val="auto"/>
          <w:sz w:val="20"/>
          <w:szCs w:val="20"/>
        </w:rPr>
        <w:t>Viber</w:t>
      </w:r>
      <w:proofErr w:type="spellEnd"/>
      <w:r w:rsidRPr="00666790">
        <w:rPr>
          <w:color w:val="auto"/>
          <w:sz w:val="20"/>
          <w:szCs w:val="20"/>
        </w:rPr>
        <w:t xml:space="preserve">, </w:t>
      </w:r>
      <w:proofErr w:type="spellStart"/>
      <w:r w:rsidRPr="00666790">
        <w:rPr>
          <w:color w:val="auto"/>
          <w:sz w:val="20"/>
          <w:szCs w:val="20"/>
        </w:rPr>
        <w:t>Telegram</w:t>
      </w:r>
      <w:proofErr w:type="spellEnd"/>
      <w:r>
        <w:rPr>
          <w:color w:val="auto"/>
          <w:sz w:val="20"/>
          <w:szCs w:val="20"/>
        </w:rPr>
        <w:t>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під час виконання функціональних обов’язків мати при собі посвідчення встановленого зразка згідно з чинним законодавством;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t>персонал охорони повинен мати 3 розряд охоронника, стаж роботи в охороні не менше 3 (трьох) років та вік не старше 50 років;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color w:val="auto"/>
          <w:sz w:val="20"/>
          <w:szCs w:val="20"/>
        </w:rPr>
        <w:lastRenderedPageBreak/>
        <w:t>уповноважена особа Учасника повинна проводити інструктаж особового складу з охорони праці та пожежної безпеки на робочому місці.</w:t>
      </w: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424299">
        <w:rPr>
          <w:sz w:val="20"/>
          <w:szCs w:val="20"/>
          <w:lang w:bidi="uk-UA"/>
        </w:rPr>
        <w:t>Під час надання послуг учасник повинен застосовувати заходи із захисту довкілля, на підтвердження чого у складі пропозиції учасник надає довідку в довільній формі про застосування заходів із захисту довкілля.</w:t>
      </w:r>
    </w:p>
    <w:p w:rsidR="00F314C6" w:rsidRPr="00424299" w:rsidRDefault="00F314C6" w:rsidP="00F314C6">
      <w:pPr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eastAsia="Times New Roman"/>
          <w:color w:val="auto"/>
          <w:spacing w:val="4"/>
          <w:kern w:val="1"/>
          <w:sz w:val="20"/>
          <w:szCs w:val="20"/>
          <w:lang w:eastAsia="ar-SA"/>
        </w:rPr>
      </w:pPr>
      <w:r w:rsidRPr="00424299">
        <w:rPr>
          <w:rFonts w:eastAsia="Times New Roman"/>
          <w:color w:val="auto"/>
          <w:spacing w:val="4"/>
          <w:kern w:val="1"/>
          <w:sz w:val="20"/>
          <w:szCs w:val="20"/>
          <w:lang w:eastAsia="ar-SA"/>
        </w:rPr>
        <w:t>Учасник – Виконавець послуг за Договором.</w:t>
      </w:r>
    </w:p>
    <w:p w:rsidR="00F314C6" w:rsidRPr="00424299" w:rsidRDefault="00F314C6" w:rsidP="00F314C6">
      <w:pPr>
        <w:rPr>
          <w:rFonts w:ascii="Calibri" w:hAnsi="Calibri"/>
          <w:color w:val="auto"/>
          <w:sz w:val="20"/>
          <w:szCs w:val="20"/>
        </w:rPr>
      </w:pPr>
    </w:p>
    <w:p w:rsidR="00F314C6" w:rsidRPr="00424299" w:rsidRDefault="00F314C6" w:rsidP="00F314C6">
      <w:pPr>
        <w:suppressAutoHyphens/>
        <w:spacing w:after="0" w:line="240" w:lineRule="auto"/>
        <w:rPr>
          <w:rFonts w:eastAsia="Times New Roman"/>
          <w:color w:val="auto"/>
          <w:spacing w:val="4"/>
          <w:kern w:val="1"/>
          <w:sz w:val="20"/>
          <w:szCs w:val="20"/>
          <w:lang w:eastAsia="ar-SA"/>
        </w:rPr>
      </w:pPr>
    </w:p>
    <w:p w:rsidR="00F314C6" w:rsidRPr="00424299" w:rsidRDefault="00F314C6" w:rsidP="00F314C6">
      <w:pPr>
        <w:spacing w:after="0" w:line="240" w:lineRule="auto"/>
        <w:ind w:firstLine="567"/>
        <w:jc w:val="both"/>
        <w:rPr>
          <w:b/>
          <w:bCs/>
          <w:color w:val="auto"/>
          <w:sz w:val="22"/>
          <w:szCs w:val="22"/>
        </w:rPr>
      </w:pPr>
      <w:r w:rsidRPr="00424299">
        <w:rPr>
          <w:b/>
          <w:bCs/>
          <w:color w:val="auto"/>
          <w:sz w:val="20"/>
          <w:szCs w:val="20"/>
        </w:rPr>
        <w:t>У разі, якщо Пропозиція не відповідає технічним вимогам Замовника або Учасник не в змозі виконати умови надання послуг з охорони майна, які визначені Замовником, Пропозиція</w:t>
      </w:r>
      <w:r w:rsidRPr="00424299">
        <w:rPr>
          <w:b/>
          <w:bCs/>
          <w:color w:val="auto"/>
          <w:sz w:val="22"/>
          <w:szCs w:val="22"/>
        </w:rPr>
        <w:t xml:space="preserve"> відхиляється.</w:t>
      </w:r>
    </w:p>
    <w:p w:rsidR="00F314C6" w:rsidRPr="00424299" w:rsidRDefault="00F314C6" w:rsidP="00F314C6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A50275" w:rsidRDefault="00A50275"/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903E4"/>
    <w:rsid w:val="0063309B"/>
    <w:rsid w:val="00A50275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66F7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01-002233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3</cp:revision>
  <dcterms:created xsi:type="dcterms:W3CDTF">2021-12-15T12:51:00Z</dcterms:created>
  <dcterms:modified xsi:type="dcterms:W3CDTF">2021-12-15T13:12:00Z</dcterms:modified>
</cp:coreProperties>
</file>