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4383F" w:rsidRPr="00141EAE" w:rsidTr="007E796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83F" w:rsidRPr="00141EAE" w:rsidRDefault="0094383F" w:rsidP="007E7969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2BC9" w:rsidRPr="009E2BC9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333333"/>
              </w:rPr>
            </w:pPr>
            <w:r w:rsidRPr="00141EAE">
              <w:rPr>
                <w:rFonts w:ascii="Times New Roman" w:hAnsi="Times New Roman"/>
                <w:color w:val="000000" w:themeColor="text1"/>
                <w:lang w:val="uk-UA"/>
              </w:rPr>
              <w:t xml:space="preserve">Назва закупівлі: </w:t>
            </w:r>
            <w:r w:rsidR="009E2BC9" w:rsidRPr="00F20EDB">
              <w:rPr>
                <w:rFonts w:ascii="Times New Roman" w:hAnsi="Times New Roman"/>
                <w:b/>
              </w:rPr>
              <w:t>ПОСЛУГИ ЗАПРАВ</w:t>
            </w:r>
            <w:r w:rsidR="009E2BC9">
              <w:rPr>
                <w:rFonts w:ascii="Times New Roman" w:hAnsi="Times New Roman"/>
                <w:b/>
                <w:lang w:val="uk-UA"/>
              </w:rPr>
              <w:t>КИ</w:t>
            </w:r>
            <w:r w:rsidR="009E2BC9" w:rsidRPr="00F20EDB">
              <w:rPr>
                <w:rFonts w:ascii="Times New Roman" w:hAnsi="Times New Roman"/>
                <w:b/>
              </w:rPr>
              <w:t xml:space="preserve"> ТА</w:t>
            </w:r>
            <w:r w:rsidR="009E2BC9" w:rsidRPr="00F20EDB">
              <w:rPr>
                <w:rFonts w:ascii="Times New Roman" w:hAnsi="Times New Roman"/>
                <w:b/>
                <w:lang w:val="uk-UA"/>
              </w:rPr>
              <w:t xml:space="preserve"> ВІДНОВЛЕНН</w:t>
            </w:r>
            <w:r w:rsidR="009E2BC9">
              <w:rPr>
                <w:rFonts w:ascii="Times New Roman" w:hAnsi="Times New Roman"/>
                <w:b/>
                <w:lang w:val="uk-UA"/>
              </w:rPr>
              <w:t>Я</w:t>
            </w:r>
            <w:r w:rsidR="009E2BC9" w:rsidRPr="00F20EDB">
              <w:rPr>
                <w:rFonts w:ascii="Times New Roman" w:hAnsi="Times New Roman"/>
                <w:b/>
              </w:rPr>
              <w:t xml:space="preserve"> КАРТРИДЖІВ</w:t>
            </w:r>
            <w:r w:rsidR="009E2BC9" w:rsidRPr="00141EAE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 </w:t>
            </w:r>
            <w:r w:rsidRPr="00141EAE">
              <w:rPr>
                <w:rFonts w:ascii="Times New Roman" w:hAnsi="Times New Roman"/>
                <w:bCs/>
                <w:color w:val="000000" w:themeColor="text1"/>
                <w:lang w:val="uk-UA"/>
              </w:rPr>
              <w:t>Класифікатор та його відповідний код:</w:t>
            </w:r>
            <w:r w:rsidRPr="00141EAE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r w:rsidR="009E2BC9" w:rsidRPr="009E2BC9">
              <w:rPr>
                <w:rFonts w:ascii="Times New Roman" w:hAnsi="Times New Roman"/>
                <w:b/>
                <w:color w:val="333333"/>
              </w:rPr>
              <w:t xml:space="preserve">ДК 021:2015:50310000-1: </w:t>
            </w:r>
            <w:proofErr w:type="spellStart"/>
            <w:r w:rsidR="009E2BC9" w:rsidRPr="009E2BC9">
              <w:rPr>
                <w:rFonts w:ascii="Times New Roman" w:hAnsi="Times New Roman"/>
                <w:b/>
                <w:color w:val="333333"/>
              </w:rPr>
              <w:t>Технічне</w:t>
            </w:r>
            <w:proofErr w:type="spellEnd"/>
            <w:r w:rsidR="009E2BC9" w:rsidRPr="009E2BC9">
              <w:rPr>
                <w:rFonts w:ascii="Times New Roman" w:hAnsi="Times New Roman"/>
                <w:b/>
                <w:color w:val="333333"/>
              </w:rPr>
              <w:t xml:space="preserve"> </w:t>
            </w:r>
            <w:proofErr w:type="spellStart"/>
            <w:r w:rsidR="009E2BC9" w:rsidRPr="009E2BC9">
              <w:rPr>
                <w:rFonts w:ascii="Times New Roman" w:hAnsi="Times New Roman"/>
                <w:b/>
                <w:color w:val="333333"/>
              </w:rPr>
              <w:t>обслуговування</w:t>
            </w:r>
            <w:proofErr w:type="spellEnd"/>
            <w:r w:rsidR="009E2BC9" w:rsidRPr="009E2BC9">
              <w:rPr>
                <w:rFonts w:ascii="Times New Roman" w:hAnsi="Times New Roman"/>
                <w:b/>
                <w:color w:val="333333"/>
              </w:rPr>
              <w:t xml:space="preserve"> і ремонт </w:t>
            </w:r>
            <w:proofErr w:type="spellStart"/>
            <w:r w:rsidR="009E2BC9" w:rsidRPr="009E2BC9">
              <w:rPr>
                <w:rFonts w:ascii="Times New Roman" w:hAnsi="Times New Roman"/>
                <w:b/>
                <w:color w:val="333333"/>
              </w:rPr>
              <w:t>офісної</w:t>
            </w:r>
            <w:proofErr w:type="spellEnd"/>
            <w:r w:rsidR="009E2BC9" w:rsidRPr="009E2BC9">
              <w:rPr>
                <w:rFonts w:ascii="Times New Roman" w:hAnsi="Times New Roman"/>
                <w:b/>
                <w:color w:val="333333"/>
              </w:rPr>
              <w:t xml:space="preserve"> </w:t>
            </w:r>
            <w:proofErr w:type="spellStart"/>
            <w:r w:rsidR="009E2BC9" w:rsidRPr="009E2BC9">
              <w:rPr>
                <w:rFonts w:ascii="Times New Roman" w:hAnsi="Times New Roman"/>
                <w:b/>
                <w:color w:val="333333"/>
              </w:rPr>
              <w:t>техніки</w:t>
            </w:r>
            <w:proofErr w:type="spellEnd"/>
          </w:p>
          <w:p w:rsidR="0094383F" w:rsidRPr="00141EAE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41EAE">
              <w:rPr>
                <w:rFonts w:ascii="Times New Roman" w:hAnsi="Times New Roman"/>
                <w:color w:val="000000" w:themeColor="text1"/>
                <w:lang w:val="uk-UA"/>
              </w:rPr>
              <w:t xml:space="preserve">Процедура закупівлі: </w:t>
            </w:r>
            <w:r w:rsidRPr="00141EAE">
              <w:rPr>
                <w:rFonts w:ascii="Times New Roman" w:hAnsi="Times New Roman"/>
                <w:b/>
                <w:color w:val="000000" w:themeColor="text1"/>
                <w:lang w:val="uk-UA"/>
              </w:rPr>
              <w:t>Відкриті торги</w:t>
            </w:r>
          </w:p>
          <w:p w:rsidR="0094383F" w:rsidRPr="00141EAE" w:rsidRDefault="0094383F" w:rsidP="007E7969">
            <w:pPr>
              <w:spacing w:after="0" w:line="276" w:lineRule="auto"/>
              <w:rPr>
                <w:color w:val="454545"/>
                <w:sz w:val="24"/>
                <w:szCs w:val="24"/>
              </w:rPr>
            </w:pPr>
            <w:r w:rsidRPr="00141EAE">
              <w:rPr>
                <w:color w:val="000000" w:themeColor="text1"/>
                <w:sz w:val="24"/>
                <w:szCs w:val="24"/>
              </w:rPr>
              <w:t xml:space="preserve">Очікувана вартість: </w:t>
            </w:r>
            <w:r w:rsidR="009E2BC9">
              <w:rPr>
                <w:b/>
                <w:color w:val="auto"/>
                <w:sz w:val="24"/>
                <w:szCs w:val="24"/>
              </w:rPr>
              <w:t>400</w:t>
            </w:r>
            <w:r w:rsidRPr="00141EAE">
              <w:rPr>
                <w:b/>
                <w:color w:val="auto"/>
                <w:sz w:val="24"/>
                <w:szCs w:val="24"/>
              </w:rPr>
              <w:t xml:space="preserve"> 000,00 UAH з ПДВ</w:t>
            </w:r>
          </w:p>
          <w:p w:rsidR="0094383F" w:rsidRPr="00141EAE" w:rsidRDefault="0094383F" w:rsidP="007E7969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141EAE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6475BF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9E2BC9">
              <w:rPr>
                <w:b/>
                <w:color w:val="000000" w:themeColor="text1"/>
                <w:sz w:val="24"/>
                <w:szCs w:val="24"/>
              </w:rPr>
              <w:t>6</w:t>
            </w:r>
            <w:r w:rsidR="006475BF">
              <w:rPr>
                <w:b/>
                <w:color w:val="000000" w:themeColor="text1"/>
                <w:sz w:val="24"/>
                <w:szCs w:val="24"/>
              </w:rPr>
              <w:t xml:space="preserve"> грудня</w:t>
            </w:r>
            <w:r w:rsidRPr="00141EAE">
              <w:rPr>
                <w:b/>
                <w:color w:val="000000" w:themeColor="text1"/>
                <w:sz w:val="24"/>
                <w:szCs w:val="24"/>
              </w:rPr>
              <w:t xml:space="preserve"> 2021 року</w:t>
            </w:r>
          </w:p>
          <w:p w:rsidR="0094383F" w:rsidRPr="00141EAE" w:rsidRDefault="0094383F" w:rsidP="009E2BC9">
            <w:pPr>
              <w:spacing w:after="0" w:line="276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41EAE">
              <w:rPr>
                <w:color w:val="000000" w:themeColor="text1"/>
                <w:sz w:val="24"/>
                <w:szCs w:val="24"/>
              </w:rPr>
              <w:t xml:space="preserve">Детальна інформація за посиланням: </w:t>
            </w:r>
            <w:r w:rsidR="009E2BC9" w:rsidRPr="009E2BC9">
              <w:rPr>
                <w:color w:val="000000" w:themeColor="text1"/>
                <w:sz w:val="24"/>
                <w:szCs w:val="24"/>
              </w:rPr>
              <w:t>https://prozorro.gov.ua/tender/UA-2021-12-06-004393-b</w:t>
            </w:r>
          </w:p>
        </w:tc>
      </w:tr>
    </w:tbl>
    <w:p w:rsidR="009E2BC9" w:rsidRDefault="009E2BC9" w:rsidP="0094383F">
      <w:pPr>
        <w:spacing w:after="0"/>
        <w:ind w:right="-23"/>
        <w:jc w:val="center"/>
        <w:rPr>
          <w:b/>
          <w:color w:val="auto"/>
          <w:sz w:val="24"/>
          <w:szCs w:val="24"/>
        </w:rPr>
      </w:pPr>
    </w:p>
    <w:p w:rsidR="0094383F" w:rsidRPr="009E2BC9" w:rsidRDefault="0094383F" w:rsidP="0094383F">
      <w:pPr>
        <w:spacing w:after="0"/>
        <w:ind w:right="-23"/>
        <w:jc w:val="center"/>
        <w:rPr>
          <w:b/>
          <w:color w:val="auto"/>
          <w:sz w:val="22"/>
          <w:szCs w:val="22"/>
        </w:rPr>
      </w:pPr>
      <w:r w:rsidRPr="009E2BC9">
        <w:rPr>
          <w:b/>
          <w:color w:val="auto"/>
          <w:sz w:val="22"/>
          <w:szCs w:val="22"/>
        </w:rPr>
        <w:t>ІНФОРМАЦІЯ ПРО НЕОБХІДНІ ТЕХНІЧНІ, ЯКІСНІ ТА КІЛЬКІСНІ ХАРАКТЕРИСТИКИ ПРЕДМЕТА ЗАКУПІВЛІ</w:t>
      </w:r>
    </w:p>
    <w:tbl>
      <w:tblPr>
        <w:tblW w:w="10173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6443"/>
        <w:gridCol w:w="1604"/>
        <w:gridCol w:w="1503"/>
      </w:tblGrid>
      <w:tr w:rsidR="009E2BC9" w:rsidRPr="009E2BC9" w:rsidTr="00855078">
        <w:trPr>
          <w:trHeight w:val="1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BC9" w:rsidRPr="009E2BC9" w:rsidRDefault="009E2BC9" w:rsidP="00855078">
            <w:pPr>
              <w:pStyle w:val="20"/>
              <w:shd w:val="clear" w:color="auto" w:fill="auto"/>
              <w:spacing w:after="60" w:line="240" w:lineRule="auto"/>
              <w:ind w:left="220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№</w:t>
            </w:r>
          </w:p>
          <w:p w:rsidR="009E2BC9" w:rsidRPr="009E2BC9" w:rsidRDefault="009E2BC9" w:rsidP="00855078">
            <w:pPr>
              <w:pStyle w:val="20"/>
              <w:shd w:val="clear" w:color="auto" w:fill="auto"/>
              <w:spacing w:before="60" w:line="240" w:lineRule="auto"/>
              <w:ind w:left="180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п/п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9E2BC9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 xml:space="preserve">Найменування </w:t>
            </w:r>
          </w:p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9E2BC9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картриджу для заправки та відновлення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BC9" w:rsidRPr="009E2BC9" w:rsidRDefault="009E2BC9" w:rsidP="00855078">
            <w:pPr>
              <w:pStyle w:val="20"/>
              <w:shd w:val="clear" w:color="auto" w:fill="auto"/>
              <w:spacing w:before="60" w:line="240" w:lineRule="auto"/>
              <w:ind w:left="180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9E2BC9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Кількість заправок картриджів (шт.)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9E2BC9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 xml:space="preserve">Кількість </w:t>
            </w:r>
            <w:proofErr w:type="spellStart"/>
            <w:r w:rsidRPr="009E2BC9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відновлень</w:t>
            </w:r>
            <w:proofErr w:type="spellEnd"/>
            <w:r w:rsidRPr="009E2BC9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 xml:space="preserve"> картриджів</w:t>
            </w:r>
          </w:p>
          <w:p w:rsidR="009E2BC9" w:rsidRPr="009E2BC9" w:rsidRDefault="009E2BC9" w:rsidP="00855078">
            <w:pPr>
              <w:pStyle w:val="2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9E2BC9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(шт.)</w:t>
            </w:r>
          </w:p>
        </w:tc>
      </w:tr>
      <w:tr w:rsidR="009E2BC9" w:rsidRPr="009E2BC9" w:rsidTr="00855078">
        <w:trPr>
          <w:trHeight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HP LJ 1536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500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500</w:t>
            </w:r>
          </w:p>
        </w:tc>
      </w:tr>
      <w:tr w:rsidR="009E2BC9" w:rsidRPr="009E2BC9" w:rsidTr="00855078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HP LJ 400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80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200</w:t>
            </w:r>
          </w:p>
        </w:tc>
      </w:tr>
      <w:tr w:rsidR="009E2BC9" w:rsidRPr="009E2BC9" w:rsidTr="00855078">
        <w:trPr>
          <w:trHeight w:val="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</w:t>
            </w:r>
            <w:proofErr w:type="spellStart"/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Canon</w:t>
            </w:r>
            <w:proofErr w:type="spellEnd"/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 4570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50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50</w:t>
            </w:r>
          </w:p>
        </w:tc>
      </w:tr>
      <w:tr w:rsidR="009E2BC9" w:rsidRPr="009E2BC9" w:rsidTr="00855078">
        <w:trPr>
          <w:trHeight w:val="2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4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</w:t>
            </w:r>
            <w:proofErr w:type="spellStart"/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Canon</w:t>
            </w:r>
            <w:proofErr w:type="spellEnd"/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 6200d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30</w:t>
            </w:r>
          </w:p>
        </w:tc>
      </w:tr>
      <w:tr w:rsidR="009E2BC9" w:rsidRPr="009E2BC9" w:rsidTr="00855078">
        <w:trPr>
          <w:trHeight w:val="2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</w:t>
            </w:r>
            <w:proofErr w:type="spellStart"/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Canon</w:t>
            </w:r>
            <w:proofErr w:type="spellEnd"/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 6000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</w:tr>
      <w:tr w:rsidR="009E2BC9" w:rsidRPr="009E2BC9" w:rsidTr="00855078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6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</w:t>
            </w:r>
            <w:proofErr w:type="spellStart"/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Canon</w:t>
            </w:r>
            <w:proofErr w:type="spellEnd"/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 6300d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15</w:t>
            </w:r>
          </w:p>
        </w:tc>
      </w:tr>
      <w:tr w:rsidR="009E2BC9" w:rsidRPr="009E2BC9" w:rsidTr="00855078">
        <w:trPr>
          <w:trHeight w:val="2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7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Картридж до HP LJ 1522. 1505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</w:tr>
      <w:tr w:rsidR="009E2BC9" w:rsidRPr="009E2BC9" w:rsidTr="00855078">
        <w:trPr>
          <w:trHeight w:val="2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HP LJ 1320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15</w:t>
            </w:r>
          </w:p>
        </w:tc>
      </w:tr>
      <w:tr w:rsidR="009E2BC9" w:rsidRPr="009E2BC9" w:rsidTr="00855078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9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HP LJ 2015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</w:tr>
      <w:tr w:rsidR="009E2BC9" w:rsidRPr="009E2BC9" w:rsidTr="00855078">
        <w:trPr>
          <w:trHeight w:val="2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</w:t>
            </w:r>
            <w:proofErr w:type="spellStart"/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Samsung</w:t>
            </w:r>
            <w:proofErr w:type="spellEnd"/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 SCX-4824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</w:tr>
      <w:tr w:rsidR="009E2BC9" w:rsidRPr="009E2BC9" w:rsidTr="00855078">
        <w:trPr>
          <w:trHeight w:val="2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11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HP LJ 1022. 3055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20</w:t>
            </w:r>
          </w:p>
        </w:tc>
      </w:tr>
      <w:tr w:rsidR="009E2BC9" w:rsidRPr="009E2BC9" w:rsidTr="00855078">
        <w:trPr>
          <w:trHeight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HP LJ 1102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30</w:t>
            </w:r>
          </w:p>
        </w:tc>
      </w:tr>
      <w:tr w:rsidR="009E2BC9" w:rsidRPr="009E2BC9" w:rsidTr="00855078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13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HP LJ 225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40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50</w:t>
            </w:r>
          </w:p>
        </w:tc>
      </w:tr>
      <w:tr w:rsidR="009E2BC9" w:rsidRPr="009E2BC9" w:rsidTr="00855078">
        <w:trPr>
          <w:trHeight w:val="2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HP LJ M712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</w:tr>
      <w:tr w:rsidR="009E2BC9" w:rsidRPr="009E2BC9" w:rsidTr="00855078">
        <w:trPr>
          <w:trHeight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15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HP LJ 3015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</w:tr>
      <w:tr w:rsidR="009E2BC9" w:rsidRPr="009E2BC9" w:rsidTr="00855078">
        <w:trPr>
          <w:trHeight w:val="2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16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HP LJ 2055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</w:p>
        </w:tc>
      </w:tr>
      <w:tr w:rsidR="009E2BC9" w:rsidRPr="009E2BC9" w:rsidTr="00855078">
        <w:trPr>
          <w:trHeight w:val="2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17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HP LJ 3005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</w:p>
        </w:tc>
      </w:tr>
      <w:tr w:rsidR="009E2BC9" w:rsidRPr="009E2BC9" w:rsidTr="00855078">
        <w:trPr>
          <w:trHeight w:val="2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18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</w:t>
            </w:r>
            <w:proofErr w:type="spellStart"/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Xerox</w:t>
            </w:r>
            <w:proofErr w:type="spellEnd"/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 3220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</w:p>
        </w:tc>
      </w:tr>
      <w:tr w:rsidR="009E2BC9" w:rsidRPr="009E2BC9" w:rsidTr="00855078">
        <w:trPr>
          <w:trHeight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19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 xml:space="preserve">Картридж до HP LJ M426fdn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400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300</w:t>
            </w:r>
          </w:p>
        </w:tc>
      </w:tr>
      <w:tr w:rsidR="009E2BC9" w:rsidRPr="009E2BC9" w:rsidTr="00855078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20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Картридж до HP LJ M501dn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20</w:t>
            </w:r>
          </w:p>
        </w:tc>
      </w:tr>
      <w:tr w:rsidR="009E2BC9" w:rsidRPr="009E2BC9" w:rsidTr="00855078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21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Картридж до HP LJ M428fdn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300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i w:val="0"/>
                <w:sz w:val="22"/>
                <w:szCs w:val="22"/>
              </w:rPr>
              <w:t>160</w:t>
            </w:r>
          </w:p>
        </w:tc>
      </w:tr>
      <w:tr w:rsidR="009E2BC9" w:rsidRPr="009E2BC9" w:rsidTr="00855078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ind w:firstLine="284"/>
              <w:rPr>
                <w:rStyle w:val="2Tahom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Всього: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b/>
                <w:i w:val="0"/>
                <w:sz w:val="22"/>
                <w:szCs w:val="22"/>
              </w:rPr>
              <w:t>1576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BC9" w:rsidRPr="009E2BC9" w:rsidRDefault="009E2BC9" w:rsidP="00855078">
            <w:pPr>
              <w:pStyle w:val="20"/>
              <w:shd w:val="clear" w:color="auto" w:fill="auto"/>
              <w:spacing w:line="240" w:lineRule="auto"/>
              <w:jc w:val="center"/>
              <w:rPr>
                <w:rStyle w:val="2Tahom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E2BC9">
              <w:rPr>
                <w:rStyle w:val="2Tahoma"/>
                <w:rFonts w:ascii="Times New Roman" w:hAnsi="Times New Roman" w:cs="Times New Roman"/>
                <w:b/>
                <w:i w:val="0"/>
                <w:sz w:val="22"/>
                <w:szCs w:val="22"/>
              </w:rPr>
              <w:t>1436</w:t>
            </w:r>
          </w:p>
        </w:tc>
      </w:tr>
    </w:tbl>
    <w:p w:rsidR="009E2BC9" w:rsidRPr="009E2BC9" w:rsidRDefault="009E2BC9" w:rsidP="009E2BC9">
      <w:pPr>
        <w:suppressAutoHyphens/>
        <w:ind w:firstLine="567"/>
        <w:jc w:val="both"/>
        <w:rPr>
          <w:b/>
          <w:sz w:val="22"/>
          <w:szCs w:val="22"/>
        </w:rPr>
      </w:pPr>
    </w:p>
    <w:p w:rsidR="009E2BC9" w:rsidRPr="009E2BC9" w:rsidRDefault="009E2BC9" w:rsidP="009E2BC9">
      <w:pPr>
        <w:suppressAutoHyphens/>
        <w:ind w:firstLine="567"/>
        <w:jc w:val="both"/>
        <w:rPr>
          <w:rFonts w:eastAsia="Times New Roman"/>
          <w:b/>
          <w:sz w:val="22"/>
          <w:szCs w:val="22"/>
          <w:lang w:eastAsia="ru-RU"/>
        </w:rPr>
      </w:pPr>
      <w:r w:rsidRPr="009E2BC9">
        <w:rPr>
          <w:b/>
          <w:sz w:val="22"/>
          <w:szCs w:val="22"/>
        </w:rPr>
        <w:t xml:space="preserve">Учасник у складі пропозиції до початку аукціону надає документи на підтвердження </w:t>
      </w:r>
      <w:r w:rsidRPr="009E2BC9">
        <w:rPr>
          <w:rFonts w:eastAsia="Times New Roman"/>
          <w:b/>
          <w:sz w:val="22"/>
          <w:szCs w:val="22"/>
          <w:lang w:eastAsia="ru-RU"/>
        </w:rPr>
        <w:t>відповідності його пропозиції технічним вимогам замовника, а саме:</w:t>
      </w:r>
    </w:p>
    <w:p w:rsidR="009E2BC9" w:rsidRPr="009E2BC9" w:rsidRDefault="009E2BC9" w:rsidP="009E2BC9">
      <w:pPr>
        <w:spacing w:after="0" w:line="240" w:lineRule="auto"/>
        <w:ind w:firstLine="567"/>
        <w:jc w:val="both"/>
        <w:rPr>
          <w:rFonts w:eastAsia="Times New Roman"/>
          <w:sz w:val="22"/>
          <w:szCs w:val="22"/>
        </w:rPr>
      </w:pPr>
      <w:r w:rsidRPr="009E2BC9">
        <w:rPr>
          <w:rFonts w:eastAsia="Times New Roman"/>
          <w:sz w:val="22"/>
          <w:szCs w:val="22"/>
        </w:rPr>
        <w:t xml:space="preserve">1. Оригінал паспорта, виданого Учасником, що використовується для надання послуг з заправки/відновлення </w:t>
      </w:r>
      <w:proofErr w:type="spellStart"/>
      <w:r w:rsidRPr="009E2BC9">
        <w:rPr>
          <w:rFonts w:eastAsia="Times New Roman"/>
          <w:sz w:val="22"/>
          <w:szCs w:val="22"/>
        </w:rPr>
        <w:t>тонерних</w:t>
      </w:r>
      <w:proofErr w:type="spellEnd"/>
      <w:r w:rsidRPr="009E2BC9">
        <w:rPr>
          <w:rFonts w:eastAsia="Times New Roman"/>
          <w:sz w:val="22"/>
          <w:szCs w:val="22"/>
        </w:rPr>
        <w:t xml:space="preserve"> картриджів, із зазначенням кількості грам </w:t>
      </w:r>
      <w:proofErr w:type="spellStart"/>
      <w:r w:rsidRPr="009E2BC9">
        <w:rPr>
          <w:rFonts w:eastAsia="Times New Roman"/>
          <w:sz w:val="22"/>
          <w:szCs w:val="22"/>
        </w:rPr>
        <w:t>тонеру</w:t>
      </w:r>
      <w:proofErr w:type="spellEnd"/>
      <w:r w:rsidRPr="009E2BC9">
        <w:rPr>
          <w:rFonts w:eastAsia="Times New Roman"/>
          <w:sz w:val="22"/>
          <w:szCs w:val="22"/>
        </w:rPr>
        <w:t xml:space="preserve">, що використовується, ресурсу друку, із зазначенням сумісності </w:t>
      </w:r>
      <w:proofErr w:type="spellStart"/>
      <w:r w:rsidRPr="009E2BC9">
        <w:rPr>
          <w:rFonts w:eastAsia="Times New Roman"/>
          <w:sz w:val="22"/>
          <w:szCs w:val="22"/>
        </w:rPr>
        <w:t>тонеру</w:t>
      </w:r>
      <w:proofErr w:type="spellEnd"/>
      <w:r w:rsidRPr="009E2BC9">
        <w:rPr>
          <w:rFonts w:eastAsia="Times New Roman"/>
          <w:sz w:val="22"/>
          <w:szCs w:val="22"/>
        </w:rPr>
        <w:t xml:space="preserve"> з обладнанням, по кожній позиції заправки/відновлення </w:t>
      </w:r>
      <w:proofErr w:type="spellStart"/>
      <w:r w:rsidRPr="009E2BC9">
        <w:rPr>
          <w:rFonts w:eastAsia="Times New Roman"/>
          <w:sz w:val="22"/>
          <w:szCs w:val="22"/>
        </w:rPr>
        <w:t>тонерних</w:t>
      </w:r>
      <w:proofErr w:type="spellEnd"/>
      <w:r w:rsidRPr="009E2BC9">
        <w:rPr>
          <w:rFonts w:eastAsia="Times New Roman"/>
          <w:sz w:val="22"/>
          <w:szCs w:val="22"/>
        </w:rPr>
        <w:t xml:space="preserve"> картриджів, які є в технічному завданні.</w:t>
      </w:r>
    </w:p>
    <w:p w:rsidR="009E2BC9" w:rsidRPr="009E2BC9" w:rsidRDefault="009E2BC9" w:rsidP="009E2BC9">
      <w:pPr>
        <w:spacing w:after="0" w:line="240" w:lineRule="auto"/>
        <w:ind w:firstLine="567"/>
        <w:jc w:val="both"/>
        <w:rPr>
          <w:rFonts w:eastAsia="Times New Roman"/>
          <w:sz w:val="22"/>
          <w:szCs w:val="22"/>
        </w:rPr>
      </w:pPr>
      <w:r w:rsidRPr="009E2BC9">
        <w:rPr>
          <w:rFonts w:eastAsia="Times New Roman"/>
          <w:sz w:val="22"/>
          <w:szCs w:val="22"/>
        </w:rPr>
        <w:t>2. Копії документів, що підтверджують наявність в учасника станції очистки картриджів (технічний паспорт/</w:t>
      </w:r>
      <w:proofErr w:type="spellStart"/>
      <w:r w:rsidRPr="009E2BC9">
        <w:rPr>
          <w:rFonts w:eastAsia="Times New Roman"/>
          <w:sz w:val="22"/>
          <w:szCs w:val="22"/>
        </w:rPr>
        <w:t>оборотно</w:t>
      </w:r>
      <w:proofErr w:type="spellEnd"/>
      <w:r w:rsidRPr="009E2BC9">
        <w:rPr>
          <w:rFonts w:eastAsia="Times New Roman"/>
          <w:sz w:val="22"/>
          <w:szCs w:val="22"/>
        </w:rPr>
        <w:t xml:space="preserve">-сальдова відомість або витяг з неї/договір оренди тощо). Виробництво </w:t>
      </w:r>
      <w:r w:rsidRPr="009E2BC9">
        <w:rPr>
          <w:rFonts w:eastAsia="Times New Roman"/>
          <w:sz w:val="22"/>
          <w:szCs w:val="22"/>
        </w:rPr>
        <w:lastRenderedPageBreak/>
        <w:t xml:space="preserve">станції очистки картриджів або власність торгової марки повинно підтверджуватись копією атестата виробництва, або копією документу на власність торгової марки/знаку. </w:t>
      </w:r>
    </w:p>
    <w:p w:rsidR="009E2BC9" w:rsidRPr="009E2BC9" w:rsidRDefault="009E2BC9" w:rsidP="009E2BC9">
      <w:pPr>
        <w:spacing w:after="0" w:line="240" w:lineRule="auto"/>
        <w:ind w:firstLine="567"/>
        <w:jc w:val="both"/>
        <w:rPr>
          <w:rFonts w:eastAsia="Times New Roman"/>
          <w:sz w:val="22"/>
          <w:szCs w:val="22"/>
        </w:rPr>
      </w:pPr>
      <w:r w:rsidRPr="009E2BC9">
        <w:rPr>
          <w:rFonts w:eastAsia="Times New Roman"/>
          <w:sz w:val="22"/>
          <w:szCs w:val="22"/>
        </w:rPr>
        <w:t xml:space="preserve">Надати копію висновку державної санітарно-епідеміологічної експертизи на станцію очистки картриджів, яка використовується для очистки лазерних картриджів від залишків </w:t>
      </w:r>
      <w:proofErr w:type="spellStart"/>
      <w:r w:rsidRPr="009E2BC9">
        <w:rPr>
          <w:rFonts w:eastAsia="Times New Roman"/>
          <w:sz w:val="22"/>
          <w:szCs w:val="22"/>
        </w:rPr>
        <w:t>тонеру</w:t>
      </w:r>
      <w:proofErr w:type="spellEnd"/>
      <w:r w:rsidRPr="009E2BC9">
        <w:rPr>
          <w:rFonts w:eastAsia="Times New Roman"/>
          <w:sz w:val="22"/>
          <w:szCs w:val="22"/>
        </w:rPr>
        <w:t xml:space="preserve"> під час робіт пов’язаних із заправкою/відновленням </w:t>
      </w:r>
      <w:proofErr w:type="spellStart"/>
      <w:r w:rsidRPr="009E2BC9">
        <w:rPr>
          <w:rFonts w:eastAsia="Times New Roman"/>
          <w:sz w:val="22"/>
          <w:szCs w:val="22"/>
        </w:rPr>
        <w:t>тонерних</w:t>
      </w:r>
      <w:proofErr w:type="spellEnd"/>
      <w:r w:rsidRPr="009E2BC9">
        <w:rPr>
          <w:rFonts w:eastAsia="Times New Roman"/>
          <w:sz w:val="22"/>
          <w:szCs w:val="22"/>
        </w:rPr>
        <w:t xml:space="preserve"> картриджів, дійсного на момент розкриття пропозицій.</w:t>
      </w:r>
    </w:p>
    <w:p w:rsidR="009E2BC9" w:rsidRPr="009E2BC9" w:rsidRDefault="009E2BC9" w:rsidP="009E2BC9">
      <w:pPr>
        <w:spacing w:after="0" w:line="240" w:lineRule="auto"/>
        <w:ind w:firstLine="567"/>
        <w:jc w:val="both"/>
        <w:rPr>
          <w:rFonts w:eastAsia="Times New Roman"/>
          <w:sz w:val="22"/>
          <w:szCs w:val="22"/>
        </w:rPr>
      </w:pPr>
      <w:r w:rsidRPr="009E2BC9">
        <w:rPr>
          <w:rFonts w:eastAsia="Times New Roman"/>
          <w:sz w:val="22"/>
          <w:szCs w:val="22"/>
        </w:rPr>
        <w:t xml:space="preserve">3. Завірені учасником копії висновків державної санітарно-епідеміологічної експертизи на підтвердження того, що </w:t>
      </w:r>
      <w:proofErr w:type="spellStart"/>
      <w:r w:rsidRPr="009E2BC9">
        <w:rPr>
          <w:rFonts w:eastAsia="Times New Roman"/>
          <w:sz w:val="22"/>
          <w:szCs w:val="22"/>
        </w:rPr>
        <w:t>тонер</w:t>
      </w:r>
      <w:proofErr w:type="spellEnd"/>
      <w:r w:rsidRPr="009E2BC9">
        <w:rPr>
          <w:rFonts w:eastAsia="Times New Roman"/>
          <w:sz w:val="22"/>
          <w:szCs w:val="22"/>
        </w:rPr>
        <w:t xml:space="preserve"> та основні комплектуючі (</w:t>
      </w:r>
      <w:proofErr w:type="spellStart"/>
      <w:r w:rsidRPr="009E2BC9">
        <w:rPr>
          <w:rFonts w:eastAsia="Times New Roman"/>
          <w:sz w:val="22"/>
          <w:szCs w:val="22"/>
        </w:rPr>
        <w:t>фотобарабани</w:t>
      </w:r>
      <w:proofErr w:type="spellEnd"/>
      <w:r w:rsidRPr="009E2BC9">
        <w:rPr>
          <w:rFonts w:eastAsia="Times New Roman"/>
          <w:sz w:val="22"/>
          <w:szCs w:val="22"/>
        </w:rPr>
        <w:t>, очищувальні леза/</w:t>
      </w:r>
      <w:proofErr w:type="spellStart"/>
      <w:r w:rsidRPr="009E2BC9">
        <w:rPr>
          <w:rFonts w:eastAsia="Times New Roman"/>
          <w:sz w:val="22"/>
          <w:szCs w:val="22"/>
        </w:rPr>
        <w:t>чистячі</w:t>
      </w:r>
      <w:proofErr w:type="spellEnd"/>
      <w:r w:rsidRPr="009E2BC9">
        <w:rPr>
          <w:rFonts w:eastAsia="Times New Roman"/>
          <w:sz w:val="22"/>
          <w:szCs w:val="22"/>
        </w:rPr>
        <w:t xml:space="preserve"> леза, дозуючі леза, магнітні вали, вали заряду/вали первинного заряду), які використовуються при наданні послуг з заправки/відновлення </w:t>
      </w:r>
      <w:proofErr w:type="spellStart"/>
      <w:r w:rsidRPr="009E2BC9">
        <w:rPr>
          <w:rFonts w:eastAsia="Times New Roman"/>
          <w:sz w:val="22"/>
          <w:szCs w:val="22"/>
        </w:rPr>
        <w:t>тонерних</w:t>
      </w:r>
      <w:proofErr w:type="spellEnd"/>
      <w:r w:rsidRPr="009E2BC9">
        <w:rPr>
          <w:rFonts w:eastAsia="Times New Roman"/>
          <w:sz w:val="22"/>
          <w:szCs w:val="22"/>
        </w:rPr>
        <w:t xml:space="preserve"> картриджів є безпечними для застосування за призначенням, та оточуючого персоналу та є безпечними для оточуючого </w:t>
      </w:r>
      <w:proofErr w:type="spellStart"/>
      <w:r w:rsidRPr="009E2BC9">
        <w:rPr>
          <w:rFonts w:eastAsia="Times New Roman"/>
          <w:sz w:val="22"/>
          <w:szCs w:val="22"/>
        </w:rPr>
        <w:t>середовица</w:t>
      </w:r>
      <w:proofErr w:type="spellEnd"/>
      <w:r w:rsidRPr="009E2BC9">
        <w:rPr>
          <w:rFonts w:eastAsia="Times New Roman"/>
          <w:sz w:val="22"/>
          <w:szCs w:val="22"/>
        </w:rPr>
        <w:t xml:space="preserve"> дійсні на момент розкриття пропозицій.</w:t>
      </w:r>
    </w:p>
    <w:p w:rsidR="009E2BC9" w:rsidRPr="009E2BC9" w:rsidRDefault="009E2BC9" w:rsidP="009E2BC9">
      <w:pPr>
        <w:spacing w:after="0" w:line="240" w:lineRule="auto"/>
        <w:ind w:firstLine="567"/>
        <w:jc w:val="both"/>
        <w:rPr>
          <w:rFonts w:eastAsia="Times New Roman"/>
          <w:sz w:val="22"/>
          <w:szCs w:val="22"/>
        </w:rPr>
      </w:pPr>
      <w:r w:rsidRPr="009E2BC9">
        <w:rPr>
          <w:rFonts w:eastAsia="Times New Roman"/>
          <w:sz w:val="22"/>
          <w:szCs w:val="22"/>
        </w:rPr>
        <w:t xml:space="preserve">4. Завірені учасником копії затверджених відповідно законодавства, технічних умов на </w:t>
      </w:r>
      <w:proofErr w:type="spellStart"/>
      <w:r w:rsidRPr="009E2BC9">
        <w:rPr>
          <w:rFonts w:eastAsia="Times New Roman"/>
          <w:sz w:val="22"/>
          <w:szCs w:val="22"/>
        </w:rPr>
        <w:t>тонер</w:t>
      </w:r>
      <w:proofErr w:type="spellEnd"/>
      <w:r w:rsidRPr="009E2BC9">
        <w:rPr>
          <w:rFonts w:eastAsia="Times New Roman"/>
          <w:sz w:val="22"/>
          <w:szCs w:val="22"/>
        </w:rPr>
        <w:t xml:space="preserve"> та чорнила, видані виробником запропонованого </w:t>
      </w:r>
      <w:proofErr w:type="spellStart"/>
      <w:r w:rsidRPr="009E2BC9">
        <w:rPr>
          <w:rFonts w:eastAsia="Times New Roman"/>
          <w:sz w:val="22"/>
          <w:szCs w:val="22"/>
        </w:rPr>
        <w:t>тонеру</w:t>
      </w:r>
      <w:proofErr w:type="spellEnd"/>
      <w:r w:rsidRPr="009E2BC9">
        <w:rPr>
          <w:rFonts w:eastAsia="Times New Roman"/>
          <w:sz w:val="22"/>
          <w:szCs w:val="22"/>
        </w:rPr>
        <w:t xml:space="preserve">/чорнил, що буде використовуватись для заправки/відновлення картриджів, які є в технічному завданні, із зазначенням реквізитів реєстрації, чинних на момент подання пропозиції. Виробництво </w:t>
      </w:r>
      <w:proofErr w:type="spellStart"/>
      <w:r w:rsidRPr="009E2BC9">
        <w:rPr>
          <w:rFonts w:eastAsia="Times New Roman"/>
          <w:sz w:val="22"/>
          <w:szCs w:val="22"/>
        </w:rPr>
        <w:t>тонеру</w:t>
      </w:r>
      <w:proofErr w:type="spellEnd"/>
      <w:r w:rsidRPr="009E2BC9">
        <w:rPr>
          <w:rFonts w:eastAsia="Times New Roman"/>
          <w:sz w:val="22"/>
          <w:szCs w:val="22"/>
        </w:rPr>
        <w:t xml:space="preserve"> та чорнил повинно підтверджуватись копією атестата виробництва або копією сертифікату відповідності вимогам технічних умов (із зазначенням реквізитів затвердженої відповідно законодавства технічної документації виробника);</w:t>
      </w:r>
    </w:p>
    <w:p w:rsidR="009E2BC9" w:rsidRPr="009E2BC9" w:rsidRDefault="009E2BC9" w:rsidP="009E2BC9">
      <w:pPr>
        <w:spacing w:after="0" w:line="240" w:lineRule="auto"/>
        <w:ind w:firstLine="567"/>
        <w:jc w:val="both"/>
        <w:rPr>
          <w:rFonts w:eastAsia="Times New Roman"/>
          <w:sz w:val="22"/>
          <w:szCs w:val="22"/>
        </w:rPr>
      </w:pPr>
      <w:r w:rsidRPr="009E2BC9">
        <w:rPr>
          <w:rFonts w:eastAsia="Times New Roman"/>
          <w:sz w:val="22"/>
          <w:szCs w:val="22"/>
        </w:rPr>
        <w:t xml:space="preserve">5. Завірені учасником копії сертифікатів міжнародного зразка, про наявність у учасника процедури закупівлі системи контроля якості ISO 9001:2015 та системи екологічного менеджменту ISO 14001:2015, виданих органом з сертифікації систем менеджменту,  стосовно сервісного (технічного) обслуговування периферійного (друкуючого, копіювального) обладнання, дійсних на момент подання пропозицій; </w:t>
      </w:r>
    </w:p>
    <w:p w:rsidR="009E2BC9" w:rsidRPr="009E2BC9" w:rsidRDefault="009E2BC9" w:rsidP="009E2BC9">
      <w:pPr>
        <w:spacing w:after="0" w:line="240" w:lineRule="auto"/>
        <w:ind w:firstLine="567"/>
        <w:jc w:val="both"/>
        <w:rPr>
          <w:rFonts w:eastAsia="Times New Roman"/>
          <w:sz w:val="22"/>
          <w:szCs w:val="22"/>
        </w:rPr>
      </w:pPr>
      <w:r w:rsidRPr="009E2BC9">
        <w:rPr>
          <w:rFonts w:eastAsia="Times New Roman"/>
          <w:sz w:val="22"/>
          <w:szCs w:val="22"/>
        </w:rPr>
        <w:t xml:space="preserve">6. В разі якщо Учасник не є виробником </w:t>
      </w:r>
      <w:proofErr w:type="spellStart"/>
      <w:r w:rsidRPr="009E2BC9">
        <w:rPr>
          <w:rFonts w:eastAsia="Times New Roman"/>
          <w:sz w:val="22"/>
          <w:szCs w:val="22"/>
        </w:rPr>
        <w:t>тонерів</w:t>
      </w:r>
      <w:proofErr w:type="spellEnd"/>
      <w:r w:rsidRPr="009E2BC9">
        <w:rPr>
          <w:rFonts w:eastAsia="Times New Roman"/>
          <w:sz w:val="22"/>
          <w:szCs w:val="22"/>
        </w:rPr>
        <w:t xml:space="preserve"> та чорнил, необхідно додатково надати у складі своєї пропозиції оригінал листа авторизації Учасника від виробника </w:t>
      </w:r>
      <w:proofErr w:type="spellStart"/>
      <w:r w:rsidRPr="009E2BC9">
        <w:rPr>
          <w:rFonts w:eastAsia="Times New Roman"/>
          <w:sz w:val="22"/>
          <w:szCs w:val="22"/>
        </w:rPr>
        <w:t>тонерів</w:t>
      </w:r>
      <w:proofErr w:type="spellEnd"/>
      <w:r w:rsidRPr="009E2BC9">
        <w:rPr>
          <w:rFonts w:eastAsia="Times New Roman"/>
          <w:sz w:val="22"/>
          <w:szCs w:val="22"/>
        </w:rPr>
        <w:t xml:space="preserve"> та чорнил, в якому буде зазначено, що учасник є авторизованим партнером або офіційним представником. Даний лист повинен бути адресований Замовнику торгів та містити ідентифікатор закупівлі та назву предмету закупівлі та повинен бути дійсним до кінця 2022 року.</w:t>
      </w:r>
    </w:p>
    <w:p w:rsidR="009E2BC9" w:rsidRPr="009E2BC9" w:rsidRDefault="009E2BC9" w:rsidP="009E2BC9">
      <w:pPr>
        <w:suppressAutoHyphens/>
        <w:spacing w:before="240" w:after="0" w:line="235" w:lineRule="auto"/>
        <w:ind w:firstLine="567"/>
        <w:jc w:val="both"/>
        <w:rPr>
          <w:b/>
          <w:sz w:val="22"/>
          <w:szCs w:val="22"/>
        </w:rPr>
      </w:pPr>
      <w:r w:rsidRPr="009E2BC9">
        <w:rPr>
          <w:sz w:val="22"/>
          <w:szCs w:val="22"/>
          <w:lang w:eastAsia="ar-SA"/>
        </w:rPr>
        <w:tab/>
      </w:r>
      <w:r w:rsidRPr="009E2BC9">
        <w:rPr>
          <w:b/>
          <w:sz w:val="22"/>
          <w:szCs w:val="22"/>
        </w:rPr>
        <w:t>Умови надання послуг:</w:t>
      </w:r>
    </w:p>
    <w:p w:rsidR="009E2BC9" w:rsidRPr="009E2BC9" w:rsidRDefault="009E2BC9" w:rsidP="009E2BC9">
      <w:pPr>
        <w:pStyle w:val="a5"/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9E2BC9">
        <w:rPr>
          <w:rFonts w:ascii="Times New Roman" w:hAnsi="Times New Roman" w:cs="Times New Roman"/>
          <w:sz w:val="22"/>
          <w:szCs w:val="22"/>
          <w:lang w:val="uk-UA"/>
        </w:rPr>
        <w:t xml:space="preserve">1. Заправка (відновлення) картриджів  здійснюється </w:t>
      </w:r>
      <w:proofErr w:type="spellStart"/>
      <w:r w:rsidRPr="009E2BC9">
        <w:rPr>
          <w:rFonts w:ascii="Times New Roman" w:hAnsi="Times New Roman" w:cs="Times New Roman"/>
          <w:sz w:val="22"/>
          <w:szCs w:val="22"/>
          <w:lang w:val="uk-UA"/>
        </w:rPr>
        <w:t>проягом</w:t>
      </w:r>
      <w:proofErr w:type="spellEnd"/>
      <w:r w:rsidRPr="009E2BC9">
        <w:rPr>
          <w:rFonts w:ascii="Times New Roman" w:hAnsi="Times New Roman" w:cs="Times New Roman"/>
          <w:sz w:val="22"/>
          <w:szCs w:val="22"/>
          <w:lang w:val="uk-UA"/>
        </w:rPr>
        <w:t xml:space="preserve"> 10-ти (десяти) робочих днів з моменту отримання заявки від Замовника на проведення робіт з заправки (відновлення) картриджів</w:t>
      </w:r>
      <w:r w:rsidRPr="009E2BC9">
        <w:rPr>
          <w:rFonts w:ascii="Times New Roman" w:hAnsi="Times New Roman" w:cs="Times New Roman"/>
          <w:color w:val="000000"/>
          <w:sz w:val="22"/>
          <w:szCs w:val="22"/>
          <w:lang w:val="uk-UA" w:eastAsia="ru-RU"/>
        </w:rPr>
        <w:t xml:space="preserve"> або у інший строк окремо погоджений Сторонами</w:t>
      </w:r>
      <w:r w:rsidRPr="009E2BC9">
        <w:rPr>
          <w:rFonts w:ascii="Times New Roman" w:hAnsi="Times New Roman" w:cs="Times New Roman"/>
          <w:sz w:val="22"/>
          <w:szCs w:val="22"/>
          <w:lang w:val="uk-UA"/>
        </w:rPr>
        <w:t>. Роботи виконуються на території Виконавця. Транспортування картриджів здійснюється за рахунок Виконавця послуги.</w:t>
      </w:r>
    </w:p>
    <w:p w:rsidR="009E2BC9" w:rsidRPr="009E2BC9" w:rsidRDefault="009E2BC9" w:rsidP="009E2BC9">
      <w:pPr>
        <w:pStyle w:val="a5"/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9E2BC9">
        <w:rPr>
          <w:rFonts w:ascii="Times New Roman" w:hAnsi="Times New Roman" w:cs="Times New Roman"/>
          <w:sz w:val="22"/>
          <w:szCs w:val="22"/>
          <w:lang w:val="uk-UA"/>
        </w:rPr>
        <w:t>2. Виконавець повертає заправлені (відновлені) картриджі із друкованими тестовими сторінками, що підтверджують якість друку.</w:t>
      </w:r>
    </w:p>
    <w:p w:rsidR="009E2BC9" w:rsidRPr="009E2BC9" w:rsidRDefault="009E2BC9" w:rsidP="009E2BC9">
      <w:pPr>
        <w:pStyle w:val="a5"/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9E2BC9">
        <w:rPr>
          <w:rFonts w:ascii="Times New Roman" w:hAnsi="Times New Roman" w:cs="Times New Roman"/>
          <w:sz w:val="22"/>
          <w:szCs w:val="22"/>
          <w:lang w:val="uk-UA"/>
        </w:rPr>
        <w:t>3. За необхідності, заправка (відновлення) картриджів здійснюється за місцем знаходження Замовника.</w:t>
      </w:r>
    </w:p>
    <w:p w:rsidR="009E2BC9" w:rsidRPr="009E2BC9" w:rsidRDefault="009E2BC9" w:rsidP="009E2BC9">
      <w:pPr>
        <w:pStyle w:val="a5"/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9E2BC9">
        <w:rPr>
          <w:rFonts w:ascii="Times New Roman" w:hAnsi="Times New Roman" w:cs="Times New Roman"/>
          <w:sz w:val="22"/>
          <w:szCs w:val="22"/>
          <w:lang w:val="uk-UA"/>
        </w:rPr>
        <w:t xml:space="preserve">4. Послуга надається багаторазово. </w:t>
      </w:r>
    </w:p>
    <w:p w:rsidR="009E2BC9" w:rsidRPr="009E2BC9" w:rsidRDefault="009E2BC9" w:rsidP="009E2BC9">
      <w:pPr>
        <w:pStyle w:val="a5"/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9E2BC9">
        <w:rPr>
          <w:rFonts w:ascii="Times New Roman" w:hAnsi="Times New Roman" w:cs="Times New Roman"/>
          <w:sz w:val="22"/>
          <w:szCs w:val="22"/>
          <w:lang w:val="uk-UA"/>
        </w:rPr>
        <w:t>5. У разі відсутності у Замовника змінного картриджу до будь - якого апарату, Виконавець повинен надати свій картридж на час виконання робіт, щоб забезпечити безперебійність робочого процесу. Ця послуга має надаватись на безоплатній основі.</w:t>
      </w:r>
    </w:p>
    <w:p w:rsidR="009E2BC9" w:rsidRPr="009E2BC9" w:rsidRDefault="009E2BC9" w:rsidP="009E2BC9">
      <w:pPr>
        <w:pStyle w:val="a5"/>
        <w:spacing w:before="240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9E2BC9">
        <w:rPr>
          <w:rFonts w:ascii="Times New Roman" w:hAnsi="Times New Roman" w:cs="Times New Roman"/>
          <w:b/>
          <w:sz w:val="22"/>
          <w:szCs w:val="22"/>
          <w:lang w:val="uk-UA"/>
        </w:rPr>
        <w:t>Вимога до якості друку:</w:t>
      </w:r>
    </w:p>
    <w:p w:rsidR="009E2BC9" w:rsidRPr="009E2BC9" w:rsidRDefault="009E2BC9" w:rsidP="009E2BC9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9E2BC9">
        <w:rPr>
          <w:rFonts w:ascii="Times New Roman" w:hAnsi="Times New Roman" w:cs="Times New Roman"/>
          <w:sz w:val="22"/>
          <w:szCs w:val="22"/>
          <w:lang w:val="uk-UA"/>
        </w:rPr>
        <w:t>При виконанні робіт із заправки та відновлення картриджів мають використовуватись виключно якісні матеріали.</w:t>
      </w:r>
    </w:p>
    <w:p w:rsidR="009E2BC9" w:rsidRPr="009E2BC9" w:rsidRDefault="009E2BC9" w:rsidP="009E2BC9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9E2BC9">
        <w:rPr>
          <w:rFonts w:ascii="Times New Roman" w:hAnsi="Times New Roman" w:cs="Times New Roman"/>
          <w:sz w:val="22"/>
          <w:szCs w:val="22"/>
          <w:lang w:val="uk-UA"/>
        </w:rPr>
        <w:t xml:space="preserve">Ресурс віддрукованих сторінок і кількість відбитку повинні відповідати специфікаціям виробника оригінальних картриджів зі стандартним об'ємом </w:t>
      </w:r>
      <w:proofErr w:type="spellStart"/>
      <w:r w:rsidRPr="009E2BC9">
        <w:rPr>
          <w:rFonts w:ascii="Times New Roman" w:hAnsi="Times New Roman" w:cs="Times New Roman"/>
          <w:sz w:val="22"/>
          <w:szCs w:val="22"/>
          <w:lang w:val="uk-UA"/>
        </w:rPr>
        <w:t>тонера</w:t>
      </w:r>
      <w:proofErr w:type="spellEnd"/>
      <w:r w:rsidRPr="009E2BC9">
        <w:rPr>
          <w:rFonts w:ascii="Times New Roman" w:hAnsi="Times New Roman" w:cs="Times New Roman"/>
          <w:sz w:val="22"/>
          <w:szCs w:val="22"/>
          <w:lang w:val="uk-UA"/>
        </w:rPr>
        <w:t xml:space="preserve">, друк - контрастний, з гарною передачею півтонів, без смуг, крапок і рисочок. Не допускається ефект </w:t>
      </w:r>
      <w:proofErr w:type="spellStart"/>
      <w:r w:rsidRPr="009E2BC9">
        <w:rPr>
          <w:rFonts w:ascii="Times New Roman" w:hAnsi="Times New Roman" w:cs="Times New Roman"/>
          <w:sz w:val="22"/>
          <w:szCs w:val="22"/>
          <w:lang w:val="uk-UA"/>
        </w:rPr>
        <w:t>бруднго</w:t>
      </w:r>
      <w:proofErr w:type="spellEnd"/>
      <w:r w:rsidRPr="009E2BC9">
        <w:rPr>
          <w:rFonts w:ascii="Times New Roman" w:hAnsi="Times New Roman" w:cs="Times New Roman"/>
          <w:sz w:val="22"/>
          <w:szCs w:val="22"/>
          <w:lang w:val="uk-UA"/>
        </w:rPr>
        <w:t xml:space="preserve">/сірого аркуша (фону) під час друку на білому папері. </w:t>
      </w:r>
    </w:p>
    <w:p w:rsidR="009E2BC9" w:rsidRPr="009E2BC9" w:rsidRDefault="009E2BC9" w:rsidP="009E2BC9">
      <w:pPr>
        <w:pStyle w:val="a5"/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9E2BC9">
        <w:rPr>
          <w:rFonts w:ascii="Times New Roman" w:hAnsi="Times New Roman" w:cs="Times New Roman"/>
          <w:sz w:val="22"/>
          <w:szCs w:val="22"/>
          <w:lang w:val="uk-UA"/>
        </w:rPr>
        <w:t>3.  Картриджі перевіряються представниками Замовника і Виконавця до і після виконаних робіт.</w:t>
      </w:r>
    </w:p>
    <w:p w:rsidR="009E2BC9" w:rsidRPr="009E2BC9" w:rsidRDefault="009E2BC9" w:rsidP="009E2BC9">
      <w:pPr>
        <w:pStyle w:val="a5"/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9E2BC9">
        <w:rPr>
          <w:rFonts w:ascii="Times New Roman" w:hAnsi="Times New Roman" w:cs="Times New Roman"/>
          <w:sz w:val="22"/>
          <w:szCs w:val="22"/>
          <w:lang w:val="uk-UA"/>
        </w:rPr>
        <w:t xml:space="preserve">4. Зовнішній вигляд заправленого картриджа повинен бути без дефектів, пошкоджень і слідів висипання </w:t>
      </w:r>
      <w:proofErr w:type="spellStart"/>
      <w:r w:rsidRPr="009E2BC9">
        <w:rPr>
          <w:rFonts w:ascii="Times New Roman" w:hAnsi="Times New Roman" w:cs="Times New Roman"/>
          <w:sz w:val="22"/>
          <w:szCs w:val="22"/>
          <w:lang w:val="uk-UA"/>
        </w:rPr>
        <w:t>тонеру</w:t>
      </w:r>
      <w:proofErr w:type="spellEnd"/>
      <w:r w:rsidRPr="009E2BC9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</w:p>
    <w:p w:rsidR="009E2BC9" w:rsidRPr="009E2BC9" w:rsidRDefault="009E2BC9" w:rsidP="009E2BC9">
      <w:pPr>
        <w:pStyle w:val="a5"/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9E2BC9">
        <w:rPr>
          <w:rFonts w:ascii="Times New Roman" w:hAnsi="Times New Roman" w:cs="Times New Roman"/>
          <w:sz w:val="22"/>
          <w:szCs w:val="22"/>
          <w:lang w:val="uk-UA"/>
        </w:rPr>
        <w:lastRenderedPageBreak/>
        <w:t xml:space="preserve">5. Після здійснення заправки або відновлювання повинна проводитись технічна експертиза картриджа і тестування на друкуючому пристрої. Картридж повинен бути упакований у герметичний світлонепроникний пакет із тестовою сторінкою, Послуги по заправці, відновленню картриджів проводяться виключно на спеціалізованих місцях Виконавця. </w:t>
      </w:r>
    </w:p>
    <w:p w:rsidR="009E2BC9" w:rsidRPr="009E2BC9" w:rsidRDefault="009E2BC9" w:rsidP="009E2BC9">
      <w:pPr>
        <w:spacing w:after="0" w:line="240" w:lineRule="auto"/>
        <w:ind w:firstLine="567"/>
        <w:jc w:val="both"/>
        <w:rPr>
          <w:rFonts w:eastAsia="Times New Roman"/>
          <w:sz w:val="22"/>
          <w:szCs w:val="22"/>
          <w:lang w:eastAsia="ru-RU"/>
        </w:rPr>
      </w:pPr>
      <w:r w:rsidRPr="009E2BC9">
        <w:rPr>
          <w:rFonts w:eastAsia="Times New Roman"/>
          <w:sz w:val="22"/>
          <w:szCs w:val="22"/>
          <w:lang w:eastAsia="ru-RU"/>
        </w:rPr>
        <w:t xml:space="preserve">    </w:t>
      </w:r>
      <w:r w:rsidRPr="009E2BC9">
        <w:rPr>
          <w:rFonts w:eastAsia="Times New Roman"/>
          <w:b/>
          <w:sz w:val="22"/>
          <w:szCs w:val="22"/>
          <w:lang w:eastAsia="ru-RU"/>
        </w:rPr>
        <w:t xml:space="preserve">Технічні, якісні характеристики предмета закупівлі, повинні передбачати необхідність застосування заходів із захисту довкілля, </w:t>
      </w:r>
      <w:r w:rsidRPr="009E2BC9">
        <w:rPr>
          <w:rFonts w:eastAsia="Times New Roman"/>
          <w:sz w:val="22"/>
          <w:szCs w:val="22"/>
          <w:lang w:eastAsia="ru-RU"/>
        </w:rPr>
        <w:t xml:space="preserve">відповідати вимогам </w:t>
      </w:r>
      <w:r w:rsidRPr="009E2BC9">
        <w:rPr>
          <w:rFonts w:eastAsia="Times New Roman"/>
          <w:sz w:val="22"/>
          <w:szCs w:val="22"/>
          <w:lang w:eastAsia="zh-CN"/>
        </w:rPr>
        <w:t xml:space="preserve">Законів України «Про охорону навколишнього природного середовища», </w:t>
      </w:r>
      <w:r w:rsidRPr="009E2BC9">
        <w:rPr>
          <w:rFonts w:eastAsia="Times New Roman"/>
          <w:sz w:val="22"/>
          <w:szCs w:val="22"/>
          <w:lang w:eastAsia="ru-RU"/>
        </w:rPr>
        <w:t xml:space="preserve">«Про забезпечення санітарного та епідеміологічного благополуччя населення» </w:t>
      </w:r>
      <w:r w:rsidRPr="009E2BC9">
        <w:rPr>
          <w:rFonts w:eastAsia="Times New Roman"/>
          <w:sz w:val="22"/>
          <w:szCs w:val="22"/>
          <w:lang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 w:rsidRPr="009E2BC9">
        <w:rPr>
          <w:rFonts w:eastAsia="Times New Roman"/>
          <w:sz w:val="22"/>
          <w:szCs w:val="22"/>
          <w:lang w:eastAsia="ru-RU"/>
        </w:rPr>
        <w:t>, пожежної та техногенної безпеки, охорони праці та виробничої санітарії.</w:t>
      </w:r>
    </w:p>
    <w:p w:rsidR="009E2BC9" w:rsidRPr="009E2BC9" w:rsidRDefault="009E2BC9" w:rsidP="009E2BC9">
      <w:pPr>
        <w:spacing w:after="0" w:line="240" w:lineRule="auto"/>
        <w:ind w:firstLine="567"/>
        <w:jc w:val="both"/>
        <w:rPr>
          <w:rFonts w:eastAsia="Times New Roman"/>
          <w:b/>
          <w:sz w:val="22"/>
          <w:szCs w:val="22"/>
          <w:lang w:eastAsia="ru-RU"/>
        </w:rPr>
      </w:pPr>
      <w:r w:rsidRPr="009E2BC9">
        <w:rPr>
          <w:b/>
          <w:bCs/>
          <w:sz w:val="22"/>
          <w:szCs w:val="22"/>
        </w:rPr>
        <w:t>У разі, якщо Пропозиція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</w:p>
    <w:p w:rsidR="009E2BC9" w:rsidRPr="009E2BC9" w:rsidRDefault="009E2BC9" w:rsidP="009E2BC9">
      <w:pPr>
        <w:spacing w:after="0" w:line="240" w:lineRule="auto"/>
        <w:ind w:left="8496"/>
        <w:rPr>
          <w:rFonts w:eastAsia="Times New Roman"/>
          <w:sz w:val="22"/>
          <w:szCs w:val="22"/>
          <w:lang w:eastAsia="ru-RU"/>
        </w:rPr>
      </w:pPr>
      <w:r w:rsidRPr="009E2BC9">
        <w:rPr>
          <w:rFonts w:eastAsia="Times New Roman"/>
          <w:sz w:val="22"/>
          <w:szCs w:val="22"/>
          <w:lang w:eastAsia="ru-RU"/>
        </w:rPr>
        <w:t xml:space="preserve"> </w:t>
      </w:r>
    </w:p>
    <w:p w:rsidR="009E2BC9" w:rsidRPr="009E2BC9" w:rsidRDefault="009E2BC9" w:rsidP="009E2BC9">
      <w:pPr>
        <w:spacing w:after="0" w:line="240" w:lineRule="auto"/>
        <w:ind w:firstLine="567"/>
        <w:jc w:val="right"/>
        <w:rPr>
          <w:rFonts w:eastAsia="Times New Roman"/>
          <w:b/>
          <w:sz w:val="22"/>
          <w:szCs w:val="22"/>
          <w:lang w:eastAsia="ru-RU"/>
        </w:rPr>
      </w:pPr>
    </w:p>
    <w:p w:rsidR="009E2BC9" w:rsidRPr="009E2BC9" w:rsidRDefault="009E2BC9" w:rsidP="009E2BC9">
      <w:pPr>
        <w:spacing w:after="0" w:line="240" w:lineRule="auto"/>
        <w:ind w:firstLine="567"/>
        <w:jc w:val="right"/>
        <w:rPr>
          <w:rFonts w:eastAsia="Times New Roman"/>
          <w:b/>
          <w:sz w:val="22"/>
          <w:szCs w:val="22"/>
          <w:lang w:eastAsia="ru-RU"/>
        </w:rPr>
      </w:pPr>
      <w:bookmarkStart w:id="0" w:name="n176"/>
      <w:bookmarkStart w:id="1" w:name="n177"/>
      <w:bookmarkStart w:id="2" w:name="n178"/>
      <w:bookmarkStart w:id="3" w:name="n179"/>
      <w:bookmarkStart w:id="4" w:name="n180"/>
      <w:bookmarkStart w:id="5" w:name="n181"/>
      <w:bookmarkStart w:id="6" w:name="n182"/>
      <w:bookmarkStart w:id="7" w:name="n183"/>
      <w:bookmarkStart w:id="8" w:name="n18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9E2BC9">
        <w:rPr>
          <w:rFonts w:eastAsia="Times New Roman"/>
          <w:b/>
          <w:sz w:val="22"/>
          <w:szCs w:val="22"/>
          <w:lang w:eastAsia="ru-RU"/>
        </w:rPr>
        <w:t xml:space="preserve"> </w:t>
      </w:r>
    </w:p>
    <w:p w:rsidR="006E7BB0" w:rsidRPr="009E2BC9" w:rsidRDefault="006E7BB0" w:rsidP="009E2BC9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bookmarkStart w:id="9" w:name="_GoBack"/>
      <w:bookmarkEnd w:id="9"/>
    </w:p>
    <w:sectPr w:rsidR="006E7BB0" w:rsidRPr="009E2B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56E42"/>
    <w:multiLevelType w:val="hybridMultilevel"/>
    <w:tmpl w:val="A128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5"/>
    <w:rsid w:val="00141EAE"/>
    <w:rsid w:val="006475BF"/>
    <w:rsid w:val="006E7BB0"/>
    <w:rsid w:val="0094383F"/>
    <w:rsid w:val="00951F25"/>
    <w:rsid w:val="009E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F0203"/>
  <w15:chartTrackingRefBased/>
  <w15:docId w15:val="{1434FC8C-E249-4680-A45D-1D5D689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3F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94383F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94383F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9438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83F"/>
    <w:rPr>
      <w:color w:val="954F72" w:themeColor="followedHyperlink"/>
      <w:u w:val="single"/>
    </w:rPr>
  </w:style>
  <w:style w:type="paragraph" w:styleId="a5">
    <w:name w:val="No Spacing"/>
    <w:link w:val="a6"/>
    <w:uiPriority w:val="99"/>
    <w:qFormat/>
    <w:rsid w:val="009E2BC9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">
    <w:name w:val="Основной текст (2)_"/>
    <w:link w:val="20"/>
    <w:rsid w:val="009E2BC9"/>
    <w:rPr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2BC9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  <w:iCs/>
      <w:color w:val="auto"/>
      <w:shd w:val="clear" w:color="auto" w:fill="FFFFFF"/>
      <w:lang w:val="en-US"/>
    </w:rPr>
  </w:style>
  <w:style w:type="character" w:customStyle="1" w:styleId="a6">
    <w:name w:val="Без интервала Знак"/>
    <w:link w:val="a5"/>
    <w:uiPriority w:val="99"/>
    <w:locked/>
    <w:rsid w:val="009E2BC9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Tahoma">
    <w:name w:val="Основной текст (2) + Tahoma"/>
    <w:aliases w:val="8 pt,7,5 pt,Полужирный,10,11"/>
    <w:rsid w:val="009E2BC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Кондратюк Олена Сергіївна</cp:lastModifiedBy>
  <cp:revision>8</cp:revision>
  <dcterms:created xsi:type="dcterms:W3CDTF">2021-12-15T12:41:00Z</dcterms:created>
  <dcterms:modified xsi:type="dcterms:W3CDTF">2021-12-15T15:14:00Z</dcterms:modified>
</cp:coreProperties>
</file>