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A1" w:rsidRPr="002A1EB0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2A1E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AB0CA1" w:rsidRPr="002A1EB0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2A1E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ЯКІ </w:t>
      </w:r>
      <w:r w:rsidRPr="00AA2C5C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ЗАРЕЄСТРОВАНІ КОМПЕТЕНТНИМИ ОРГАНАМИ</w:t>
      </w:r>
      <w:r w:rsidRPr="002A1E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 СПОЛУЧЕНИХ ШТАТІВ АМЕРИКИ, </w:t>
      </w:r>
      <w:r w:rsidR="002A1EB0" w:rsidRPr="00AA2C5C">
        <w:rPr>
          <w:rFonts w:ascii="Arial" w:hAnsi="Arial" w:cs="Arial"/>
          <w:b/>
          <w:sz w:val="26"/>
          <w:szCs w:val="26"/>
          <w:u w:val="single"/>
          <w:lang w:val="uk-UA"/>
        </w:rPr>
        <w:t>ШВЕЙЦАРСЬКОЇ КОНФЕДЕРАЦІЇ</w:t>
      </w:r>
      <w:r w:rsidRPr="002A1E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</w:t>
      </w:r>
      <w:r w:rsidRPr="00AA2C5C">
        <w:rPr>
          <w:rFonts w:ascii="Arial" w:eastAsia="Times New Roman" w:hAnsi="Arial" w:cs="Arial"/>
          <w:b/>
          <w:sz w:val="26"/>
          <w:szCs w:val="26"/>
          <w:lang w:val="uk-UA" w:eastAsia="uk-UA"/>
        </w:rPr>
        <w:t>КОМПЕТЕНТНИМ ОРГАНОМ ЄВРОПЕЙСЬКОГО СОЮЗУ</w:t>
      </w:r>
    </w:p>
    <w:p w:rsidR="00AB0CA1" w:rsidRPr="002A1EB0" w:rsidRDefault="00AB0CA1" w:rsidP="00AB0CA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59"/>
        <w:gridCol w:w="1418"/>
        <w:gridCol w:w="1134"/>
        <w:gridCol w:w="2976"/>
        <w:gridCol w:w="1276"/>
        <w:gridCol w:w="2410"/>
        <w:gridCol w:w="1134"/>
        <w:gridCol w:w="1559"/>
      </w:tblGrid>
      <w:tr w:rsidR="00E13CF3" w:rsidRPr="00AB0CA1" w:rsidTr="006C3D7D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D4643" w:rsidRDefault="00E13CF3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D464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D4643" w:rsidRDefault="00E13CF3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D464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D4643" w:rsidRDefault="00E13CF3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D464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D4643" w:rsidRDefault="00E13CF3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D464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D4643" w:rsidRDefault="00E13CF3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D464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D4643" w:rsidRDefault="00E13CF3" w:rsidP="004F3EC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D464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D4643" w:rsidRDefault="00E13CF3" w:rsidP="00AB0CA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D464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D4643" w:rsidRDefault="00E13CF3" w:rsidP="00081DA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D464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D4643" w:rsidRDefault="00E13CF3" w:rsidP="0063298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D464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D4643" w:rsidRDefault="00E13CF3" w:rsidP="0063298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D464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E13CF3" w:rsidRPr="009B3C03" w:rsidTr="006C3D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13CF3" w:rsidRPr="003D4643" w:rsidRDefault="00E13CF3" w:rsidP="0033652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13CF3" w:rsidRPr="003D4643" w:rsidRDefault="00E13CF3" w:rsidP="0033652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D4643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559" w:type="dxa"/>
            <w:shd w:val="clear" w:color="auto" w:fill="FFFFFF"/>
          </w:tcPr>
          <w:p w:rsidR="00E13CF3" w:rsidRPr="003D4643" w:rsidRDefault="00E13CF3" w:rsidP="0033652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500 мг, по 10 таблеток у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E13CF3" w:rsidRPr="003D4643" w:rsidRDefault="00E13CF3" w:rsidP="003D464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E13CF3" w:rsidRPr="003D4643" w:rsidRDefault="00E13CF3" w:rsidP="0033652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976" w:type="dxa"/>
            <w:shd w:val="clear" w:color="auto" w:fill="FFFFFF"/>
          </w:tcPr>
          <w:p w:rsidR="00E13CF3" w:rsidRPr="003D4643" w:rsidRDefault="00E13CF3" w:rsidP="003D464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циклом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Чех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Індастріз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циклом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упаковка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контроль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завод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E13CF3" w:rsidRDefault="00E13CF3" w:rsidP="0033652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13CF3" w:rsidRDefault="00E13CF3" w:rsidP="0033652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13CF3" w:rsidRPr="003D4643" w:rsidRDefault="00E13CF3" w:rsidP="0033652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E13CF3" w:rsidRPr="003D4643" w:rsidRDefault="00E13CF3" w:rsidP="0033652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Variation Type IА, В.ІІІ.1.(a)2: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Подання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нового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сертифікату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відповідності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вимогам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монографії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Європейської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фармакопеї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анулювання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такого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сертифікату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стосовно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сировини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реагенту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проміжного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використовується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під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час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стосовно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допоміжної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(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Актуалізований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сертифікат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вже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отримав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імплементації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: 29.09.2020)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стосовно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метформіну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виробляється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Шоугуанг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Фуканг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Ко.Лтд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» в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Індії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була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видана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оновлена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версія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Сертифіката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відповідності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вимогам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монографії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Європейської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фармакопеї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номером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R1-CEP 2008-043-Rev 05.</w:t>
            </w:r>
          </w:p>
        </w:tc>
        <w:tc>
          <w:tcPr>
            <w:tcW w:w="1134" w:type="dxa"/>
            <w:shd w:val="clear" w:color="auto" w:fill="FFFFFF"/>
          </w:tcPr>
          <w:p w:rsidR="00E13CF3" w:rsidRPr="003D4643" w:rsidRDefault="00E13CF3" w:rsidP="0033652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D464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D464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E13CF3" w:rsidRPr="003D4643" w:rsidRDefault="00E13CF3" w:rsidP="0033652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4643">
              <w:rPr>
                <w:rFonts w:ascii="Arial" w:hAnsi="Arial" w:cs="Arial"/>
                <w:sz w:val="16"/>
                <w:szCs w:val="16"/>
              </w:rPr>
              <w:t>UA/18723/01/01</w:t>
            </w:r>
          </w:p>
        </w:tc>
      </w:tr>
      <w:tr w:rsidR="00E13CF3" w:rsidRPr="009B3C03" w:rsidTr="006C3D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13CF3" w:rsidRPr="003D4643" w:rsidRDefault="00E13CF3" w:rsidP="003D464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13CF3" w:rsidRPr="003D4643" w:rsidRDefault="00E13CF3" w:rsidP="003D464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D4643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559" w:type="dxa"/>
            <w:shd w:val="clear" w:color="auto" w:fill="FFFFFF"/>
          </w:tcPr>
          <w:p w:rsidR="00E13CF3" w:rsidRPr="003D4643" w:rsidRDefault="00E13CF3" w:rsidP="003D464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850 мг, по 10 таблеток у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E13CF3" w:rsidRPr="003D4643" w:rsidRDefault="00E13CF3" w:rsidP="003D464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ТОВ «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E13CF3" w:rsidRPr="003D4643" w:rsidRDefault="00E13CF3" w:rsidP="003D464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976" w:type="dxa"/>
            <w:shd w:val="clear" w:color="auto" w:fill="FFFFFF"/>
          </w:tcPr>
          <w:p w:rsidR="00E13CF3" w:rsidRPr="003D4643" w:rsidRDefault="00E13CF3" w:rsidP="003D464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циклом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Чех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Індастріз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циклом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упаковка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контроль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серії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завод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E13CF3" w:rsidRDefault="00E13CF3" w:rsidP="003D464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Чеська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13CF3" w:rsidRDefault="00E13CF3" w:rsidP="003D464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13CF3" w:rsidRPr="003D4643" w:rsidRDefault="00E13CF3" w:rsidP="003D464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E13CF3" w:rsidRPr="003D4643" w:rsidRDefault="00E13CF3" w:rsidP="003D464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Variation Type IА, В.ІІІ.1.(a)2: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Подання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нового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сертифікату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відповідності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вимогам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монографії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Європейської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фармакопеї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анулювання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такого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сертифікату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стосовно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діючої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сировини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реагенту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проміжного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використовується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під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час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стосовно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допоміжної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(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Актуалізований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сертифікат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вже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отримав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імплементації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: 29.09.2020)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стосовно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метформіну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виробляється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Шоугуанг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Фуканг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Ко.Лтд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» в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Індії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була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видана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оновлена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версія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Сертифіката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відповідності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вимогам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монографії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Європейської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фармакопеї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номером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R1-CEP 2008-043-Rev 05.</w:t>
            </w:r>
          </w:p>
        </w:tc>
        <w:tc>
          <w:tcPr>
            <w:tcW w:w="1134" w:type="dxa"/>
            <w:shd w:val="clear" w:color="auto" w:fill="FFFFFF"/>
          </w:tcPr>
          <w:p w:rsidR="00E13CF3" w:rsidRPr="003D4643" w:rsidRDefault="00E13CF3" w:rsidP="003D464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D4643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3D464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E13CF3" w:rsidRPr="003D4643" w:rsidRDefault="00E13CF3" w:rsidP="003D464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4643">
              <w:rPr>
                <w:rFonts w:ascii="Arial" w:hAnsi="Arial" w:cs="Arial"/>
                <w:sz w:val="16"/>
                <w:szCs w:val="16"/>
              </w:rPr>
              <w:t>UA/18723/01/02</w:t>
            </w:r>
          </w:p>
        </w:tc>
      </w:tr>
      <w:tr w:rsidR="00E13CF3" w:rsidRPr="009B3C03" w:rsidTr="006C3D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13CF3" w:rsidRPr="003D4643" w:rsidRDefault="00E13CF3" w:rsidP="00281DA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D4643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559" w:type="dxa"/>
            <w:shd w:val="clear" w:color="auto" w:fill="FFFFFF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500 мг, по 15 таблеток у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976" w:type="dxa"/>
            <w:shd w:val="clear" w:color="auto" w:fill="FFFFFF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циклом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Чех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Індастріз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циклом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упаковка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контроль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завод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E13CF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13CF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13CF3" w:rsidRPr="003D464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А.100 (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):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текстів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надання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наукових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інших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Фірмове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позначення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галенової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форми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препарату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необхідно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замінити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актуальний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стандартний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EDQM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позначення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форми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(таблетки,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в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інформацію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в текстах на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2.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А.102: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Новий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змінений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розмір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упаковки.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Оригінальна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упаковка 50 для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дозування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500 мг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заміняється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оригінальну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упаковку 60.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3.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А.102: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Новий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змінений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розмір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упаковки.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Оригінальна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упаковка 100 для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дозування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850 мг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заміняється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оригінальну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упаковку 90.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D4643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3D464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4643">
              <w:rPr>
                <w:rFonts w:ascii="Arial" w:hAnsi="Arial" w:cs="Arial"/>
                <w:sz w:val="16"/>
                <w:szCs w:val="16"/>
              </w:rPr>
              <w:t>UA/18723/01/01</w:t>
            </w:r>
          </w:p>
        </w:tc>
      </w:tr>
      <w:tr w:rsidR="00E13CF3" w:rsidRPr="009B3C03" w:rsidTr="006C3D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13CF3" w:rsidRPr="003D4643" w:rsidRDefault="00E13CF3" w:rsidP="00281DA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D4643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559" w:type="dxa"/>
            <w:shd w:val="clear" w:color="auto" w:fill="FFFFFF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850 мг, по 15 таблеток у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6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976" w:type="dxa"/>
            <w:shd w:val="clear" w:color="auto" w:fill="FFFFFF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циклом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Чех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Індастріз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циклом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упаковка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контроль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завод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E13CF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13CF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13CF3" w:rsidRPr="003D464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А.100 (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):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текстів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надання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наукових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інших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Фірмове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позначення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галенової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форми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препарату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необхідно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замінити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актуальний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стандартний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EDQM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позначення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форми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(таблетки,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в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інформацію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в текстах на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2.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А.102: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Новий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змінений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розмір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упаковки.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Оригінальна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упаковка 50 для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дозування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500 мг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заміняється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оригінальну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упаковку 60.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3.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А.102: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Новий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змінений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розмір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упаковки.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Оригінальна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упаковка 100 для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дозування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850 мг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заміняється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оригінальну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упаковку 90.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D464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D464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4643">
              <w:rPr>
                <w:rFonts w:ascii="Arial" w:hAnsi="Arial" w:cs="Arial"/>
                <w:sz w:val="16"/>
                <w:szCs w:val="16"/>
              </w:rPr>
              <w:t>UA/18723/01/02</w:t>
            </w:r>
          </w:p>
        </w:tc>
      </w:tr>
      <w:tr w:rsidR="00E13CF3" w:rsidRPr="009B3C03" w:rsidTr="006C3D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13CF3" w:rsidRPr="003D4643" w:rsidRDefault="00E13CF3" w:rsidP="00281DA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D4643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559" w:type="dxa"/>
            <w:shd w:val="clear" w:color="auto" w:fill="FFFFFF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1000 мг, по 15 таблеток у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по 8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ТОВ «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976" w:type="dxa"/>
            <w:shd w:val="clear" w:color="auto" w:fill="FFFFFF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циклом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Чех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Індастріз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циклом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упаковка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контроль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завод</w:t>
            </w:r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E13CF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Чеська</w:t>
            </w:r>
            <w:proofErr w:type="spellEnd"/>
            <w:r w:rsidRPr="00281D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13CF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13CF3" w:rsidRPr="003D464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1.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А.100 (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):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текстів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надання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наукових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інших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Фірмове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позначення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галенової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форми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препарату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необхідно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замінити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актуальний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стандартний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EDQM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позначення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форми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(таблетки,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в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інформацію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в текстах на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2.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А.102: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Новий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змінений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розмір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упаковки.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Оригінальна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упаковка 50 для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дозування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500 мг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заміняється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оригінальну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упаковку 60.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3.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А.102: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Новий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змінений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розмір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упаковки.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Оригінальна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упаковка 100 для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дозування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850 мг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заміняється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оригінальну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упаковку 90.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D4643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3D464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4643">
              <w:rPr>
                <w:rFonts w:ascii="Arial" w:hAnsi="Arial" w:cs="Arial"/>
                <w:sz w:val="16"/>
                <w:szCs w:val="16"/>
              </w:rPr>
              <w:t>UA/18723/01/03</w:t>
            </w:r>
          </w:p>
        </w:tc>
      </w:tr>
      <w:tr w:rsidR="00E13CF3" w:rsidRPr="009B3C03" w:rsidTr="006C3D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13CF3" w:rsidRPr="003D4643" w:rsidRDefault="00E13CF3" w:rsidP="00281DA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D4643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559" w:type="dxa"/>
            <w:shd w:val="clear" w:color="auto" w:fill="FFFFFF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1000 мг, по 10 таблеток у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12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976" w:type="dxa"/>
            <w:shd w:val="clear" w:color="auto" w:fill="FFFFFF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циклом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Чех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Індастріз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циклом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упаковка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контроль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завод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E13CF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13CF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13CF3" w:rsidRPr="003D464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Variation Type IА, В.ІІІ.1.(a)2: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Подання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нового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сертифікату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відповідності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вимогам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монографії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Європейської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фармакопеї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анулювання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такого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сертифікату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стосовно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сировини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реагенту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проміжного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використовується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під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час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стосовно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допоміжної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(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Актуалізований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сертифікат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вже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отримав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імплементації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: 29.09.2020)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стосовно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метформіну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виробляється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Шоугуанг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Фуканг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Ко.Лтд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» в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Індії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була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видана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оновлена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версія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Сертифіката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відповідності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вимогам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монографії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Європейської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фармакопеї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>номером</w:t>
            </w:r>
            <w:proofErr w:type="spellEnd"/>
            <w:r w:rsidRPr="003D4643">
              <w:rPr>
                <w:rFonts w:ascii="Arial" w:hAnsi="Arial" w:cs="Arial"/>
                <w:color w:val="000000"/>
                <w:sz w:val="16"/>
                <w:szCs w:val="16"/>
              </w:rPr>
              <w:t xml:space="preserve"> R1-CEP 2008-043-Rev 05.</w:t>
            </w:r>
          </w:p>
        </w:tc>
        <w:tc>
          <w:tcPr>
            <w:tcW w:w="1134" w:type="dxa"/>
            <w:shd w:val="clear" w:color="auto" w:fill="FFFFFF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D464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D464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D464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E13CF3" w:rsidRPr="003D4643" w:rsidRDefault="00E13CF3" w:rsidP="00281D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4643">
              <w:rPr>
                <w:rFonts w:ascii="Arial" w:hAnsi="Arial" w:cs="Arial"/>
                <w:sz w:val="16"/>
                <w:szCs w:val="16"/>
              </w:rPr>
              <w:t>UA/18723/01/03</w:t>
            </w:r>
          </w:p>
        </w:tc>
      </w:tr>
    </w:tbl>
    <w:p w:rsidR="00AB0CA1" w:rsidRPr="00AB0CA1" w:rsidRDefault="00AB0CA1" w:rsidP="00AB0CA1">
      <w:pPr>
        <w:spacing w:after="0" w:line="240" w:lineRule="auto"/>
        <w:rPr>
          <w:rFonts w:ascii="Arial" w:eastAsia="Times New Roman" w:hAnsi="Arial" w:cs="Arial"/>
          <w:b/>
          <w:lang w:val="uk-UA" w:eastAsia="uk-UA"/>
        </w:rPr>
      </w:pPr>
    </w:p>
    <w:p w:rsidR="00A21E5F" w:rsidRDefault="00A21E5F"/>
    <w:sectPr w:rsidR="00A21E5F" w:rsidSect="00E5325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CA1"/>
    <w:rsid w:val="00081DA8"/>
    <w:rsid w:val="00094EB3"/>
    <w:rsid w:val="001668CA"/>
    <w:rsid w:val="001F2C59"/>
    <w:rsid w:val="0026256A"/>
    <w:rsid w:val="00281DAD"/>
    <w:rsid w:val="002A1EB0"/>
    <w:rsid w:val="0032016F"/>
    <w:rsid w:val="00336524"/>
    <w:rsid w:val="003D4643"/>
    <w:rsid w:val="00465206"/>
    <w:rsid w:val="004F3ECC"/>
    <w:rsid w:val="00532EC7"/>
    <w:rsid w:val="00554342"/>
    <w:rsid w:val="00565492"/>
    <w:rsid w:val="00586E98"/>
    <w:rsid w:val="00632983"/>
    <w:rsid w:val="006B1AAA"/>
    <w:rsid w:val="006C3D7D"/>
    <w:rsid w:val="00741372"/>
    <w:rsid w:val="007B2C01"/>
    <w:rsid w:val="007F7E3B"/>
    <w:rsid w:val="00801771"/>
    <w:rsid w:val="00854095"/>
    <w:rsid w:val="009B3C03"/>
    <w:rsid w:val="00A21E5F"/>
    <w:rsid w:val="00A47DC1"/>
    <w:rsid w:val="00AA2C5C"/>
    <w:rsid w:val="00AB0CA1"/>
    <w:rsid w:val="00B14154"/>
    <w:rsid w:val="00B57EC4"/>
    <w:rsid w:val="00B832B8"/>
    <w:rsid w:val="00D107A6"/>
    <w:rsid w:val="00D552BB"/>
    <w:rsid w:val="00D7373B"/>
    <w:rsid w:val="00E13CF3"/>
    <w:rsid w:val="00E23C92"/>
    <w:rsid w:val="00E53259"/>
    <w:rsid w:val="00EB21B7"/>
    <w:rsid w:val="00EB32AC"/>
    <w:rsid w:val="00EC4B94"/>
    <w:rsid w:val="00F534AF"/>
    <w:rsid w:val="00F631B8"/>
    <w:rsid w:val="00F81BA6"/>
    <w:rsid w:val="00FD38B5"/>
    <w:rsid w:val="00FE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FE8FEC-E777-466E-B44B-D9CC4D5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AB0C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3">
    <w:name w:val="Звичайний"/>
    <w:aliases w:val="Normal"/>
    <w:qFormat/>
    <w:rsid w:val="006B1AA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2021-09-02T04:53:00Z</dcterms:created>
  <dcterms:modified xsi:type="dcterms:W3CDTF">2021-09-02T04:53:00Z</dcterms:modified>
</cp:coreProperties>
</file>