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</w:t>
      </w:r>
      <w:r w:rsidRPr="00043D7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ЗАРЕЄСТРОВАНІ КОМПЕТЕНТНИМИ </w:t>
      </w:r>
      <w:r w:rsidRPr="0047129E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ОРГАНАМИ </w:t>
      </w:r>
      <w:r w:rsidRPr="00314A17">
        <w:rPr>
          <w:rFonts w:ascii="Arial" w:eastAsia="Times New Roman" w:hAnsi="Arial" w:cs="Arial"/>
          <w:b/>
          <w:sz w:val="26"/>
          <w:szCs w:val="26"/>
          <w:lang w:val="uk-UA" w:eastAsia="uk-UA"/>
        </w:rPr>
        <w:t>СПОЛУЧЕНИХ ШТАТІВ АМЕРИКИ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="002A1EB0" w:rsidRPr="00EE48AB">
        <w:rPr>
          <w:rFonts w:ascii="Arial" w:hAnsi="Arial" w:cs="Arial"/>
          <w:b/>
          <w:sz w:val="26"/>
          <w:szCs w:val="26"/>
          <w:lang w:val="uk-UA"/>
        </w:rPr>
        <w:t>ШВЕЙЦАРСЬКОЇ КОНФЕДЕРАЦІЇ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</w:t>
      </w:r>
      <w:r w:rsidRPr="00EE48AB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>КАНАДИ</w:t>
      </w:r>
      <w:r w:rsidRPr="00043D72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ЛІКАРСЬКИХ ЗАСОБІВ, ЩО ЗА ЦЕНТРАЛІЗОВАНОЮ ПРОЦЕДУРОЮ ЗАРЕЄСТРОВАНІ </w:t>
      </w:r>
      <w:r w:rsidRPr="00EE48AB">
        <w:rPr>
          <w:rFonts w:ascii="Arial" w:eastAsia="Times New Roman" w:hAnsi="Arial" w:cs="Arial"/>
          <w:b/>
          <w:sz w:val="26"/>
          <w:szCs w:val="26"/>
          <w:lang w:val="uk-UA" w:eastAsia="uk-UA"/>
        </w:rPr>
        <w:t>КОМПЕТЕНТНИМ ОРГАНОМ</w:t>
      </w:r>
      <w:r w:rsidRPr="00EE48AB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 ЄВРОПЕЙСЬКОГО СОЮЗУ</w:t>
      </w:r>
    </w:p>
    <w:p w:rsidR="00AB0CA1" w:rsidRPr="00043D72" w:rsidRDefault="00AB0CA1" w:rsidP="00AB0C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701"/>
        <w:gridCol w:w="1276"/>
        <w:gridCol w:w="1701"/>
        <w:gridCol w:w="1134"/>
        <w:gridCol w:w="2835"/>
        <w:gridCol w:w="1134"/>
        <w:gridCol w:w="1559"/>
      </w:tblGrid>
      <w:tr w:rsidR="00C46217" w:rsidRPr="00043D72" w:rsidTr="00671E09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025801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6217" w:rsidRPr="00C46217" w:rsidRDefault="00C46217" w:rsidP="0035106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4621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46217" w:rsidRPr="00025801" w:rsidTr="00671E0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46217" w:rsidRPr="00C46217" w:rsidRDefault="00C46217" w:rsidP="00D7319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C46217" w:rsidRPr="00C46217" w:rsidRDefault="00C46217" w:rsidP="00D7319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6217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C46217" w:rsidRPr="00C46217" w:rsidRDefault="00C46217" w:rsidP="00D7319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мг, по 15 капсул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46217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C46217" w:rsidRPr="00C46217" w:rsidRDefault="00C46217" w:rsidP="00D731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46217" w:rsidRPr="00C46217" w:rsidRDefault="00C46217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46217" w:rsidRPr="00C46217" w:rsidRDefault="001C6928" w:rsidP="00D731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46217" w:rsidRPr="00C46217" w:rsidRDefault="00C46217" w:rsidP="00D731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А.7. (тип ІА)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АФІ,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реагенту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Враховуючи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Ліцензії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Пендофарм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відбувається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скорочення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виконуваних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функцій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буде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здійснюватися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тільки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Канада.</w:t>
            </w:r>
          </w:p>
        </w:tc>
        <w:tc>
          <w:tcPr>
            <w:tcW w:w="1134" w:type="dxa"/>
            <w:shd w:val="clear" w:color="auto" w:fill="FFFFFF"/>
          </w:tcPr>
          <w:p w:rsidR="00C46217" w:rsidRPr="00C46217" w:rsidRDefault="00C46217" w:rsidP="00D731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4621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46217" w:rsidRPr="00C46217" w:rsidRDefault="00C46217" w:rsidP="00D7319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17">
              <w:rPr>
                <w:rFonts w:ascii="Arial" w:hAnsi="Arial" w:cs="Arial"/>
                <w:sz w:val="16"/>
                <w:szCs w:val="16"/>
              </w:rPr>
              <w:t>UA/16627/01/01</w:t>
            </w:r>
          </w:p>
        </w:tc>
      </w:tr>
      <w:tr w:rsidR="001C6928" w:rsidRPr="00025801" w:rsidTr="00671E0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6217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18 мг, по 15 капсул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1C6928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А.7. (тип ІА)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АФІ,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реагенту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Враховуючи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Ліцензії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Пендофарм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відбувається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скорочення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виконуваних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функцій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буде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здійснюватися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тільки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Канада.</w:t>
            </w:r>
          </w:p>
        </w:tc>
        <w:tc>
          <w:tcPr>
            <w:tcW w:w="1134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4621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17">
              <w:rPr>
                <w:rFonts w:ascii="Arial" w:hAnsi="Arial" w:cs="Arial"/>
                <w:sz w:val="16"/>
                <w:szCs w:val="16"/>
              </w:rPr>
              <w:t>UA/16627/01/02</w:t>
            </w:r>
          </w:p>
        </w:tc>
      </w:tr>
      <w:tr w:rsidR="001C6928" w:rsidRPr="00025801" w:rsidTr="00671E0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6217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 мг, по 15 капсул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1C6928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А.7. (тип ІА)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АФІ,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реагенту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Враховуючи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Ліцензії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Пендофарм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відбувається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скорочення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виконуваних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функцій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буде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здійснюватися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тільки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Канада.</w:t>
            </w:r>
          </w:p>
        </w:tc>
        <w:tc>
          <w:tcPr>
            <w:tcW w:w="1134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4621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17">
              <w:rPr>
                <w:rFonts w:ascii="Arial" w:hAnsi="Arial" w:cs="Arial"/>
                <w:sz w:val="16"/>
                <w:szCs w:val="16"/>
              </w:rPr>
              <w:t>UA/16627/01/03</w:t>
            </w:r>
          </w:p>
        </w:tc>
      </w:tr>
      <w:tr w:rsidR="001C6928" w:rsidRPr="00025801" w:rsidTr="00671E0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6217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40 мг, по 15 капсул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1C6928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А.7. (тип ІА)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АФІ,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реагенту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Враховуючи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Ліцензії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Пендофарм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відбувається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скорочення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виконуваних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функцій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буде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здійснюватися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тільки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Канада.</w:t>
            </w:r>
          </w:p>
        </w:tc>
        <w:tc>
          <w:tcPr>
            <w:tcW w:w="1134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4621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17">
              <w:rPr>
                <w:rFonts w:ascii="Arial" w:hAnsi="Arial" w:cs="Arial"/>
                <w:sz w:val="16"/>
                <w:szCs w:val="16"/>
              </w:rPr>
              <w:t>UA/16627/01/04</w:t>
            </w:r>
          </w:p>
        </w:tc>
      </w:tr>
      <w:tr w:rsidR="001C6928" w:rsidRPr="00025801" w:rsidTr="00671E0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6217">
              <w:rPr>
                <w:rFonts w:ascii="Arial" w:hAnsi="Arial" w:cs="Arial"/>
                <w:b/>
                <w:sz w:val="16"/>
                <w:szCs w:val="16"/>
              </w:rPr>
              <w:t>МОНСЕТИН</w:t>
            </w:r>
          </w:p>
        </w:tc>
        <w:tc>
          <w:tcPr>
            <w:tcW w:w="212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60 мг, по 15 капсул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1C6928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нерозфасованого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1C692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А.7. (тип ІА)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АФІ,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проміжного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продукту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місце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проведення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постачальника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реагенту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допоміжної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речовини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Враховуючи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Ліцензії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Пендофарм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підрозділ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Канада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відбувається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скорочення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виконуваних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функцій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вилучається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буде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здійснюватися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тільки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ділянці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Фармасайнс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Канада.</w:t>
            </w:r>
          </w:p>
        </w:tc>
        <w:tc>
          <w:tcPr>
            <w:tcW w:w="1134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4621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17">
              <w:rPr>
                <w:rFonts w:ascii="Arial" w:hAnsi="Arial" w:cs="Arial"/>
                <w:sz w:val="16"/>
                <w:szCs w:val="16"/>
              </w:rPr>
              <w:t>UA/16627/01/05</w:t>
            </w:r>
          </w:p>
        </w:tc>
      </w:tr>
      <w:tr w:rsidR="001C6928" w:rsidRPr="00025801" w:rsidTr="00671E0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46217">
              <w:rPr>
                <w:rFonts w:ascii="Arial" w:hAnsi="Arial" w:cs="Arial"/>
                <w:b/>
                <w:sz w:val="16"/>
                <w:szCs w:val="16"/>
              </w:rPr>
              <w:t>ХАЙРІМОЗ 40</w:t>
            </w:r>
          </w:p>
        </w:tc>
        <w:tc>
          <w:tcPr>
            <w:tcW w:w="212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40 мг/0,8 мл; по 0,8 мл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блістерах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Лек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ПЕ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повний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цикл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Засоби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Шафтенау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Асептичні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ЛЗШ),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хімічний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фізичний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стерильні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нестерильні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Виробнича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Біотехнологічні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Лікарські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Субстанції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Кундль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 ЛСК),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біологічний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): СИНЛАБ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Аналітикс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Сервісис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C6928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Швейцарія/</w:t>
            </w:r>
          </w:p>
          <w:p w:rsidR="001C6928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Словенія/</w:t>
            </w:r>
          </w:p>
          <w:p w:rsidR="001C6928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1C6928" w:rsidRPr="001C6928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1)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br/>
              <w:t>«B.II.f.1.d., IB –Stability of FP – Change in storage conditions of the finished product or the diluted/reconstituted product. Removal of the ‘do not shake’ warning from the PI».</w:t>
            </w:r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2)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інструкції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Побічні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реакції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». </w:t>
            </w:r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br/>
              <w:t>«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C.I.z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Changes (Safety/Efficacy) of Human and Veterinary Medicinal Products – Other variation. To update section 4.8 of the 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SmPC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section 4 of the PL to implement the signal recommendation on ‘</w:t>
            </w:r>
            <w:proofErr w:type="spellStart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>Adalimumab</w:t>
            </w:r>
            <w:proofErr w:type="spellEnd"/>
            <w:r w:rsidRPr="00C46217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Abnormal weight gain’ (EPITT No 19520) adopted at the 11-14 January 2021 PRAC meeting». </w:t>
            </w:r>
          </w:p>
        </w:tc>
        <w:tc>
          <w:tcPr>
            <w:tcW w:w="1134" w:type="dxa"/>
            <w:shd w:val="clear" w:color="auto" w:fill="FFFFFF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4621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621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C6928" w:rsidRPr="00C46217" w:rsidRDefault="001C6928" w:rsidP="001C692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6217">
              <w:rPr>
                <w:rFonts w:ascii="Arial" w:hAnsi="Arial" w:cs="Arial"/>
                <w:sz w:val="16"/>
                <w:szCs w:val="16"/>
              </w:rPr>
              <w:t>UA/17973/01/01</w:t>
            </w:r>
          </w:p>
        </w:tc>
      </w:tr>
    </w:tbl>
    <w:p w:rsidR="00AB0CA1" w:rsidRPr="00AB0CA1" w:rsidRDefault="00AB0CA1" w:rsidP="00AB0CA1">
      <w:pPr>
        <w:spacing w:after="0" w:line="240" w:lineRule="auto"/>
        <w:rPr>
          <w:rFonts w:ascii="Arial" w:eastAsia="Times New Roman" w:hAnsi="Arial" w:cs="Arial"/>
          <w:b/>
          <w:lang w:val="uk-UA" w:eastAsia="uk-UA"/>
        </w:rPr>
      </w:pPr>
    </w:p>
    <w:p w:rsidR="00A21E5F" w:rsidRDefault="00A21E5F"/>
    <w:sectPr w:rsidR="00A21E5F" w:rsidSect="00E5325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A1"/>
    <w:rsid w:val="00025801"/>
    <w:rsid w:val="00033A6A"/>
    <w:rsid w:val="00043D72"/>
    <w:rsid w:val="00081DA8"/>
    <w:rsid w:val="00093B0A"/>
    <w:rsid w:val="000A1B71"/>
    <w:rsid w:val="000D3F75"/>
    <w:rsid w:val="001668CA"/>
    <w:rsid w:val="001A3092"/>
    <w:rsid w:val="001B103D"/>
    <w:rsid w:val="001C6928"/>
    <w:rsid w:val="001F2C59"/>
    <w:rsid w:val="0026256A"/>
    <w:rsid w:val="00281DAD"/>
    <w:rsid w:val="002A1EB0"/>
    <w:rsid w:val="00314A17"/>
    <w:rsid w:val="0032016F"/>
    <w:rsid w:val="00336524"/>
    <w:rsid w:val="00351065"/>
    <w:rsid w:val="00383B8D"/>
    <w:rsid w:val="003A09FA"/>
    <w:rsid w:val="003D4643"/>
    <w:rsid w:val="00465206"/>
    <w:rsid w:val="0047129E"/>
    <w:rsid w:val="0049345A"/>
    <w:rsid w:val="004D67CA"/>
    <w:rsid w:val="004F3ECC"/>
    <w:rsid w:val="004F6772"/>
    <w:rsid w:val="00532EC7"/>
    <w:rsid w:val="00543ADF"/>
    <w:rsid w:val="00554342"/>
    <w:rsid w:val="00565492"/>
    <w:rsid w:val="00565CD4"/>
    <w:rsid w:val="005704B1"/>
    <w:rsid w:val="00586E98"/>
    <w:rsid w:val="005F6BDA"/>
    <w:rsid w:val="00632983"/>
    <w:rsid w:val="00666F60"/>
    <w:rsid w:val="00671E09"/>
    <w:rsid w:val="006A1AA4"/>
    <w:rsid w:val="006B1AAA"/>
    <w:rsid w:val="006C3D7D"/>
    <w:rsid w:val="006C69D8"/>
    <w:rsid w:val="00706601"/>
    <w:rsid w:val="00741372"/>
    <w:rsid w:val="007B2C01"/>
    <w:rsid w:val="007C7760"/>
    <w:rsid w:val="007D5AB3"/>
    <w:rsid w:val="007F7E3B"/>
    <w:rsid w:val="00801771"/>
    <w:rsid w:val="00817B93"/>
    <w:rsid w:val="00830558"/>
    <w:rsid w:val="008309F8"/>
    <w:rsid w:val="00843C63"/>
    <w:rsid w:val="00854095"/>
    <w:rsid w:val="008A7917"/>
    <w:rsid w:val="008D5A6B"/>
    <w:rsid w:val="009078E1"/>
    <w:rsid w:val="009B12A0"/>
    <w:rsid w:val="009B3C03"/>
    <w:rsid w:val="00A129E3"/>
    <w:rsid w:val="00A21E5F"/>
    <w:rsid w:val="00A51944"/>
    <w:rsid w:val="00A64003"/>
    <w:rsid w:val="00AA0C22"/>
    <w:rsid w:val="00AA2C5C"/>
    <w:rsid w:val="00AB0CA1"/>
    <w:rsid w:val="00B14154"/>
    <w:rsid w:val="00B57EC4"/>
    <w:rsid w:val="00B832B8"/>
    <w:rsid w:val="00C2370E"/>
    <w:rsid w:val="00C2479D"/>
    <w:rsid w:val="00C46217"/>
    <w:rsid w:val="00CC5A84"/>
    <w:rsid w:val="00D06168"/>
    <w:rsid w:val="00D107A6"/>
    <w:rsid w:val="00D24371"/>
    <w:rsid w:val="00D552BB"/>
    <w:rsid w:val="00D7319A"/>
    <w:rsid w:val="00D7373B"/>
    <w:rsid w:val="00E13CF3"/>
    <w:rsid w:val="00E23C92"/>
    <w:rsid w:val="00E53259"/>
    <w:rsid w:val="00EB21B7"/>
    <w:rsid w:val="00EB32AC"/>
    <w:rsid w:val="00EC4B94"/>
    <w:rsid w:val="00ED4FE7"/>
    <w:rsid w:val="00EE48AB"/>
    <w:rsid w:val="00F047C5"/>
    <w:rsid w:val="00F07D45"/>
    <w:rsid w:val="00F2205A"/>
    <w:rsid w:val="00F534AF"/>
    <w:rsid w:val="00F631B8"/>
    <w:rsid w:val="00F81BA6"/>
    <w:rsid w:val="00F842CE"/>
    <w:rsid w:val="00FD38B5"/>
    <w:rsid w:val="00FE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2A65F7-E8DE-451E-8356-7CD2EC3C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AB0CA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a3">
    <w:name w:val="Звичайний"/>
    <w:aliases w:val="Normal"/>
    <w:qFormat/>
    <w:rsid w:val="006B1AA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2021-09-24T11:51:00Z</dcterms:created>
  <dcterms:modified xsi:type="dcterms:W3CDTF">2021-09-24T11:51:00Z</dcterms:modified>
</cp:coreProperties>
</file>