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89D" w:rsidRPr="009A017C" w:rsidRDefault="00CA5C22" w:rsidP="003E46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A017C">
        <w:rPr>
          <w:rFonts w:ascii="Times New Roman" w:hAnsi="Times New Roman" w:cs="Times New Roman"/>
          <w:sz w:val="24"/>
          <w:szCs w:val="24"/>
          <w:lang w:val="uk-UA"/>
        </w:rPr>
        <w:t>Назва закупівлі:</w:t>
      </w:r>
      <w:r w:rsidR="007C189D" w:rsidRPr="009A01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46F1" w:rsidRPr="009A017C">
        <w:rPr>
          <w:rFonts w:ascii="Times New Roman" w:hAnsi="Times New Roman"/>
          <w:b/>
          <w:sz w:val="24"/>
          <w:szCs w:val="24"/>
          <w:lang w:val="uk-UA"/>
        </w:rPr>
        <w:t xml:space="preserve">Баласти для розрядних ламп чи трубок (Джерело безперебійного живлення)  (ДК 021:2015 - 31150000-2 – Баласти для розрядних ламп чи трубок) Джерело безперебійного живлення  650VA  – 30 штук; Джерело безперебійного живлення 20 кВт з комплектом обладнання для підключення до електромережі – 1 штука, Комплект додаткових батарейних модулів для ДБЖ APC </w:t>
      </w:r>
      <w:proofErr w:type="spellStart"/>
      <w:r w:rsidR="003E46F1" w:rsidRPr="009A017C">
        <w:rPr>
          <w:rFonts w:ascii="Times New Roman" w:hAnsi="Times New Roman"/>
          <w:b/>
          <w:sz w:val="24"/>
          <w:szCs w:val="24"/>
          <w:lang w:val="uk-UA"/>
        </w:rPr>
        <w:t>Symmetra</w:t>
      </w:r>
      <w:proofErr w:type="spellEnd"/>
      <w:r w:rsidR="003E46F1" w:rsidRPr="009A017C">
        <w:rPr>
          <w:rFonts w:ascii="Times New Roman" w:hAnsi="Times New Roman"/>
          <w:b/>
          <w:sz w:val="24"/>
          <w:szCs w:val="24"/>
          <w:lang w:val="uk-UA"/>
        </w:rPr>
        <w:t xml:space="preserve"> у шафі з блоками розподілу живлення - 1 штука.</w:t>
      </w:r>
    </w:p>
    <w:p w:rsidR="00BB3B16" w:rsidRPr="009A017C" w:rsidRDefault="00BB3B16" w:rsidP="00E761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A5C22" w:rsidRPr="009A017C" w:rsidRDefault="00CA5C22" w:rsidP="00E761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A017C">
        <w:rPr>
          <w:rFonts w:ascii="Times New Roman" w:hAnsi="Times New Roman" w:cs="Times New Roman"/>
          <w:b/>
          <w:sz w:val="24"/>
          <w:szCs w:val="24"/>
          <w:lang w:val="uk-UA"/>
        </w:rPr>
        <w:t>Відкриті торги</w:t>
      </w:r>
      <w:r w:rsidR="003E46F1" w:rsidRPr="009A017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 публікацією англійською мовою</w:t>
      </w:r>
    </w:p>
    <w:p w:rsidR="00B0772E" w:rsidRPr="009A017C" w:rsidRDefault="00B0772E" w:rsidP="004B4B45">
      <w:pPr>
        <w:spacing w:before="240"/>
        <w:rPr>
          <w:rFonts w:ascii="Times New Roman" w:hAnsi="Times New Roman" w:cs="Times New Roman"/>
          <w:sz w:val="24"/>
          <w:szCs w:val="24"/>
          <w:lang w:val="uk-UA"/>
        </w:rPr>
      </w:pPr>
      <w:r w:rsidRPr="009A017C">
        <w:rPr>
          <w:rFonts w:ascii="Times New Roman" w:hAnsi="Times New Roman" w:cs="Times New Roman"/>
          <w:sz w:val="24"/>
          <w:szCs w:val="24"/>
          <w:lang w:val="uk-UA"/>
        </w:rPr>
        <w:t xml:space="preserve">Очікувана вартість: </w:t>
      </w:r>
      <w:r w:rsidR="003E46F1" w:rsidRPr="009A017C">
        <w:rPr>
          <w:rFonts w:ascii="Times New Roman" w:hAnsi="Times New Roman" w:cs="Times New Roman"/>
          <w:b/>
          <w:sz w:val="24"/>
          <w:szCs w:val="24"/>
          <w:lang w:val="uk-UA"/>
        </w:rPr>
        <w:t>5 200 000</w:t>
      </w:r>
      <w:r w:rsidRPr="009A017C">
        <w:rPr>
          <w:rFonts w:ascii="Times New Roman" w:hAnsi="Times New Roman" w:cs="Times New Roman"/>
          <w:b/>
          <w:sz w:val="24"/>
          <w:szCs w:val="24"/>
          <w:lang w:val="uk-UA"/>
        </w:rPr>
        <w:t>,00</w:t>
      </w:r>
      <w:r w:rsidRPr="009A017C">
        <w:rPr>
          <w:rFonts w:ascii="Times New Roman" w:hAnsi="Times New Roman" w:cs="Times New Roman"/>
          <w:sz w:val="24"/>
          <w:szCs w:val="24"/>
          <w:lang w:val="uk-UA"/>
        </w:rPr>
        <w:t xml:space="preserve"> грн.</w:t>
      </w:r>
    </w:p>
    <w:p w:rsidR="00646CD4" w:rsidRPr="009A017C" w:rsidRDefault="00CA5C22" w:rsidP="004B4B45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A017C">
        <w:rPr>
          <w:rFonts w:ascii="Times New Roman" w:hAnsi="Times New Roman" w:cs="Times New Roman"/>
          <w:sz w:val="24"/>
          <w:szCs w:val="24"/>
          <w:lang w:val="uk-UA"/>
        </w:rPr>
        <w:t xml:space="preserve">Дата оприлюднення: </w:t>
      </w:r>
      <w:r w:rsidR="000E4436" w:rsidRPr="009A017C">
        <w:rPr>
          <w:rFonts w:ascii="Times New Roman" w:hAnsi="Times New Roman" w:cs="Times New Roman"/>
          <w:b/>
          <w:sz w:val="24"/>
          <w:szCs w:val="24"/>
          <w:lang w:val="uk-UA"/>
        </w:rPr>
        <w:t>19 травня</w:t>
      </w:r>
      <w:r w:rsidR="00646CD4" w:rsidRPr="009A017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2021 року</w:t>
      </w:r>
    </w:p>
    <w:p w:rsidR="007C189D" w:rsidRPr="009A017C" w:rsidRDefault="00BB0A7A" w:rsidP="004B4B45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9A017C">
        <w:rPr>
          <w:rFonts w:ascii="Times New Roman" w:hAnsi="Times New Roman" w:cs="Times New Roman"/>
          <w:sz w:val="24"/>
          <w:szCs w:val="24"/>
          <w:lang w:val="uk-UA"/>
        </w:rPr>
        <w:t>Детальна інформація за посиланням</w:t>
      </w:r>
      <w:r w:rsidR="007C189D" w:rsidRPr="009A01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5" w:history="1">
        <w:r w:rsidR="003E46F1" w:rsidRPr="009A017C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https://prozorro.gov.ua/tender/UA-2021-05-19-0032</w:t>
        </w:r>
        <w:bookmarkStart w:id="0" w:name="_GoBack"/>
        <w:bookmarkEnd w:id="0"/>
        <w:r w:rsidR="003E46F1" w:rsidRPr="009A017C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3</w:t>
        </w:r>
        <w:r w:rsidR="003E46F1" w:rsidRPr="009A017C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8-a</w:t>
        </w:r>
      </w:hyperlink>
    </w:p>
    <w:p w:rsidR="003E46F1" w:rsidRPr="009A017C" w:rsidRDefault="003E46F1" w:rsidP="003E46F1">
      <w:pPr>
        <w:spacing w:before="240"/>
        <w:ind w:right="-23"/>
        <w:jc w:val="center"/>
        <w:rPr>
          <w:rFonts w:ascii="Times New Roman" w:hAnsi="Times New Roman"/>
          <w:b/>
          <w:szCs w:val="24"/>
          <w:lang w:val="uk-UA"/>
        </w:rPr>
      </w:pPr>
      <w:r w:rsidRPr="009A017C">
        <w:rPr>
          <w:rFonts w:ascii="Times New Roman" w:hAnsi="Times New Roman"/>
          <w:b/>
          <w:szCs w:val="24"/>
          <w:lang w:val="uk-UA"/>
        </w:rPr>
        <w:t>ІНФОРМАЦІЯ ПРО НЕОБХІДНІ ТЕХНІЧНІ, ЯКІСНІ ТА КІЛЬКІСНІ ХАРАКТЕРИСТИКИ ПРЕДМЕТА ЗАКУПІВЛІ</w:t>
      </w:r>
    </w:p>
    <w:p w:rsidR="003E46F1" w:rsidRPr="009A017C" w:rsidRDefault="003E46F1" w:rsidP="003E46F1">
      <w:pPr>
        <w:numPr>
          <w:ilvl w:val="1"/>
          <w:numId w:val="8"/>
        </w:numPr>
        <w:tabs>
          <w:tab w:val="left" w:pos="993"/>
        </w:tabs>
        <w:spacing w:before="40" w:after="0" w:line="240" w:lineRule="auto"/>
        <w:ind w:left="0" w:firstLine="567"/>
        <w:jc w:val="both"/>
        <w:outlineLvl w:val="1"/>
        <w:rPr>
          <w:rFonts w:ascii="Times New Roman" w:hAnsi="Times New Roman"/>
          <w:lang w:val="uk-UA" w:eastAsia="uk-UA"/>
        </w:rPr>
      </w:pPr>
      <w:r w:rsidRPr="009A017C">
        <w:rPr>
          <w:rFonts w:ascii="Times New Roman" w:hAnsi="Times New Roman"/>
          <w:lang w:val="uk-UA" w:eastAsia="uk-UA"/>
        </w:rPr>
        <w:t>Всі посилання на конкретну торгівельну марку чи фірму, патент, конструкцію або тип предмета закупівлі, джерело його походження або виробника, слід читати з виразом «або еквівалент».</w:t>
      </w:r>
    </w:p>
    <w:p w:rsidR="003E46F1" w:rsidRPr="009A017C" w:rsidRDefault="003E46F1" w:rsidP="003E46F1">
      <w:pPr>
        <w:numPr>
          <w:ilvl w:val="1"/>
          <w:numId w:val="8"/>
        </w:numPr>
        <w:tabs>
          <w:tab w:val="left" w:pos="993"/>
        </w:tabs>
        <w:spacing w:before="40" w:after="0" w:line="240" w:lineRule="auto"/>
        <w:ind w:left="0" w:firstLine="567"/>
        <w:jc w:val="both"/>
        <w:outlineLvl w:val="1"/>
        <w:rPr>
          <w:rFonts w:ascii="Times New Roman" w:hAnsi="Times New Roman"/>
          <w:lang w:val="uk-UA" w:eastAsia="uk-UA"/>
        </w:rPr>
      </w:pPr>
      <w:r w:rsidRPr="009A017C">
        <w:rPr>
          <w:rFonts w:ascii="Times New Roman" w:hAnsi="Times New Roman"/>
          <w:lang w:val="uk-UA" w:eastAsia="uk-UA"/>
        </w:rPr>
        <w:t>Учасники процедури закупівлі повинні надати в складі тендерних пропозицій інформацію та документи, які підтверджують відповідність тендерної пропозиції Учасника технічним, якісним, кількісним та іншим вимогам до предмета закупівлі, наведеним у цьому додатку тендерної документації.</w:t>
      </w:r>
    </w:p>
    <w:p w:rsidR="003E46F1" w:rsidRPr="009A017C" w:rsidRDefault="003E46F1" w:rsidP="003E46F1">
      <w:pPr>
        <w:numPr>
          <w:ilvl w:val="1"/>
          <w:numId w:val="8"/>
        </w:numPr>
        <w:tabs>
          <w:tab w:val="left" w:pos="993"/>
        </w:tabs>
        <w:spacing w:before="40" w:after="0" w:line="240" w:lineRule="auto"/>
        <w:ind w:left="0" w:firstLine="567"/>
        <w:jc w:val="both"/>
        <w:outlineLvl w:val="1"/>
        <w:rPr>
          <w:rFonts w:ascii="Times New Roman" w:hAnsi="Times New Roman"/>
          <w:lang w:val="uk-UA" w:eastAsia="uk-UA"/>
        </w:rPr>
      </w:pPr>
      <w:r w:rsidRPr="009A017C">
        <w:rPr>
          <w:rFonts w:ascii="Times New Roman" w:hAnsi="Times New Roman"/>
          <w:lang w:val="uk-UA" w:eastAsia="uk-UA"/>
        </w:rPr>
        <w:t>Невідповідність пропозиції Учасника торгів вимогам цього додатку тендерної документації призводить до її відхилення. Неповні пропозиції відхиляються та участі у конкурсній процедурі не беруть.</w:t>
      </w:r>
    </w:p>
    <w:p w:rsidR="003E46F1" w:rsidRPr="009A017C" w:rsidRDefault="003E46F1" w:rsidP="003E46F1">
      <w:pPr>
        <w:numPr>
          <w:ilvl w:val="1"/>
          <w:numId w:val="8"/>
        </w:numPr>
        <w:tabs>
          <w:tab w:val="left" w:pos="993"/>
        </w:tabs>
        <w:spacing w:before="40" w:after="0" w:line="240" w:lineRule="auto"/>
        <w:ind w:left="0" w:firstLine="567"/>
        <w:jc w:val="both"/>
        <w:outlineLvl w:val="1"/>
        <w:rPr>
          <w:rFonts w:ascii="Times New Roman" w:hAnsi="Times New Roman"/>
          <w:lang w:val="uk-UA" w:eastAsia="uk-UA"/>
        </w:rPr>
      </w:pPr>
      <w:r w:rsidRPr="009A017C">
        <w:rPr>
          <w:rFonts w:ascii="Times New Roman" w:hAnsi="Times New Roman"/>
          <w:lang w:val="uk-UA" w:eastAsia="uk-UA"/>
        </w:rPr>
        <w:t xml:space="preserve">Доставка товарів повинна здійснюватися транспортом або за рахунок постачальника, </w:t>
      </w:r>
      <w:proofErr w:type="spellStart"/>
      <w:r w:rsidRPr="009A017C">
        <w:rPr>
          <w:rFonts w:ascii="Times New Roman" w:hAnsi="Times New Roman"/>
          <w:lang w:val="uk-UA" w:eastAsia="uk-UA"/>
        </w:rPr>
        <w:t>завантажувально</w:t>
      </w:r>
      <w:proofErr w:type="spellEnd"/>
      <w:r w:rsidRPr="009A017C">
        <w:rPr>
          <w:rFonts w:ascii="Times New Roman" w:hAnsi="Times New Roman"/>
          <w:lang w:val="uk-UA" w:eastAsia="uk-UA"/>
        </w:rPr>
        <w:t>-розвантажувальні роботи та пусконалагоджувальні роботи за рахунок постачальника.</w:t>
      </w:r>
    </w:p>
    <w:p w:rsidR="003E46F1" w:rsidRPr="009A017C" w:rsidRDefault="003E46F1" w:rsidP="003E46F1">
      <w:pPr>
        <w:numPr>
          <w:ilvl w:val="1"/>
          <w:numId w:val="8"/>
        </w:numPr>
        <w:tabs>
          <w:tab w:val="left" w:pos="993"/>
        </w:tabs>
        <w:spacing w:before="40" w:after="0" w:line="240" w:lineRule="auto"/>
        <w:ind w:left="0" w:firstLine="567"/>
        <w:jc w:val="both"/>
        <w:outlineLvl w:val="1"/>
        <w:rPr>
          <w:rFonts w:ascii="Times New Roman" w:hAnsi="Times New Roman"/>
          <w:lang w:val="uk-UA" w:eastAsia="uk-UA"/>
        </w:rPr>
      </w:pPr>
      <w:r w:rsidRPr="009A017C">
        <w:rPr>
          <w:rFonts w:ascii="Times New Roman" w:hAnsi="Times New Roman"/>
          <w:lang w:val="uk-UA" w:eastAsia="uk-UA"/>
        </w:rPr>
        <w:t>Відповідність технічних, якісних та кількості характеристик запропонованих товарів вимогам замовника повинна бути підтверджена учасником шляхом надання у складі тендерної пропозиції довідки, яка має містити порівняльну таблицю технічних, якісних та кількісних характеристик товару, що пропонується учасником, які мають бути не гіршими за наведені в Технічних, якісних та кількості вимогах (характеристиках) до предмету закупівлі, що викладені у цьому додатку тендерної документації, із обов‘язковим зазначенням типу, марки, моделі, назви товару, в тому числі конкретної назви, марки, моделі (типу) складових частин товару, що пропонується Учасником.</w:t>
      </w:r>
    </w:p>
    <w:p w:rsidR="003E46F1" w:rsidRPr="009A017C" w:rsidRDefault="003E46F1" w:rsidP="003E46F1">
      <w:pPr>
        <w:numPr>
          <w:ilvl w:val="1"/>
          <w:numId w:val="8"/>
        </w:numPr>
        <w:tabs>
          <w:tab w:val="left" w:pos="993"/>
        </w:tabs>
        <w:spacing w:before="40" w:after="0" w:line="240" w:lineRule="auto"/>
        <w:ind w:left="0" w:firstLine="567"/>
        <w:jc w:val="both"/>
        <w:outlineLvl w:val="1"/>
        <w:rPr>
          <w:rFonts w:ascii="Times New Roman" w:hAnsi="Times New Roman"/>
          <w:lang w:val="uk-UA" w:eastAsia="uk-UA"/>
        </w:rPr>
      </w:pPr>
      <w:r w:rsidRPr="009A017C">
        <w:rPr>
          <w:rFonts w:ascii="Times New Roman" w:hAnsi="Times New Roman"/>
          <w:lang w:val="uk-UA" w:eastAsia="uk-UA"/>
        </w:rPr>
        <w:t xml:space="preserve">Учасники процедури закупівлі повинні надати в складі тендерних пропозицій: декларацію </w:t>
      </w:r>
      <w:r w:rsidRPr="009A017C">
        <w:rPr>
          <w:rFonts w:ascii="Times New Roman" w:hAnsi="Times New Roman"/>
          <w:lang w:val="uk-UA" w:eastAsia="uk-UA"/>
        </w:rPr>
        <w:br/>
        <w:t>(-</w:t>
      </w:r>
      <w:proofErr w:type="spellStart"/>
      <w:r w:rsidRPr="009A017C">
        <w:rPr>
          <w:rFonts w:ascii="Times New Roman" w:hAnsi="Times New Roman"/>
          <w:lang w:val="uk-UA" w:eastAsia="uk-UA"/>
        </w:rPr>
        <w:t>ції</w:t>
      </w:r>
      <w:proofErr w:type="spellEnd"/>
      <w:r w:rsidRPr="009A017C">
        <w:rPr>
          <w:rFonts w:ascii="Times New Roman" w:hAnsi="Times New Roman"/>
          <w:lang w:val="uk-UA" w:eastAsia="uk-UA"/>
        </w:rPr>
        <w:t>) про відповідність товару, що пропонується Учасником: технічним регламентам: - з електромагнітної сумісності обладнання; - низьковольтного електричного обладнання, дійсну (-ні) на дату подання тендерних пропозицій.</w:t>
      </w:r>
    </w:p>
    <w:p w:rsidR="003E46F1" w:rsidRPr="009A017C" w:rsidRDefault="003E46F1" w:rsidP="003E46F1">
      <w:pPr>
        <w:numPr>
          <w:ilvl w:val="1"/>
          <w:numId w:val="8"/>
        </w:numPr>
        <w:tabs>
          <w:tab w:val="left" w:pos="993"/>
        </w:tabs>
        <w:spacing w:before="40" w:after="0" w:line="240" w:lineRule="auto"/>
        <w:ind w:left="0" w:firstLine="567"/>
        <w:jc w:val="both"/>
        <w:outlineLvl w:val="1"/>
        <w:rPr>
          <w:rFonts w:ascii="Times New Roman" w:hAnsi="Times New Roman"/>
          <w:lang w:val="uk-UA" w:eastAsia="uk-UA"/>
        </w:rPr>
      </w:pPr>
      <w:r w:rsidRPr="009A017C">
        <w:rPr>
          <w:rFonts w:ascii="Times New Roman" w:hAnsi="Times New Roman"/>
          <w:lang w:val="uk-UA" w:eastAsia="uk-UA"/>
        </w:rPr>
        <w:t>Учасники процедури закупівлі повинні надати в складі тендерних пропозицій документ/копія документу від виробника обладнання/офіційного представника виробника (сертифікат/</w:t>
      </w:r>
      <w:proofErr w:type="spellStart"/>
      <w:r w:rsidRPr="009A017C">
        <w:rPr>
          <w:rFonts w:ascii="Times New Roman" w:hAnsi="Times New Roman"/>
          <w:lang w:val="uk-UA" w:eastAsia="uk-UA"/>
        </w:rPr>
        <w:t>авторизаційний</w:t>
      </w:r>
      <w:proofErr w:type="spellEnd"/>
      <w:r w:rsidRPr="009A017C">
        <w:rPr>
          <w:rFonts w:ascii="Times New Roman" w:hAnsi="Times New Roman"/>
          <w:lang w:val="uk-UA" w:eastAsia="uk-UA"/>
        </w:rPr>
        <w:t xml:space="preserve"> лист/ інший документ) про надання учаснику процедури закупівлі відповідного статусу (дилер/партнер/інший статус), з переліком товару, що пропонується Учасником та підтвердження гарантійних зобов’язань на товар, що пропонується Учасником із зазначенням номеру закупівлі у системі </w:t>
      </w:r>
      <w:proofErr w:type="spellStart"/>
      <w:r w:rsidRPr="009A017C">
        <w:rPr>
          <w:rFonts w:ascii="Times New Roman" w:hAnsi="Times New Roman"/>
          <w:lang w:val="uk-UA" w:eastAsia="uk-UA"/>
        </w:rPr>
        <w:t>Prozorro</w:t>
      </w:r>
      <w:proofErr w:type="spellEnd"/>
      <w:r w:rsidRPr="009A017C">
        <w:rPr>
          <w:rFonts w:ascii="Times New Roman" w:hAnsi="Times New Roman"/>
          <w:lang w:val="uk-UA" w:eastAsia="uk-UA"/>
        </w:rPr>
        <w:t xml:space="preserve"> та найменування Замовника. </w:t>
      </w:r>
    </w:p>
    <w:p w:rsidR="003E46F1" w:rsidRPr="009A017C" w:rsidRDefault="003E46F1" w:rsidP="003E46F1">
      <w:pPr>
        <w:numPr>
          <w:ilvl w:val="1"/>
          <w:numId w:val="8"/>
        </w:numPr>
        <w:tabs>
          <w:tab w:val="left" w:pos="993"/>
        </w:tabs>
        <w:spacing w:before="40" w:after="0" w:line="240" w:lineRule="auto"/>
        <w:ind w:left="0" w:firstLine="567"/>
        <w:jc w:val="both"/>
        <w:outlineLvl w:val="1"/>
        <w:rPr>
          <w:rFonts w:ascii="Times New Roman" w:hAnsi="Times New Roman"/>
          <w:lang w:val="uk-UA" w:eastAsia="uk-UA"/>
        </w:rPr>
      </w:pPr>
      <w:r w:rsidRPr="009A017C">
        <w:rPr>
          <w:rFonts w:ascii="Times New Roman" w:hAnsi="Times New Roman"/>
          <w:lang w:val="uk-UA" w:eastAsia="uk-UA"/>
        </w:rPr>
        <w:t>Обов’язкова наявність сервісного (сервісних) центру (центрів) виробника товару, або авторизованого (авторизованих) сервісного (сервісних) центру (центрів) виробника товару в м. Києві має бути підтверджена учасником шляхом надання листа від виробника товару, із зазначення адрес та телефонів такого (таких) сервісного (сервісних) центру (центрів).</w:t>
      </w:r>
    </w:p>
    <w:p w:rsidR="003E46F1" w:rsidRPr="009A017C" w:rsidRDefault="003E46F1" w:rsidP="003E46F1">
      <w:pPr>
        <w:numPr>
          <w:ilvl w:val="1"/>
          <w:numId w:val="8"/>
        </w:numPr>
        <w:tabs>
          <w:tab w:val="left" w:pos="993"/>
        </w:tabs>
        <w:spacing w:before="40" w:after="0" w:line="240" w:lineRule="auto"/>
        <w:ind w:left="0" w:firstLine="567"/>
        <w:jc w:val="both"/>
        <w:outlineLvl w:val="1"/>
        <w:rPr>
          <w:rFonts w:ascii="Times New Roman" w:hAnsi="Times New Roman"/>
          <w:lang w:val="uk-UA" w:eastAsia="uk-UA"/>
        </w:rPr>
      </w:pPr>
      <w:r w:rsidRPr="009A017C">
        <w:rPr>
          <w:rFonts w:ascii="Times New Roman" w:hAnsi="Times New Roman"/>
          <w:lang w:val="uk-UA" w:eastAsia="uk-UA"/>
        </w:rPr>
        <w:t>Гарантія на товар повинна складати:</w:t>
      </w:r>
    </w:p>
    <w:p w:rsidR="003E46F1" w:rsidRPr="009A017C" w:rsidRDefault="003E46F1" w:rsidP="003E46F1">
      <w:pPr>
        <w:tabs>
          <w:tab w:val="left" w:pos="993"/>
        </w:tabs>
        <w:spacing w:before="40" w:after="0" w:line="240" w:lineRule="auto"/>
        <w:ind w:firstLine="567"/>
        <w:jc w:val="both"/>
        <w:outlineLvl w:val="1"/>
        <w:rPr>
          <w:rFonts w:ascii="Times New Roman" w:hAnsi="Times New Roman"/>
          <w:lang w:val="uk-UA" w:eastAsia="uk-UA"/>
        </w:rPr>
      </w:pPr>
      <w:r w:rsidRPr="009A017C">
        <w:rPr>
          <w:rFonts w:ascii="Times New Roman" w:hAnsi="Times New Roman"/>
          <w:lang w:val="uk-UA" w:eastAsia="uk-UA"/>
        </w:rPr>
        <w:lastRenderedPageBreak/>
        <w:t>- не менше: 24 місяців на ДБЖ, 12 місяців на батарею для джерела безперебійного живлення 650</w:t>
      </w:r>
      <w:r w:rsidRPr="009A017C">
        <w:rPr>
          <w:lang w:val="uk-UA"/>
        </w:rPr>
        <w:t xml:space="preserve"> </w:t>
      </w:r>
      <w:r w:rsidRPr="009A017C">
        <w:rPr>
          <w:rFonts w:ascii="Times New Roman" w:hAnsi="Times New Roman"/>
          <w:lang w:val="uk-UA" w:eastAsia="uk-UA"/>
        </w:rPr>
        <w:t>ВА – 30 штук;</w:t>
      </w:r>
    </w:p>
    <w:p w:rsidR="003E46F1" w:rsidRPr="009A017C" w:rsidRDefault="003E46F1" w:rsidP="003E46F1">
      <w:pPr>
        <w:tabs>
          <w:tab w:val="left" w:pos="993"/>
        </w:tabs>
        <w:spacing w:before="40" w:after="0" w:line="240" w:lineRule="auto"/>
        <w:ind w:firstLine="567"/>
        <w:jc w:val="both"/>
        <w:outlineLvl w:val="1"/>
        <w:rPr>
          <w:rFonts w:ascii="Times New Roman" w:hAnsi="Times New Roman"/>
          <w:lang w:val="uk-UA" w:eastAsia="uk-UA"/>
        </w:rPr>
      </w:pPr>
      <w:r w:rsidRPr="009A017C">
        <w:rPr>
          <w:rFonts w:ascii="Times New Roman" w:hAnsi="Times New Roman"/>
          <w:lang w:val="uk-UA" w:eastAsia="uk-UA"/>
        </w:rPr>
        <w:t>- не менше 12 місяців Джерело безперебійного живлення 20 кВт з комплектом обладнання для підключення до електромережі – 1 штука;</w:t>
      </w:r>
    </w:p>
    <w:p w:rsidR="003E46F1" w:rsidRPr="009A017C" w:rsidRDefault="003E46F1" w:rsidP="003E46F1">
      <w:pPr>
        <w:tabs>
          <w:tab w:val="left" w:pos="993"/>
        </w:tabs>
        <w:spacing w:before="40" w:after="0" w:line="240" w:lineRule="auto"/>
        <w:ind w:firstLine="567"/>
        <w:jc w:val="both"/>
        <w:outlineLvl w:val="1"/>
        <w:rPr>
          <w:rFonts w:ascii="Times New Roman" w:hAnsi="Times New Roman"/>
          <w:lang w:val="uk-UA" w:eastAsia="uk-UA"/>
        </w:rPr>
      </w:pPr>
      <w:r w:rsidRPr="009A017C">
        <w:rPr>
          <w:rFonts w:ascii="Times New Roman" w:hAnsi="Times New Roman"/>
          <w:lang w:val="uk-UA" w:eastAsia="uk-UA"/>
        </w:rPr>
        <w:t xml:space="preserve">- не менше 24 місяців на комплект додаткових батарейних модулів для ДБЖ APC </w:t>
      </w:r>
      <w:proofErr w:type="spellStart"/>
      <w:r w:rsidRPr="009A017C">
        <w:rPr>
          <w:rFonts w:ascii="Times New Roman" w:hAnsi="Times New Roman"/>
          <w:lang w:val="uk-UA" w:eastAsia="uk-UA"/>
        </w:rPr>
        <w:t>Symmetra</w:t>
      </w:r>
      <w:proofErr w:type="spellEnd"/>
      <w:r w:rsidRPr="009A017C">
        <w:rPr>
          <w:rFonts w:ascii="Times New Roman" w:hAnsi="Times New Roman"/>
          <w:lang w:val="uk-UA" w:eastAsia="uk-UA"/>
        </w:rPr>
        <w:t xml:space="preserve"> у шафі з блоками розподілу живлення - 1 штука.</w:t>
      </w:r>
    </w:p>
    <w:p w:rsidR="003E46F1" w:rsidRPr="009A017C" w:rsidRDefault="003E46F1" w:rsidP="003E46F1">
      <w:pPr>
        <w:tabs>
          <w:tab w:val="left" w:pos="993"/>
        </w:tabs>
        <w:spacing w:before="40" w:after="0" w:line="240" w:lineRule="auto"/>
        <w:ind w:firstLine="567"/>
        <w:jc w:val="both"/>
        <w:outlineLvl w:val="1"/>
        <w:rPr>
          <w:rFonts w:ascii="Times New Roman" w:hAnsi="Times New Roman"/>
          <w:lang w:val="uk-UA" w:eastAsia="uk-UA"/>
        </w:rPr>
      </w:pPr>
      <w:r w:rsidRPr="009A017C">
        <w:rPr>
          <w:rFonts w:ascii="Times New Roman" w:hAnsi="Times New Roman"/>
          <w:lang w:val="uk-UA" w:eastAsia="uk-UA"/>
        </w:rPr>
        <w:t xml:space="preserve"> Для підтвердження учасником обов’язково надається гарантійний лист щодо строку гарантійного обслуговування товару.</w:t>
      </w:r>
    </w:p>
    <w:p w:rsidR="003E46F1" w:rsidRPr="009A017C" w:rsidRDefault="003E46F1" w:rsidP="003E46F1">
      <w:pPr>
        <w:rPr>
          <w:rFonts w:ascii="Times New Roman" w:hAnsi="Times New Roman"/>
          <w:b/>
          <w:szCs w:val="24"/>
          <w:lang w:val="uk-UA" w:eastAsia="uk-UA"/>
        </w:rPr>
      </w:pPr>
      <w:r w:rsidRPr="009A017C">
        <w:rPr>
          <w:rFonts w:ascii="Times New Roman" w:hAnsi="Times New Roman"/>
          <w:b/>
          <w:szCs w:val="24"/>
          <w:lang w:val="uk-UA" w:eastAsia="uk-UA"/>
        </w:rPr>
        <w:br w:type="page"/>
      </w:r>
    </w:p>
    <w:p w:rsidR="003E46F1" w:rsidRPr="009A017C" w:rsidRDefault="003E46F1" w:rsidP="003E46F1">
      <w:pPr>
        <w:keepNext/>
        <w:widowControl w:val="0"/>
        <w:tabs>
          <w:tab w:val="left" w:pos="284"/>
        </w:tabs>
        <w:spacing w:before="240" w:after="120" w:line="240" w:lineRule="auto"/>
        <w:jc w:val="center"/>
        <w:outlineLvl w:val="1"/>
        <w:rPr>
          <w:rFonts w:ascii="Times New Roman" w:hAnsi="Times New Roman"/>
          <w:b/>
          <w:szCs w:val="24"/>
          <w:lang w:val="uk-UA" w:eastAsia="uk-UA"/>
        </w:rPr>
      </w:pPr>
      <w:r w:rsidRPr="009A017C">
        <w:rPr>
          <w:rFonts w:ascii="Times New Roman" w:hAnsi="Times New Roman"/>
          <w:b/>
          <w:szCs w:val="24"/>
          <w:lang w:val="uk-UA" w:eastAsia="uk-UA"/>
        </w:rPr>
        <w:lastRenderedPageBreak/>
        <w:t>ТЕХНІЧНІ</w:t>
      </w:r>
      <w:r w:rsidRPr="009A017C">
        <w:rPr>
          <w:rFonts w:ascii="Times New Roman" w:hAnsi="Times New Roman"/>
          <w:b/>
          <w:caps/>
          <w:szCs w:val="24"/>
          <w:lang w:val="uk-UA" w:eastAsia="uk-UA"/>
        </w:rPr>
        <w:t>,</w:t>
      </w:r>
      <w:r w:rsidRPr="009A017C">
        <w:rPr>
          <w:caps/>
          <w:lang w:val="uk-UA"/>
        </w:rPr>
        <w:t xml:space="preserve"> </w:t>
      </w:r>
      <w:r w:rsidRPr="009A017C">
        <w:rPr>
          <w:rFonts w:ascii="Times New Roman" w:hAnsi="Times New Roman"/>
          <w:b/>
          <w:caps/>
          <w:szCs w:val="24"/>
          <w:lang w:val="uk-UA" w:eastAsia="uk-UA"/>
        </w:rPr>
        <w:t>якіснІ та кількісні ВИМ</w:t>
      </w:r>
      <w:r w:rsidRPr="009A017C">
        <w:rPr>
          <w:rFonts w:ascii="Times New Roman" w:hAnsi="Times New Roman"/>
          <w:b/>
          <w:szCs w:val="24"/>
          <w:lang w:val="uk-UA" w:eastAsia="uk-UA"/>
        </w:rPr>
        <w:t>ОГИ (</w:t>
      </w:r>
      <w:r w:rsidRPr="009A017C">
        <w:rPr>
          <w:rFonts w:ascii="Times New Roman" w:hAnsi="Times New Roman"/>
          <w:b/>
          <w:caps/>
          <w:szCs w:val="24"/>
          <w:lang w:val="uk-UA" w:eastAsia="uk-UA"/>
        </w:rPr>
        <w:t>характеристики</w:t>
      </w:r>
      <w:r w:rsidRPr="009A017C">
        <w:rPr>
          <w:rFonts w:ascii="Times New Roman" w:hAnsi="Times New Roman"/>
          <w:b/>
          <w:szCs w:val="24"/>
          <w:lang w:val="uk-UA" w:eastAsia="uk-UA"/>
        </w:rPr>
        <w:t>) ДО ПРЕДМЕТУ ЗАКУПІВЛІ</w:t>
      </w:r>
    </w:p>
    <w:p w:rsidR="003E46F1" w:rsidRPr="009A017C" w:rsidRDefault="003E46F1" w:rsidP="003E46F1">
      <w:pPr>
        <w:spacing w:after="0" w:line="240" w:lineRule="auto"/>
        <w:rPr>
          <w:rFonts w:ascii="Times New Roman" w:hAnsi="Times New Roman"/>
          <w:b/>
          <w:sz w:val="20"/>
          <w:szCs w:val="20"/>
          <w:lang w:val="uk-UA"/>
        </w:rPr>
      </w:pPr>
      <w:bookmarkStart w:id="1" w:name="MainTable"/>
      <w:bookmarkEnd w:id="1"/>
      <w:r w:rsidRPr="009A017C">
        <w:rPr>
          <w:rFonts w:ascii="Calibri Light" w:hAnsi="Calibri Light" w:cs="Calibri Light"/>
          <w:color w:val="FF0000"/>
          <w:sz w:val="2"/>
          <w:szCs w:val="2"/>
          <w:lang w:val="uk-UA"/>
        </w:rPr>
        <w:br w:type="textWrapping" w:clear="all"/>
      </w:r>
      <w:r w:rsidRPr="009A017C">
        <w:rPr>
          <w:rFonts w:ascii="Times New Roman" w:hAnsi="Times New Roman"/>
          <w:b/>
          <w:sz w:val="20"/>
          <w:szCs w:val="20"/>
          <w:lang w:val="uk-UA"/>
        </w:rPr>
        <w:t>1) Джерело безперебійного живлення 650 ВА – 30 штук</w:t>
      </w:r>
    </w:p>
    <w:p w:rsidR="003E46F1" w:rsidRPr="009A017C" w:rsidRDefault="003E46F1" w:rsidP="003E46F1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tbl>
      <w:tblPr>
        <w:tblW w:w="52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bottom w:w="57" w:type="dxa"/>
        </w:tblCellMar>
        <w:tblLook w:val="0000" w:firstRow="0" w:lastRow="0" w:firstColumn="0" w:lastColumn="0" w:noHBand="0" w:noVBand="0"/>
      </w:tblPr>
      <w:tblGrid>
        <w:gridCol w:w="10101"/>
      </w:tblGrid>
      <w:tr w:rsidR="003E46F1" w:rsidRPr="009A017C" w:rsidTr="00D26DE6">
        <w:trPr>
          <w:tblHeader/>
        </w:trPr>
        <w:tc>
          <w:tcPr>
            <w:tcW w:w="5000" w:type="pct"/>
            <w:tcMar>
              <w:left w:w="28" w:type="dxa"/>
              <w:right w:w="28" w:type="dxa"/>
            </w:tcMar>
            <w:vAlign w:val="center"/>
          </w:tcPr>
          <w:p w:rsidR="003E46F1" w:rsidRPr="009A017C" w:rsidRDefault="003E46F1" w:rsidP="00D26D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Вимоги</w:t>
            </w:r>
          </w:p>
        </w:tc>
      </w:tr>
      <w:tr w:rsidR="003E46F1" w:rsidRPr="009A017C" w:rsidTr="00D26DE6">
        <w:trPr>
          <w:trHeight w:val="140"/>
        </w:trPr>
        <w:tc>
          <w:tcPr>
            <w:tcW w:w="5000" w:type="pct"/>
            <w:tcMar>
              <w:left w:w="28" w:type="dxa"/>
              <w:right w:w="28" w:type="dxa"/>
            </w:tcMar>
            <w:vAlign w:val="center"/>
          </w:tcPr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Потужність, не менше – 650ВА (325Вт)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Топологія  – Лінійно-інтерактивний, з вбудованим регулятором напруги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Діапазон вхідної напруги, не гірше – 180-270В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Вхідна частота – 50/60Гц +/-1Гц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Вихідна напруга при роботі від батареї – Апроксимована синусоїда, 230В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Час перемикання – 4мс - </w:t>
            </w:r>
            <w:proofErr w:type="spellStart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типово</w:t>
            </w:r>
            <w:proofErr w:type="spellEnd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, 6мс - максимально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Ємність батареї – Не менше 7 А*г, 12 Вольт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Час роботи від батареї – Не менше 4хв (200Вт)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Тип батареї – Герметичні необслуговувані свинцево-кислотні акумулятори з типовим терміном служби 3-5 років 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Час перезарядки </w:t>
            </w:r>
            <w:proofErr w:type="spellStart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батарей</w:t>
            </w:r>
            <w:proofErr w:type="spellEnd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 4 години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Максимальна енергія імпульсу що поглинається, не менше – 160 </w:t>
            </w:r>
            <w:proofErr w:type="spellStart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Дж</w:t>
            </w:r>
            <w:proofErr w:type="spellEnd"/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Вихідні роз'єми – Не менше 2-х типу </w:t>
            </w:r>
            <w:proofErr w:type="spellStart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Schuko</w:t>
            </w:r>
            <w:proofErr w:type="spellEnd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 батарейною підтримкою та захистом від сплесків напруги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Панель керування – Індикація режимів роботи та стану ДБЖ за допомогою світлодіодів і звукової сигналізації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Додаткові функції – Автоматичний вбудований тест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Особливості конструкції – Розташування роз'ємів в тильній частині ДБЖ.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Можливість відключення батареї для транспортування без розбору ДБЖ.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Робочі температури, не гірше – 0-40°С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Габарити ВШГ, не більше – 141х101х300мм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Вага, не більше – 4,3кг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Відповідність вимогам та сертифікатам – CE, EAC, </w:t>
            </w:r>
            <w:proofErr w:type="spellStart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RoHS</w:t>
            </w:r>
            <w:proofErr w:type="spellEnd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, REACH</w:t>
            </w:r>
          </w:p>
        </w:tc>
      </w:tr>
    </w:tbl>
    <w:p w:rsidR="003E46F1" w:rsidRPr="009A017C" w:rsidRDefault="003E46F1" w:rsidP="003E46F1">
      <w:pPr>
        <w:rPr>
          <w:rFonts w:ascii="Times New Roman" w:hAnsi="Times New Roman"/>
          <w:b/>
          <w:sz w:val="20"/>
          <w:szCs w:val="20"/>
          <w:lang w:val="uk-UA"/>
        </w:rPr>
      </w:pPr>
    </w:p>
    <w:p w:rsidR="003E46F1" w:rsidRPr="009A017C" w:rsidRDefault="003E46F1" w:rsidP="003E46F1">
      <w:pPr>
        <w:rPr>
          <w:rFonts w:ascii="Times New Roman" w:hAnsi="Times New Roman"/>
          <w:b/>
          <w:sz w:val="20"/>
          <w:szCs w:val="20"/>
          <w:lang w:val="uk-UA"/>
        </w:rPr>
      </w:pPr>
      <w:r w:rsidRPr="009A017C">
        <w:rPr>
          <w:rFonts w:ascii="Times New Roman" w:hAnsi="Times New Roman"/>
          <w:b/>
          <w:sz w:val="20"/>
          <w:szCs w:val="20"/>
          <w:lang w:val="uk-UA"/>
        </w:rPr>
        <w:t>2) Джерело безперебійного 20 кВт з комплектом обладнання для підключення до електромережі – 1шт.</w:t>
      </w:r>
    </w:p>
    <w:tbl>
      <w:tblPr>
        <w:tblW w:w="52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bottom w:w="57" w:type="dxa"/>
        </w:tblCellMar>
        <w:tblLook w:val="0000" w:firstRow="0" w:lastRow="0" w:firstColumn="0" w:lastColumn="0" w:noHBand="0" w:noVBand="0"/>
      </w:tblPr>
      <w:tblGrid>
        <w:gridCol w:w="10101"/>
      </w:tblGrid>
      <w:tr w:rsidR="003E46F1" w:rsidRPr="009A017C" w:rsidTr="00D26DE6">
        <w:trPr>
          <w:tblHeader/>
        </w:trPr>
        <w:tc>
          <w:tcPr>
            <w:tcW w:w="5000" w:type="pct"/>
            <w:tcMar>
              <w:left w:w="28" w:type="dxa"/>
              <w:right w:w="28" w:type="dxa"/>
            </w:tcMar>
            <w:vAlign w:val="center"/>
          </w:tcPr>
          <w:p w:rsidR="003E46F1" w:rsidRPr="009A017C" w:rsidRDefault="003E46F1" w:rsidP="00D26D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Вимоги</w:t>
            </w:r>
          </w:p>
        </w:tc>
      </w:tr>
      <w:tr w:rsidR="003E46F1" w:rsidRPr="009A017C" w:rsidTr="00D26DE6">
        <w:trPr>
          <w:trHeight w:val="140"/>
        </w:trPr>
        <w:tc>
          <w:tcPr>
            <w:tcW w:w="5000" w:type="pct"/>
            <w:tcMar>
              <w:left w:w="28" w:type="dxa"/>
              <w:right w:w="28" w:type="dxa"/>
            </w:tcMar>
            <w:vAlign w:val="center"/>
          </w:tcPr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val="uk-UA"/>
              </w:rPr>
            </w:pPr>
            <w:r w:rsidRPr="009A017C"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  <w:t xml:space="preserve">Джерело безперебійного 20 кВт з модульними акумуляторними шафами та </w:t>
            </w:r>
            <w:proofErr w:type="spellStart"/>
            <w:r w:rsidRPr="009A017C"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  <w:t>батрейними</w:t>
            </w:r>
            <w:proofErr w:type="spellEnd"/>
            <w:r w:rsidRPr="009A017C"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  <w:t xml:space="preserve"> модулями – 1 шт.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Тип ДБЖ – ДБЖ типу </w:t>
            </w:r>
            <w:proofErr w:type="spellStart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On-line</w:t>
            </w:r>
            <w:proofErr w:type="spellEnd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(подвійне перетворення)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Архітектура ДБЖ – модульна архітектура з можливістю швидкої заміни модулів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Вихідна потужність – не менше 20кВА / 20кВт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Вихідний коефіцієнт потужності – не менше 1,0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Захист від поломки і виходу з ладу компонентів – резервування рівня N+1 по силових модулях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Можливість паралельної роботи – не менше ніж до 4-х ДБЖ для резервування або збільшення потужності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Можливість модернізації в межах корпусу ДБЖ – збільшення часу автономної роботи ДБЖ шляхом додавання додаткових батарейних модулів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Автоматичний електронний </w:t>
            </w:r>
            <w:proofErr w:type="spellStart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байпас</w:t>
            </w:r>
            <w:proofErr w:type="spellEnd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 модульний, на повну потужність ДБЖ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Механічний сервісний обхідний перемикач (</w:t>
            </w:r>
            <w:proofErr w:type="spellStart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байпас</w:t>
            </w:r>
            <w:proofErr w:type="spellEnd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) – вбудований, на повну потужність ДБЖ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Підключення лінії </w:t>
            </w:r>
            <w:proofErr w:type="spellStart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байпаса</w:t>
            </w:r>
            <w:proofErr w:type="spellEnd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 можливість окремого підключення основного і </w:t>
            </w:r>
            <w:proofErr w:type="spellStart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байпасного</w:t>
            </w:r>
            <w:proofErr w:type="spellEnd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входів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Номінальна напруга на вході та виході – 380/400/415В (регульована) Діапазон вхідної напруги – не гірше 200 – 460В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Нелінійні спотворення вхідного струму (THDI) – &lt; 6% при повному навантаженні та без додаткових фільтрів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Нелінійні спотворення напруги на виході (THDU) – ≤ 1% при 100% лінійному навантаженні; ≤ 3% при 100% нелінійному навантаженні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Форма вихідної напруги – </w:t>
            </w:r>
            <w:proofErr w:type="spellStart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cинусоїда</w:t>
            </w:r>
            <w:proofErr w:type="spellEnd"/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Вхідний коефіцієнт потужності – не менше 0,99 при 100% навантаженні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Вхідна частота – не гірше 40-70Гц 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Вихідна частота – 50/60Гц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ККД в режимі подвійного перетворення – ≥ 95.9% при навантаженні 50%;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≥ 96.6% при навантаженні від 75% до 100%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Енергоефективність – наявність еко-режиму з ККД ≥ 99%, при якому забезпечується зарядка </w:t>
            </w:r>
            <w:proofErr w:type="spellStart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батарей</w:t>
            </w:r>
            <w:proofErr w:type="spellEnd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та корекція коефіцієнта потужності і </w:t>
            </w:r>
            <w:proofErr w:type="spellStart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гармонік</w:t>
            </w:r>
            <w:proofErr w:type="spellEnd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підключеного навантаження; час переходу з еко-режиму до режиму подвійного перетворення повинен відповідати вимогам Класу 1 стандарту IEC62040-3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Сумісність з різними типами навантаження – підтримка навантаження з коефіцієнтом потужності від 0,7 (ємнісне) до 0,7 (індуктивне) без погіршення характеристик ДБЖ.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Можливість роботи інвертора ДБЖ при перенавантаженні – не менше 60 </w:t>
            </w:r>
            <w:proofErr w:type="spellStart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сек</w:t>
            </w:r>
            <w:proofErr w:type="spellEnd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. при навантаженні 150%; не менше 10 хв. при навантаженні 125%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Струм короткого замикання – не менше 65кА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Вхідне підключення – безпосереднє 5-дротяне 3PH+N+G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Час роботи від </w:t>
            </w:r>
            <w:proofErr w:type="spellStart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батарей</w:t>
            </w:r>
            <w:proofErr w:type="spellEnd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при навантаженні 10 кВт – не менше 480 хвилин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Можливість збільшення часу автономної роботи – додавання додаткових батарейних модулів та підключення зовнішніх батарейних шаф з </w:t>
            </w:r>
            <w:proofErr w:type="spellStart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батареями</w:t>
            </w:r>
            <w:proofErr w:type="spellEnd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модульного типу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Конструктив </w:t>
            </w:r>
            <w:proofErr w:type="spellStart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батарей</w:t>
            </w:r>
            <w:proofErr w:type="spellEnd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 модульна архітектура батарейного масиву з можливістю заміни користувачем; вбудований вимикач для захисту батарейного масиву; автоматичне визначення підключених </w:t>
            </w:r>
            <w:proofErr w:type="spellStart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батарей</w:t>
            </w:r>
            <w:proofErr w:type="spellEnd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; моніторинг стану </w:t>
            </w:r>
            <w:proofErr w:type="spellStart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батарей</w:t>
            </w:r>
            <w:proofErr w:type="spellEnd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до рівня модуля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Тип </w:t>
            </w:r>
            <w:proofErr w:type="spellStart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батарей</w:t>
            </w:r>
            <w:proofErr w:type="spellEnd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 герметичні свинцево-кислотні акумуляторні, що не потребують обслуговування (VRLA) з розрахунковим терміном служби 3-5 років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Заряд </w:t>
            </w:r>
            <w:proofErr w:type="spellStart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батарей</w:t>
            </w:r>
            <w:proofErr w:type="spellEnd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 можливість налаштування струму заряду </w:t>
            </w:r>
            <w:proofErr w:type="spellStart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батарей</w:t>
            </w:r>
            <w:proofErr w:type="spellEnd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; температурна компенсація струму заряду </w:t>
            </w:r>
            <w:proofErr w:type="spellStart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батарей</w:t>
            </w:r>
            <w:proofErr w:type="spellEnd"/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Потужність зарядного пристрою – не менше 20% від номінальної потужності ДБЖ при 100% навантаженні; не менше 80% від номінальної потужності ДБЖ при навантаженні до 40%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Панель керування – сенсорний кольоровий РК-дисплей з окремою світлодіодною індикацією стану ДБЖ діагоналлю не менш 4.3”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Можливість видаленого керування і контролю – вбудовані інтерфейси WEB/SNMP, </w:t>
            </w:r>
            <w:proofErr w:type="spellStart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Modbus</w:t>
            </w:r>
            <w:proofErr w:type="spellEnd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вхідні та вихідні "сухі контакти"; наявність вільного </w:t>
            </w:r>
            <w:proofErr w:type="spellStart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слоту</w:t>
            </w:r>
            <w:proofErr w:type="spellEnd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для встановлення додаткових плат керування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Сумісність з ДГУ – наявність функції "плавний старт" (поступове навантаження мережі) з можливістю налаштування; можливість обмеження або відключення заряду </w:t>
            </w:r>
            <w:proofErr w:type="spellStart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батарей</w:t>
            </w:r>
            <w:proofErr w:type="spellEnd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при роботі від генератора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Захист від зворотного струму – вбудована схема </w:t>
            </w:r>
            <w:proofErr w:type="spellStart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back-feed</w:t>
            </w:r>
            <w:proofErr w:type="spellEnd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protection</w:t>
            </w:r>
            <w:proofErr w:type="spellEnd"/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Можливість аварійного відключення – інтерфейс EPO для під'єднання кнопки аварійного відключення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Конструкція ДБЖ – обслуговування та керування з переду ДБЖ; клас захисту корпусу ДБЖ не менше IP20; наявність змінних пилозахисних фільтрів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Рівень акустичного шуму – не більше 54 </w:t>
            </w:r>
            <w:proofErr w:type="spellStart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дБ</w:t>
            </w:r>
            <w:proofErr w:type="spellEnd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(А) при 100% навантаженні на відстані 1 м від поверхні пристрою 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Робочий діапазон температур – не гірше 0-40°C у всіх режимах роботи без зниження номінальних технічних характеристик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Розміри (</w:t>
            </w:r>
            <w:proofErr w:type="spellStart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ВхШхГ</w:t>
            </w:r>
            <w:proofErr w:type="spellEnd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) – не більше 1970x550x850 мм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Вага без батарейних модулів – не більше 250 кг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Пуско</w:t>
            </w:r>
            <w:proofErr w:type="spellEnd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-налагоджувальні роботи – обов'язково виконуються інженером сертифікованим виробником. 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Учасник повинен надати сертифікат (копію сертифікату) такого спеціаліста та лист-підтвердження від виробника, що в разі перемоги Учасника у цих торгах, виробник, згоден виконати пусконалагоджувальні роботи.</w:t>
            </w:r>
          </w:p>
        </w:tc>
      </w:tr>
      <w:tr w:rsidR="003E46F1" w:rsidRPr="009A017C" w:rsidTr="00D26DE6">
        <w:trPr>
          <w:tblHeader/>
        </w:trPr>
        <w:tc>
          <w:tcPr>
            <w:tcW w:w="5000" w:type="pct"/>
            <w:tcMar>
              <w:left w:w="28" w:type="dxa"/>
              <w:right w:w="28" w:type="dxa"/>
            </w:tcMar>
            <w:vAlign w:val="center"/>
          </w:tcPr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r w:rsidRPr="009A017C"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  <w:lastRenderedPageBreak/>
              <w:t xml:space="preserve">Блок розподілу живлення – 4 </w:t>
            </w:r>
            <w:proofErr w:type="spellStart"/>
            <w:r w:rsidRPr="009A017C"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  <w:t>шт</w:t>
            </w:r>
            <w:proofErr w:type="spellEnd"/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Номінальна напруга – 230 В (1 фаза), номінальний струм – не менше 16А;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Вертикальний монтаж без інструментів без зайняття U позицій в шафі;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Вихідні роз’єми IEC 320 C13 – не менше 20 штук, IEC 320 C19 – не менше 4 штук;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Вхідний роз’єм – IEC320 C20 з довжиною кабелю не менше 3 м;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Наявність в комплекті монтажних кронштейнів та кронштейнів для фіксації кабелів;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Відповідність вимогам стандартів CE, GOST, IRAM, VDE, </w:t>
            </w:r>
            <w:proofErr w:type="spellStart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RoHS</w:t>
            </w:r>
            <w:proofErr w:type="spellEnd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, REACH, PEP, EOLI.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Встановлення обладнання на місці експлуатації, яке передбачає: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Планування та координацію виконання послуг з представниками Замовника, включно перевірку необхідних умов, узгодження часу виконання, проведення попередньої консультації для уточнення потреб Замовника, складання плану встановлення.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Встановлення шаф на призначені місця, монтаж у шафи блоків розподілу живлення.</w:t>
            </w:r>
          </w:p>
        </w:tc>
      </w:tr>
      <w:tr w:rsidR="003E46F1" w:rsidRPr="009A017C" w:rsidTr="00D26DE6">
        <w:trPr>
          <w:tblHeader/>
        </w:trPr>
        <w:tc>
          <w:tcPr>
            <w:tcW w:w="5000" w:type="pct"/>
            <w:tcMar>
              <w:left w:w="28" w:type="dxa"/>
              <w:right w:w="28" w:type="dxa"/>
            </w:tcMar>
            <w:vAlign w:val="center"/>
          </w:tcPr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r w:rsidRPr="009A017C"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  <w:t>Шафа металева – 1 шт.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Тип монтажу – зовнішній монтаж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Можливість блокування – обов'язково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Матеріал – сталь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Глибина занурення – 200 мм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Глибина встановленого виробу – 200 мм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Внутрішня глибина – 200 мм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Висота встановленого виробу – 350 мм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Ширина встановленого виробу – 300 мм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Ширина в модулях – 10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Товщина матеріалу бічної поверхні – не менше 2 мм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Кількість рядів щита – 2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Клас захисту – не гірше I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Захисне виконання ІР – не гірше IP65</w:t>
            </w:r>
          </w:p>
        </w:tc>
      </w:tr>
      <w:tr w:rsidR="003E46F1" w:rsidRPr="009A017C" w:rsidTr="00D26DE6">
        <w:trPr>
          <w:tblHeader/>
        </w:trPr>
        <w:tc>
          <w:tcPr>
            <w:tcW w:w="5000" w:type="pct"/>
            <w:tcMar>
              <w:left w:w="28" w:type="dxa"/>
              <w:right w:w="28" w:type="dxa"/>
            </w:tcMar>
            <w:vAlign w:val="center"/>
          </w:tcPr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r w:rsidRPr="009A017C"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  <w:lastRenderedPageBreak/>
              <w:t>Анкер – 4 шт.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Матеріал - сталь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Покриття - цинк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Довжина – 120 мм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Товщина матеріалу, що закріплюється – не менш ніж до 75 мм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Діаметр – 6 мм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Діаметр отвору – 8 мм</w:t>
            </w:r>
          </w:p>
        </w:tc>
      </w:tr>
      <w:tr w:rsidR="003E46F1" w:rsidRPr="009A017C" w:rsidTr="00D26DE6">
        <w:trPr>
          <w:tblHeader/>
        </w:trPr>
        <w:tc>
          <w:tcPr>
            <w:tcW w:w="5000" w:type="pct"/>
            <w:tcMar>
              <w:left w:w="28" w:type="dxa"/>
              <w:right w:w="28" w:type="dxa"/>
            </w:tcMar>
            <w:vAlign w:val="center"/>
          </w:tcPr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r w:rsidRPr="009A017C"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  <w:t>Блок для модульних апаратів – 1 шт.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Матеріал – сталь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Покриття – цинк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Висота встановленого виробу – 350 мм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Ширина встановленого виробу – 300 мм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Кількість рядів щита – 2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Клас захисту –  не гірше I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Захисне виконання ІР – не гірше IP30</w:t>
            </w:r>
          </w:p>
        </w:tc>
      </w:tr>
      <w:tr w:rsidR="003E46F1" w:rsidRPr="009A017C" w:rsidTr="00D26DE6">
        <w:trPr>
          <w:tblHeader/>
        </w:trPr>
        <w:tc>
          <w:tcPr>
            <w:tcW w:w="5000" w:type="pct"/>
            <w:tcMar>
              <w:left w:w="28" w:type="dxa"/>
              <w:right w:w="28" w:type="dxa"/>
            </w:tcMar>
            <w:vAlign w:val="center"/>
          </w:tcPr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r w:rsidRPr="009A017C"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  <w:t xml:space="preserve">Блок </w:t>
            </w:r>
            <w:proofErr w:type="spellStart"/>
            <w:r w:rsidRPr="009A017C"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  <w:t>розгалужуючий</w:t>
            </w:r>
            <w:proofErr w:type="spellEnd"/>
            <w:r w:rsidRPr="009A017C"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  <w:t xml:space="preserve"> – 5 шт.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Номінальний струм - 125А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Кількість полюсів – 1P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Глибина встановленого виробу – 50 мм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Висота встановленого виробу – 95 мм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Ширина встановленого виробу – 45 мм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Ввід – 1х35мм</w:t>
            </w:r>
            <w:r w:rsidRPr="009A017C">
              <w:rPr>
                <w:rFonts w:ascii="Times New Roman" w:hAnsi="Times New Roman"/>
                <w:sz w:val="20"/>
                <w:szCs w:val="20"/>
                <w:vertAlign w:val="superscript"/>
                <w:lang w:val="uk-UA"/>
              </w:rPr>
              <w:t>2</w:t>
            </w: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+ 1х16мм</w:t>
            </w:r>
            <w:r w:rsidRPr="009A017C">
              <w:rPr>
                <w:rFonts w:ascii="Times New Roman" w:hAnsi="Times New Roman"/>
                <w:sz w:val="20"/>
                <w:szCs w:val="20"/>
                <w:vertAlign w:val="superscript"/>
                <w:lang w:val="uk-UA"/>
              </w:rPr>
              <w:t>2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Вихід – 6х16 мм</w:t>
            </w:r>
            <w:r w:rsidRPr="009A017C">
              <w:rPr>
                <w:rFonts w:ascii="Times New Roman" w:hAnsi="Times New Roman"/>
                <w:sz w:val="20"/>
                <w:szCs w:val="20"/>
                <w:vertAlign w:val="superscript"/>
                <w:lang w:val="uk-UA"/>
              </w:rPr>
              <w:t>2</w:t>
            </w:r>
          </w:p>
        </w:tc>
      </w:tr>
      <w:tr w:rsidR="003E46F1" w:rsidRPr="009A017C" w:rsidTr="00D26DE6">
        <w:trPr>
          <w:tblHeader/>
        </w:trPr>
        <w:tc>
          <w:tcPr>
            <w:tcW w:w="5000" w:type="pct"/>
            <w:tcMar>
              <w:left w:w="28" w:type="dxa"/>
              <w:right w:w="28" w:type="dxa"/>
            </w:tcMar>
            <w:vAlign w:val="center"/>
          </w:tcPr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r w:rsidRPr="009A017C"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  <w:t>Автоматичний вимикач 3P 10kA C-40A 3M -1 шт.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Мережа: 3-фазна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Підключення: 3P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Номінальний струм: 40 А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Характеристика спрацьовування: C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Розрахункове напруження, </w:t>
            </w:r>
            <w:proofErr w:type="spellStart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Un</w:t>
            </w:r>
            <w:proofErr w:type="spellEnd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: 400В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Мінімальна розрахункове напруження, AC / DC: 12В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Номінальна </w:t>
            </w:r>
            <w:proofErr w:type="spellStart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вимикаюча</w:t>
            </w:r>
            <w:proofErr w:type="spellEnd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здатність (</w:t>
            </w:r>
            <w:proofErr w:type="spellStart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In</w:t>
            </w:r>
            <w:proofErr w:type="spellEnd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): 10 кА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Індикація положення контактів через оглядове вікно (червоний / зелений): обов'язкова наявність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Функції: захист від короткого замикання, захист від теплового перевантаження</w:t>
            </w:r>
          </w:p>
        </w:tc>
      </w:tr>
      <w:tr w:rsidR="003E46F1" w:rsidRPr="009A017C" w:rsidTr="00D26DE6">
        <w:trPr>
          <w:tblHeader/>
        </w:trPr>
        <w:tc>
          <w:tcPr>
            <w:tcW w:w="5000" w:type="pct"/>
            <w:tcMar>
              <w:left w:w="28" w:type="dxa"/>
              <w:right w:w="28" w:type="dxa"/>
            </w:tcMar>
            <w:vAlign w:val="center"/>
          </w:tcPr>
          <w:p w:rsidR="003E46F1" w:rsidRPr="009A017C" w:rsidRDefault="003E46F1" w:rsidP="00D26DE6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uk-UA"/>
              </w:rPr>
            </w:pPr>
            <w:r w:rsidRPr="009A017C"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  <w:t xml:space="preserve">Автоматичний вимикач 3P 10kA C-32A 3M – 1 шт. 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Кількість захищених полюсів: 3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Кількість полюсів: 3 P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Тип монтажу: DIN-рейка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Крива: C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Тип напруги </w:t>
            </w:r>
            <w:proofErr w:type="spellStart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живлиння</w:t>
            </w:r>
            <w:proofErr w:type="spellEnd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: AC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Номінальна робоча напруга змінного струму: 400 В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Номінальна напруга ізоляції: 500 В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Стійкість по відношенню до номінальної імпульсної напруги: 6000 В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Максимальна </w:t>
            </w:r>
            <w:proofErr w:type="spellStart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відключаюча</w:t>
            </w:r>
            <w:proofErr w:type="spellEnd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здатність </w:t>
            </w:r>
            <w:proofErr w:type="spellStart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Icu</w:t>
            </w:r>
            <w:proofErr w:type="spellEnd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для 400В (EN 60947-2): 15 кА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Значення струму короткого замикання 400 В 50 </w:t>
            </w:r>
            <w:proofErr w:type="spellStart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Гц</w:t>
            </w:r>
            <w:proofErr w:type="spellEnd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: 10 кА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Номінальна </w:t>
            </w:r>
            <w:proofErr w:type="spellStart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відключаюча</w:t>
            </w:r>
            <w:proofErr w:type="spellEnd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здатність згідно з EN 60898: 7,5 кА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Потужність короткого замикання 400 В 50 </w:t>
            </w:r>
            <w:proofErr w:type="spellStart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Гц</w:t>
            </w:r>
            <w:proofErr w:type="spellEnd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згідно IEC 947.2: 7,5 кА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Корегуючий</w:t>
            </w:r>
            <w:proofErr w:type="spellEnd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коефіціент</w:t>
            </w:r>
            <w:proofErr w:type="spellEnd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магнітного </w:t>
            </w:r>
            <w:proofErr w:type="spellStart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розчеплювача</w:t>
            </w:r>
            <w:proofErr w:type="spellEnd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при 60 </w:t>
            </w:r>
            <w:proofErr w:type="spellStart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Гц</w:t>
            </w:r>
            <w:proofErr w:type="spellEnd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: 1,1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Коефіцієнт корекції струму для 3-х пристроїв, розташованих поруч: 0,95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Розсіювана</w:t>
            </w:r>
            <w:proofErr w:type="spellEnd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потужність з розрахунку на кожний полюс: 4,22 Вт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Максимальна втрата потужності на полюс відповідно до стандарту виробу: 6 Вт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Загальна </w:t>
            </w:r>
            <w:proofErr w:type="spellStart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розсіювана</w:t>
            </w:r>
            <w:proofErr w:type="spellEnd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потужність під номінальним струмом: 12,3 Вт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Електрична тривкість кількості циклів: 4000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Кількість механічних процесів: 20000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Глибина встановленого виробу: 70 мм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Висота встановленого виробу: 83 мм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Ширина встановленого виробу: 52,5 мм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Підходить для вбудованого монтажу: так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Можливість приєднання додаткового обладнання: так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Захисне виконання ІР: IP20</w:t>
            </w:r>
          </w:p>
        </w:tc>
      </w:tr>
      <w:tr w:rsidR="003E46F1" w:rsidRPr="009A017C" w:rsidTr="00D26DE6">
        <w:trPr>
          <w:tblHeader/>
        </w:trPr>
        <w:tc>
          <w:tcPr>
            <w:tcW w:w="5000" w:type="pct"/>
            <w:tcMar>
              <w:left w:w="28" w:type="dxa"/>
              <w:right w:w="28" w:type="dxa"/>
            </w:tcMar>
            <w:vAlign w:val="center"/>
          </w:tcPr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r w:rsidRPr="009A017C"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  <w:lastRenderedPageBreak/>
              <w:t>Автоматичний вимикач 1P 10kA C-16A 1M – 3 шт.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Мережа: 1-фазна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Підключення: 1P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Номінальний струм: 16А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Характеристика спрацьовування: C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Розрахункове напруження: 230В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Максимальне розрахункове напруження, DC: 60В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Мінімальна розрахункове напруження, AC / DC: 12В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Номінальна відключає здатність (</w:t>
            </w:r>
            <w:proofErr w:type="spellStart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In</w:t>
            </w:r>
            <w:proofErr w:type="spellEnd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): 10кА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Індикація положення контактів через оглядове вікно (червоний / зелений): обов'язкова наявність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Функції: захист від короткого замикання, захист від теплового перевантаження</w:t>
            </w:r>
          </w:p>
        </w:tc>
      </w:tr>
      <w:tr w:rsidR="003E46F1" w:rsidRPr="009A017C" w:rsidTr="00D26DE6">
        <w:trPr>
          <w:tblHeader/>
        </w:trPr>
        <w:tc>
          <w:tcPr>
            <w:tcW w:w="5000" w:type="pct"/>
            <w:tcMar>
              <w:left w:w="28" w:type="dxa"/>
              <w:right w:w="28" w:type="dxa"/>
            </w:tcMar>
            <w:vAlign w:val="center"/>
          </w:tcPr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r w:rsidRPr="009A017C"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  <w:t>Додаткове обладнання для підключення ДБЖ до електромережі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Кабель </w:t>
            </w:r>
            <w:proofErr w:type="spellStart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ВВГнг</w:t>
            </w:r>
            <w:proofErr w:type="spellEnd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3х10 – 40 м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Кабель </w:t>
            </w:r>
            <w:proofErr w:type="spellStart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ВВГнг</w:t>
            </w:r>
            <w:proofErr w:type="spellEnd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3х2,5 – 40 м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Провід ПВ-3 </w:t>
            </w:r>
            <w:proofErr w:type="spellStart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нгд</w:t>
            </w:r>
            <w:proofErr w:type="spellEnd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16 білий ЗЗЦМ – 60 м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Провід ПВ-3 </w:t>
            </w:r>
            <w:proofErr w:type="spellStart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нгд</w:t>
            </w:r>
            <w:proofErr w:type="spellEnd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10 білий ЗЗЦМ – 50 м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Штекер </w:t>
            </w:r>
            <w:proofErr w:type="spellStart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FreeEnd</w:t>
            </w:r>
            <w:proofErr w:type="spellEnd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-IEC(C19) – 4 шт.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Короб 140х60 мм - 2 м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Саморiз</w:t>
            </w:r>
            <w:proofErr w:type="spellEnd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по деревині 3,5x35 мм – 100 шт.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Дюбель 6х35 – 100 шт.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Стяжка 3,6x203 мм – 200 шт.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Лоток сітчастий 150х50 мм з проволоки діаметром 4 мм, покриття білий цинк, 2,5м – 7 шт.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Пластина центрального підвісу під шпильку М8-М10 для дротяного лотка – 40 шт.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Елемент повороту сітчастого лотка діаметром 4 мм (просвіт 17,5мм, товщина 1 мм), оцинкований – 20 шт.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Сполучний елемент сітчастого лотка 25 мм типу "Метелик" оцинкований – 30 шт.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Універсальний кронштейн типу "Краб" для сітчастого лотка оцинкований – 10 шт.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Нарiзна</w:t>
            </w:r>
            <w:proofErr w:type="spellEnd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шпилька М8 довжиною 1 м – 10 шт.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Гайка M8 з </w:t>
            </w:r>
            <w:proofErr w:type="spellStart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насiчкою</w:t>
            </w:r>
            <w:proofErr w:type="spellEnd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 50 шт.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proofErr w:type="spellStart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Розпiрна</w:t>
            </w:r>
            <w:proofErr w:type="spellEnd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втулка М8 (AM8) – 30 шт.</w:t>
            </w:r>
          </w:p>
        </w:tc>
      </w:tr>
      <w:tr w:rsidR="003E46F1" w:rsidRPr="009A017C" w:rsidTr="00D26DE6">
        <w:trPr>
          <w:tblHeader/>
        </w:trPr>
        <w:tc>
          <w:tcPr>
            <w:tcW w:w="5000" w:type="pct"/>
            <w:tcMar>
              <w:left w:w="28" w:type="dxa"/>
              <w:right w:w="28" w:type="dxa"/>
            </w:tcMar>
            <w:vAlign w:val="center"/>
          </w:tcPr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Встановлення та запуск обладнання на місці експлуатації, яке передбачає: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Планування та координацію виконання послуг з представниками Замовника, включно перевірку необхідних умов, узгодження часу виконання, проведення попередньої консультації для уточнення потреб Замовника, складання плану встановлення.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Встановлення та розгортання рішення, включно встановлення джерела безперебійного живлення та батарейних блоків у шафи, монтаж та підключення вхідного автоматичного вимикача, підключення джерела безперебійного живлення до електромережі, підключення батарейних блоків до джерела безперебійного живлення, перший запуск обладнання, тестування системи в цілому під навантаженням при вимкненні електроживлення, підключення мережевого інтерфейсу системи до мережі Замовника, встановлення засобів моніторингу системи на обладнання Замовника, підключення до системи серверних компонентів згідно плану.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Заключна сесія з орієнтування Замовника, включно демонстрацію основних операцій; надання інформації щодо можливостей гарантійного обслуговування та як звернутися до системи технічної підтримки виробника, надання відповідей на оперативні запитання.</w:t>
            </w:r>
          </w:p>
        </w:tc>
      </w:tr>
    </w:tbl>
    <w:p w:rsidR="003E46F1" w:rsidRPr="009A017C" w:rsidRDefault="003E46F1" w:rsidP="003E46F1">
      <w:pPr>
        <w:rPr>
          <w:rFonts w:ascii="Times New Roman" w:hAnsi="Times New Roman"/>
          <w:b/>
          <w:sz w:val="20"/>
          <w:szCs w:val="20"/>
          <w:lang w:val="uk-UA"/>
        </w:rPr>
      </w:pPr>
    </w:p>
    <w:p w:rsidR="003E46F1" w:rsidRPr="009A017C" w:rsidRDefault="003E46F1" w:rsidP="003E46F1">
      <w:pPr>
        <w:rPr>
          <w:rFonts w:ascii="Times New Roman" w:hAnsi="Times New Roman"/>
          <w:b/>
          <w:sz w:val="20"/>
          <w:szCs w:val="20"/>
          <w:lang w:val="uk-UA"/>
        </w:rPr>
      </w:pPr>
      <w:r w:rsidRPr="009A017C">
        <w:rPr>
          <w:rFonts w:ascii="Times New Roman" w:hAnsi="Times New Roman"/>
          <w:b/>
          <w:sz w:val="20"/>
          <w:szCs w:val="20"/>
          <w:lang w:val="uk-UA"/>
        </w:rPr>
        <w:t xml:space="preserve">3) Комплект додаткових батарейних модулів для ДБЖ APC </w:t>
      </w:r>
      <w:proofErr w:type="spellStart"/>
      <w:r w:rsidRPr="009A017C">
        <w:rPr>
          <w:rFonts w:ascii="Times New Roman" w:hAnsi="Times New Roman"/>
          <w:b/>
          <w:sz w:val="20"/>
          <w:szCs w:val="20"/>
          <w:lang w:val="uk-UA"/>
        </w:rPr>
        <w:t>Symmetra</w:t>
      </w:r>
      <w:proofErr w:type="spellEnd"/>
      <w:r w:rsidRPr="009A017C">
        <w:rPr>
          <w:rFonts w:ascii="Times New Roman" w:hAnsi="Times New Roman"/>
          <w:b/>
          <w:sz w:val="20"/>
          <w:szCs w:val="20"/>
          <w:lang w:val="uk-UA"/>
        </w:rPr>
        <w:t xml:space="preserve"> у шафі з блоками розподілу живлення – 1 шт.</w:t>
      </w:r>
    </w:p>
    <w:tbl>
      <w:tblPr>
        <w:tblW w:w="52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bottom w:w="57" w:type="dxa"/>
        </w:tblCellMar>
        <w:tblLook w:val="0000" w:firstRow="0" w:lastRow="0" w:firstColumn="0" w:lastColumn="0" w:noHBand="0" w:noVBand="0"/>
      </w:tblPr>
      <w:tblGrid>
        <w:gridCol w:w="10101"/>
      </w:tblGrid>
      <w:tr w:rsidR="003E46F1" w:rsidRPr="009A017C" w:rsidTr="00D26DE6">
        <w:trPr>
          <w:trHeight w:val="1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E46F1" w:rsidRPr="009A017C" w:rsidRDefault="003E46F1" w:rsidP="00D26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Вимоги</w:t>
            </w:r>
          </w:p>
        </w:tc>
      </w:tr>
      <w:tr w:rsidR="003E46F1" w:rsidRPr="009A017C" w:rsidTr="00D26DE6">
        <w:trPr>
          <w:trHeight w:val="140"/>
        </w:trPr>
        <w:tc>
          <w:tcPr>
            <w:tcW w:w="5000" w:type="pct"/>
            <w:tcMar>
              <w:left w:w="28" w:type="dxa"/>
              <w:right w:w="28" w:type="dxa"/>
            </w:tcMar>
            <w:vAlign w:val="center"/>
          </w:tcPr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r w:rsidRPr="009A017C"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  <w:t xml:space="preserve">Шафа монтажна – 1 </w:t>
            </w:r>
            <w:proofErr w:type="spellStart"/>
            <w:r w:rsidRPr="009A017C"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  <w:t>шт</w:t>
            </w:r>
            <w:proofErr w:type="spellEnd"/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Розміри, </w:t>
            </w:r>
            <w:proofErr w:type="spellStart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ВхШ</w:t>
            </w:r>
            <w:proofErr w:type="spellEnd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 не більше 1995х600 мм; глибина – не менше 1200 мм;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Кількість монтажних одиниць – не менше 42U;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Максимальна здатність до навантаження – не менше 1700 кг статична, не менше 1000 кг динамічна.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Всі компоненти, що несуть навантаження, повинні бути виготовлені зі сталі товщиною не менше 0,9 мм;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Всі металеві компоненти повинні бути пофарбовані порошковим методом; металеві компоненти шафи монтажної з блоком розподілу живлення (далі – шафа) не повинні мати гальванічне цинкове покриття;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Можливість зняття кришки шафи без інструментів;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Наявність отворів для вводу кабелів по всьому периметру кришки;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Всі краї кабельних отворів повинні бути закругленими або захищеними пластиковими прокладками;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Можливість монтажу без інструментів на кришку шафи аксесуарів для організації силових та / або інформаційних кабельних трас;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Бокові панелі повинні бути поділені на верхні та нижні половини з кожного боку, зніматися без інструментів та мати замки;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Передні двері повинні мати рівень перфорації не менше 69% відкритої площі, кут відкриття не менше 120°, дверну ручку з замком, можливість лівого або правого відкриття, можливість демонтажу дверей без інструментів;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Можливість міняти місцями передні та задні двері;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U-позиції повинні бути пронумеровані з двох боків вертикальних монтажних направляючих;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Можливість регулювання вертикальних монтажних направляючих по глибині шафи.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Наявність в комплекті не менше 2 штук монтажних направляючих для вертикального монтажу без інструментів додаткових 0U-компонентів (блоків розподілення живлення, кабельних </w:t>
            </w:r>
            <w:proofErr w:type="spellStart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органайзерів</w:t>
            </w:r>
            <w:proofErr w:type="spellEnd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та інших);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Наявність в комплекті роликів і ніжок, що регулюються;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Наявність в комплекті деталей для об'єднання шаф в ряди;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Наявність в комплекті не менше 40 монтажних комплектів (гвинт + гайка);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Шафа повинна постачатися повністю зібраною.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Відповідність шафи стандартам: EIA-310-E, UL 2416, UL 60950-1, </w:t>
            </w:r>
            <w:proofErr w:type="spellStart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RoHS</w:t>
            </w:r>
            <w:proofErr w:type="spellEnd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, REACH, PEP, EOLI.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Встановлення обладнання на місці експлуатації, яке передбачає: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Планування та координацію виконання послуг з представниками Замовника, включно перевірку необхідних умов, узгодження часу виконання, проведення попередньої консультації для уточнення потреб Замовника, складання плану встановлення.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Встановлення шафи на призначене місце, монтаж у шафи блоків розподілу живлення.</w:t>
            </w:r>
          </w:p>
        </w:tc>
      </w:tr>
      <w:tr w:rsidR="003E46F1" w:rsidRPr="009A017C" w:rsidTr="00D26DE6">
        <w:trPr>
          <w:trHeight w:val="140"/>
        </w:trPr>
        <w:tc>
          <w:tcPr>
            <w:tcW w:w="5000" w:type="pct"/>
            <w:tcMar>
              <w:left w:w="28" w:type="dxa"/>
              <w:right w:w="28" w:type="dxa"/>
            </w:tcMar>
            <w:vAlign w:val="center"/>
          </w:tcPr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r w:rsidRPr="009A017C"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  <w:lastRenderedPageBreak/>
              <w:t xml:space="preserve">Блок розподілу живлення – 2 </w:t>
            </w:r>
            <w:proofErr w:type="spellStart"/>
            <w:r w:rsidRPr="009A017C"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  <w:t>шт</w:t>
            </w:r>
            <w:proofErr w:type="spellEnd"/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Номінальна напруга – 230 В (1 фаза), номінальний струм – не менше 16А;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Вертикальний монтаж без інструментів без зайняття U позицій в шафі;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Вихідні роз’єми IEC 320 C13 – не менше 20 штук, IEC 320 C19 – не менше 4 штук;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Вхідний роз’єм – IEC320 C20 з довжиною кабелю не менше 3 м;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Наявність в комплекті монтажних кронштейнів та кронштейнів для фіксації кабелів;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Відповідність вимогам стандартів CE, GOST, IRAM, VDE, </w:t>
            </w:r>
            <w:proofErr w:type="spellStart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RoHS</w:t>
            </w:r>
            <w:proofErr w:type="spellEnd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, REACH, PEP, EOLI.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Встановлення обладнання на місці експлуатації, яке передбачає: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Планування та координацію виконання послуг з представниками Замовника, включно перевірку необхідних умов, узгодження часу виконання, проведення попередньої консультації для уточнення потреб Замовника, складання плану встановлення.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Встановлення шаф на призначені місця, монтаж у шафи блоків розподілу живлення.</w:t>
            </w:r>
          </w:p>
        </w:tc>
      </w:tr>
      <w:tr w:rsidR="003E46F1" w:rsidRPr="009A017C" w:rsidTr="00D26DE6">
        <w:trPr>
          <w:trHeight w:val="140"/>
        </w:trPr>
        <w:tc>
          <w:tcPr>
            <w:tcW w:w="5000" w:type="pct"/>
            <w:tcMar>
              <w:left w:w="28" w:type="dxa"/>
              <w:right w:w="28" w:type="dxa"/>
            </w:tcMar>
            <w:vAlign w:val="center"/>
          </w:tcPr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r w:rsidRPr="009A017C"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  <w:t>Зовнішні батарейні блоки - 2 шт.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Повна сумісність з наявним у замовника </w:t>
            </w:r>
            <w:r w:rsidRPr="009A017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Джерелом безперебійного живлення APC </w:t>
            </w:r>
            <w:proofErr w:type="spellStart"/>
            <w:r w:rsidRPr="009A017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Symmetra</w:t>
            </w:r>
            <w:proofErr w:type="spellEnd"/>
            <w:r w:rsidRPr="009A017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LX (SYA16K16RMI)</w:t>
            </w: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Конструктивне виконання – для монтажу в апаратурні </w:t>
            </w:r>
            <w:proofErr w:type="spellStart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стійки</w:t>
            </w:r>
            <w:proofErr w:type="spellEnd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або шафи стандарту 19”, монтажна висота не більше 13U, глибина не більше 686 мм, монтажні рейки в комплекті постачання;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Можливість резервування рівня N+1;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Незалежне резервування модулів – вихід з ладу одного з модулів не повинен призводити до відключення або зниження рівня резервування модулів іншого типу;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Можливість заміни батарейних модулів обслуговуючим персоналом в «гарячому» режимі, без зупинки роботи ДБЖ або переведення його в режим </w:t>
            </w:r>
            <w:proofErr w:type="spellStart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байпаса</w:t>
            </w:r>
            <w:proofErr w:type="spellEnd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;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При заміні модулі повинні автоматично визначатися в системі без додаткових налаштувань.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Наявність захисних запобіжників та вбудованого вимикача в кожному батарейному модулі;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Тип </w:t>
            </w:r>
            <w:proofErr w:type="spellStart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батарей</w:t>
            </w:r>
            <w:proofErr w:type="spellEnd"/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 герметичні свинцево-кислотні акумуляторні, що не потребують обслуговування, з розрахунковим терміном служби не менше 3 років;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Робочий діапазон температур – не гірше 0 - 40 °C;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Батарейні блоки повинні бути повністю сумісні з ДБЖ, в тому числі підтримувати можливість діагностики стану батарейного блоку до рівня модуля через інтерфейс ДБЖ;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Батарейні блоки повинні бути модульної конструкції та укомплектовані батарейними модулями, повністю аналогічними батарейним модулям ДБЖ;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trike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Наявність захисних запобіжників та вбудованого вимикача в кожному батарейному модулі;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Батарейні блоки повинні мати вбудовані кабелі з роз'ємами для підключення до ДБЖ;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Встановлення та запуск обладнання на місці експлуатації, яке передбачає: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Планування та координацію виконання послуг з представниками Замовника, включно перевірку необхідних умов, узгодження часу виконання, проведення попередньої консультації для уточнення потреб Замовника, складання плану встановлення.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Встановлення та розгортання рішення, включно встановлення батарейних блоків у шафи, підключення батарейних блоків до джерела безперебійного живлення, перший запуск обладнання, тестування системи в цілому під навантаженням при вимкненні електроживлення.</w:t>
            </w:r>
          </w:p>
          <w:p w:rsidR="003E46F1" w:rsidRPr="009A017C" w:rsidRDefault="003E46F1" w:rsidP="00D2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017C">
              <w:rPr>
                <w:rFonts w:ascii="Times New Roman" w:hAnsi="Times New Roman"/>
                <w:sz w:val="20"/>
                <w:szCs w:val="20"/>
                <w:lang w:val="uk-UA"/>
              </w:rPr>
              <w:t>Заключна сесія з орієнтування Замовника, включно демонстрацію основних операцій; надання інформації щодо можливостей гарантійного обслуговування та як звернутися до системи технічної підтримки виробника, надання відповідей на оперативні запитання.</w:t>
            </w:r>
          </w:p>
        </w:tc>
      </w:tr>
    </w:tbl>
    <w:p w:rsidR="003E46F1" w:rsidRPr="009A017C" w:rsidRDefault="003E46F1" w:rsidP="003E46F1">
      <w:pPr>
        <w:rPr>
          <w:lang w:val="uk-UA"/>
        </w:rPr>
      </w:pPr>
    </w:p>
    <w:p w:rsidR="003E46F1" w:rsidRPr="009A017C" w:rsidRDefault="003E46F1" w:rsidP="003E46F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9A017C">
        <w:rPr>
          <w:rFonts w:ascii="Times New Roman" w:hAnsi="Times New Roman"/>
          <w:b/>
          <w:sz w:val="24"/>
          <w:szCs w:val="24"/>
          <w:lang w:val="uk-UA" w:eastAsia="uk-UA"/>
        </w:rPr>
        <w:br w:type="page"/>
      </w:r>
    </w:p>
    <w:p w:rsidR="003E46F1" w:rsidRPr="003E46F1" w:rsidRDefault="003E46F1" w:rsidP="003E46F1">
      <w:pPr>
        <w:shd w:val="clear" w:color="auto" w:fill="FFFFFF"/>
        <w:spacing w:after="150" w:line="240" w:lineRule="auto"/>
        <w:ind w:firstLine="450"/>
        <w:jc w:val="center"/>
        <w:rPr>
          <w:rFonts w:ascii="Times New Roman" w:eastAsia="Calibri" w:hAnsi="Times New Roman" w:cs="Times New Roman"/>
          <w:b/>
          <w:bCs/>
          <w:caps/>
          <w:color w:val="000000"/>
          <w:sz w:val="24"/>
          <w:szCs w:val="24"/>
          <w:shd w:val="clear" w:color="auto" w:fill="FFFFFF"/>
        </w:rPr>
      </w:pPr>
      <w:r w:rsidRPr="003E46F1">
        <w:rPr>
          <w:rFonts w:ascii="Times New Roman" w:eastAsia="Calibri" w:hAnsi="Times New Roman" w:cs="Times New Roman"/>
          <w:b/>
          <w:bCs/>
          <w:caps/>
          <w:color w:val="000000"/>
          <w:sz w:val="24"/>
          <w:szCs w:val="24"/>
          <w:shd w:val="clear" w:color="auto" w:fill="FFFFFF"/>
        </w:rPr>
        <w:lastRenderedPageBreak/>
        <w:t>Announcement</w:t>
      </w:r>
    </w:p>
    <w:p w:rsidR="003E46F1" w:rsidRPr="003E46F1" w:rsidRDefault="003E46F1" w:rsidP="003E46F1">
      <w:pPr>
        <w:shd w:val="clear" w:color="auto" w:fill="FFFFFF"/>
        <w:spacing w:after="150" w:line="240" w:lineRule="auto"/>
        <w:ind w:firstLine="45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3E46F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of open tendering</w:t>
      </w:r>
    </w:p>
    <w:p w:rsidR="003E46F1" w:rsidRPr="003E46F1" w:rsidRDefault="003E46F1" w:rsidP="003E46F1">
      <w:pPr>
        <w:tabs>
          <w:tab w:val="left" w:pos="489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46F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1. Name of customer*:</w:t>
      </w:r>
      <w:r w:rsidRPr="003E46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The State Expert Center of the Ministry of Health of Ukraine</w:t>
      </w:r>
    </w:p>
    <w:p w:rsidR="003E46F1" w:rsidRPr="003E46F1" w:rsidRDefault="003E46F1" w:rsidP="003E46F1">
      <w:pPr>
        <w:shd w:val="clear" w:color="auto" w:fill="FFFFFF"/>
        <w:spacing w:before="240" w:after="15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bookmarkStart w:id="2" w:name="n44"/>
      <w:bookmarkEnd w:id="2"/>
      <w:r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  <w:t xml:space="preserve">      </w:t>
      </w:r>
      <w:r w:rsidRPr="003E46F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2. Identification code (EDRPOU): </w:t>
      </w:r>
      <w:r w:rsidRPr="003E46F1">
        <w:rPr>
          <w:rFonts w:ascii="Times New Roman" w:eastAsia="Calibri" w:hAnsi="Times New Roman" w:cs="Times New Roman"/>
          <w:sz w:val="24"/>
          <w:szCs w:val="24"/>
          <w:lang w:eastAsia="ru-RU"/>
        </w:rPr>
        <w:t>20015794.</w:t>
      </w:r>
    </w:p>
    <w:p w:rsidR="003E46F1" w:rsidRPr="003E46F1" w:rsidRDefault="003E46F1" w:rsidP="003E46F1">
      <w:pPr>
        <w:spacing w:after="0" w:line="240" w:lineRule="auto"/>
        <w:ind w:firstLine="426"/>
        <w:contextualSpacing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bookmarkStart w:id="3" w:name="n45"/>
      <w:bookmarkEnd w:id="3"/>
      <w:r w:rsidRPr="003E46F1">
        <w:rPr>
          <w:rFonts w:ascii="Times New Roman" w:eastAsia="Calibri" w:hAnsi="Times New Roman" w:cs="Times New Roman"/>
          <w:color w:val="000000"/>
          <w:sz w:val="24"/>
          <w:szCs w:val="24"/>
        </w:rPr>
        <w:t>3. Customer’s location *:</w:t>
      </w:r>
      <w:r w:rsidRPr="003E46F1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 14, Anton </w:t>
      </w:r>
      <w:proofErr w:type="spellStart"/>
      <w:r w:rsidRPr="003E46F1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Tsedik</w:t>
      </w:r>
      <w:proofErr w:type="spellEnd"/>
      <w:r w:rsidRPr="003E46F1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 St., 03057, Kyiv, Ukraine.</w:t>
      </w:r>
    </w:p>
    <w:p w:rsidR="003E46F1" w:rsidRPr="003E46F1" w:rsidRDefault="003E46F1" w:rsidP="003E46F1">
      <w:pPr>
        <w:shd w:val="clear" w:color="auto" w:fill="FFFFFF"/>
        <w:spacing w:before="100" w:beforeAutospacing="1" w:after="100" w:afterAutospacing="1" w:line="240" w:lineRule="auto"/>
        <w:ind w:firstLine="44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</w:pPr>
      <w:bookmarkStart w:id="4" w:name="n46"/>
      <w:bookmarkEnd w:id="4"/>
      <w:r w:rsidRPr="003E46F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4. Customer’s contact person authorized to communicate with bidders.</w:t>
      </w:r>
    </w:p>
    <w:p w:rsidR="003E46F1" w:rsidRPr="003E46F1" w:rsidRDefault="003E46F1" w:rsidP="003E46F1">
      <w:pPr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E4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principal and </w:t>
      </w:r>
      <w:r w:rsidRPr="003E46F1">
        <w:rPr>
          <w:rFonts w:ascii="Times New Roman" w:eastAsia="Calibri" w:hAnsi="Times New Roman" w:cs="Times New Roman"/>
          <w:sz w:val="24"/>
          <w:szCs w:val="24"/>
        </w:rPr>
        <w:t xml:space="preserve">additional contact </w:t>
      </w:r>
      <w:proofErr w:type="gramStart"/>
      <w:r w:rsidRPr="003E46F1">
        <w:rPr>
          <w:rFonts w:ascii="Times New Roman" w:eastAsia="Calibri" w:hAnsi="Times New Roman" w:cs="Times New Roman"/>
          <w:sz w:val="24"/>
          <w:szCs w:val="24"/>
        </w:rPr>
        <w:t>person</w:t>
      </w:r>
      <w:r w:rsidRPr="003E46F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3E46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proofErr w:type="gramEnd"/>
      <w:r w:rsidRPr="003E46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E46F1" w:rsidRPr="003E46F1" w:rsidRDefault="003E46F1" w:rsidP="003E46F1">
      <w:pPr>
        <w:widowControl w:val="0"/>
        <w:suppressAutoHyphens/>
        <w:autoSpaceDE w:val="0"/>
        <w:spacing w:after="0" w:line="240" w:lineRule="auto"/>
        <w:ind w:firstLine="5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E46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Roman </w:t>
      </w:r>
      <w:proofErr w:type="spellStart"/>
      <w:r w:rsidRPr="003E46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Yevgenovych</w:t>
      </w:r>
      <w:proofErr w:type="spellEnd"/>
      <w:r w:rsidRPr="003E46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E46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Yurkovych</w:t>
      </w:r>
      <w:proofErr w:type="spellEnd"/>
      <w:r w:rsidRPr="003E46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Head of the Technical Support Department of Telecommunication Networks</w:t>
      </w:r>
    </w:p>
    <w:p w:rsidR="003E46F1" w:rsidRPr="003E46F1" w:rsidRDefault="003E46F1" w:rsidP="003E46F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E46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tel. +380442021707 </w:t>
      </w:r>
    </w:p>
    <w:p w:rsidR="003E46F1" w:rsidRPr="003E46F1" w:rsidRDefault="003E46F1" w:rsidP="003E46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eastAsia="ru-RU"/>
        </w:rPr>
      </w:pPr>
      <w:r w:rsidRPr="003E46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email: </w:t>
      </w:r>
      <w:hyperlink r:id="rId6" w:history="1">
        <w:r w:rsidRPr="003E46F1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ar-SA"/>
          </w:rPr>
          <w:t>fadmin@dec.gov.ua</w:t>
        </w:r>
      </w:hyperlink>
    </w:p>
    <w:p w:rsidR="003E46F1" w:rsidRPr="003E46F1" w:rsidRDefault="003E46F1" w:rsidP="003E46F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3E46F1" w:rsidRPr="003E46F1" w:rsidRDefault="003E46F1" w:rsidP="003E46F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bookmarkStart w:id="5" w:name="n307"/>
      <w:bookmarkEnd w:id="5"/>
      <w:r w:rsidRPr="003E46F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4</w:t>
      </w:r>
      <w:r w:rsidRPr="003E46F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-1</w:t>
      </w:r>
      <w:r w:rsidRPr="003E46F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. Type of procurement </w:t>
      </w:r>
      <w:bookmarkStart w:id="6" w:name="n47"/>
      <w:bookmarkEnd w:id="6"/>
      <w:r w:rsidRPr="003E46F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item: </w:t>
      </w:r>
      <w:r w:rsidRPr="003E46F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product.</w:t>
      </w:r>
    </w:p>
    <w:p w:rsidR="003E46F1" w:rsidRPr="003E46F1" w:rsidRDefault="003E46F1" w:rsidP="003E46F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E46F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5. The specific name of the procurement item:</w:t>
      </w:r>
      <w:r w:rsidRPr="003E46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bookmarkStart w:id="7" w:name="n48"/>
      <w:bookmarkEnd w:id="7"/>
      <w:r w:rsidRPr="003E46F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Ballasts for discharge lamps </w:t>
      </w:r>
    </w:p>
    <w:p w:rsidR="003E46F1" w:rsidRPr="003E46F1" w:rsidRDefault="003E46F1" w:rsidP="003E46F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E46F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or tubes (Uninterruptible power supply)</w:t>
      </w:r>
    </w:p>
    <w:p w:rsidR="003E46F1" w:rsidRPr="003E46F1" w:rsidRDefault="003E46F1" w:rsidP="003E46F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E46F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(DK 021: 2015 - 31150000-2 - Ballasts for discharge lamps or tubes.)</w:t>
      </w:r>
    </w:p>
    <w:p w:rsidR="003E46F1" w:rsidRPr="003E46F1" w:rsidRDefault="003E46F1" w:rsidP="003E46F1">
      <w:pPr>
        <w:spacing w:after="0" w:line="240" w:lineRule="auto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</w:pPr>
      <w:r w:rsidRPr="003E46F1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t>Uninterruptible power supply 650VA - 30 pieces;</w:t>
      </w:r>
    </w:p>
    <w:p w:rsidR="003E46F1" w:rsidRPr="003E46F1" w:rsidRDefault="003E46F1" w:rsidP="003E46F1">
      <w:pPr>
        <w:spacing w:after="0" w:line="240" w:lineRule="auto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</w:pPr>
      <w:r w:rsidRPr="003E46F1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t xml:space="preserve">Uninterruptible power supply 20 kW with a set of equipment for connection to the electrical </w:t>
      </w:r>
      <w:proofErr w:type="gramStart"/>
      <w:r w:rsidRPr="003E46F1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t>network  -</w:t>
      </w:r>
      <w:proofErr w:type="gramEnd"/>
      <w:r w:rsidRPr="003E46F1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t xml:space="preserve"> 1 piece,</w:t>
      </w:r>
    </w:p>
    <w:p w:rsidR="003E46F1" w:rsidRPr="003E46F1" w:rsidRDefault="003E46F1" w:rsidP="003E46F1">
      <w:pPr>
        <w:spacing w:after="0" w:line="240" w:lineRule="auto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</w:pPr>
      <w:r w:rsidRPr="003E46F1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t xml:space="preserve">Set of additional battery modules for UPS APC </w:t>
      </w:r>
      <w:proofErr w:type="spellStart"/>
      <w:r w:rsidRPr="003E46F1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t>Symmetra</w:t>
      </w:r>
      <w:proofErr w:type="spellEnd"/>
      <w:r w:rsidRPr="003E46F1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t xml:space="preserve"> in a cabinet with power distribution units - 1 piece.</w:t>
      </w:r>
    </w:p>
    <w:p w:rsidR="003E46F1" w:rsidRPr="003E46F1" w:rsidRDefault="003E46F1" w:rsidP="003E46F1">
      <w:pPr>
        <w:shd w:val="clear" w:color="auto" w:fill="FFFFFF"/>
        <w:spacing w:before="240" w:after="150" w:line="240" w:lineRule="auto"/>
        <w:ind w:firstLine="45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3E46F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6. Codes and titles of the relevant classifiers of the procurement item and parts of the procurement item (lots) (if any code according to State classifier</w:t>
      </w:r>
      <w:r w:rsidRPr="003E46F1"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  <w:t xml:space="preserve"> ДК 021:2015 -</w:t>
      </w:r>
      <w:r w:rsidRPr="003E46F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E46F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31150000-2 Ballasts for discharge lamps or tubes.</w:t>
      </w:r>
    </w:p>
    <w:p w:rsidR="003E46F1" w:rsidRPr="003E46F1" w:rsidRDefault="003E46F1" w:rsidP="003E46F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bookmarkStart w:id="8" w:name="n49"/>
      <w:bookmarkEnd w:id="8"/>
      <w:r w:rsidRPr="003E46F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7. Quantity of the goods or scope of the work or services:</w:t>
      </w:r>
      <w:r w:rsidRPr="003E46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E46F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32 items.</w:t>
      </w:r>
    </w:p>
    <w:p w:rsidR="003E46F1" w:rsidRPr="003E46F1" w:rsidRDefault="003E46F1" w:rsidP="003E46F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bookmarkStart w:id="9" w:name="n50"/>
      <w:bookmarkEnd w:id="9"/>
      <w:r w:rsidRPr="003E46F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8. Place of goods delivery, or place of work performance or service provision: </w:t>
      </w:r>
    </w:p>
    <w:p w:rsidR="003E46F1" w:rsidRPr="003E46F1" w:rsidRDefault="003E46F1" w:rsidP="003E46F1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3E46F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10, </w:t>
      </w:r>
      <w:proofErr w:type="spellStart"/>
      <w:r w:rsidRPr="003E46F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Smolenska</w:t>
      </w:r>
      <w:proofErr w:type="spellEnd"/>
      <w:r w:rsidRPr="003E46F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St., 03057, Kyiv, Ukraine</w:t>
      </w:r>
      <w:r w:rsidRPr="003E46F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</w:p>
    <w:p w:rsidR="003E46F1" w:rsidRPr="003E46F1" w:rsidRDefault="003E46F1" w:rsidP="003E46F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10" w:name="n51"/>
      <w:bookmarkEnd w:id="10"/>
      <w:r w:rsidRPr="003E46F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9. Period of goods delivery, work performance or service provision:</w:t>
      </w:r>
      <w:r w:rsidRPr="003E46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E46F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within 80 (eighty) calendar days from the date of the Buyer's </w:t>
      </w:r>
      <w:r w:rsidRPr="003E46F1">
        <w:rPr>
          <w:rFonts w:ascii="Times New Roman" w:eastAsia="Calibri" w:hAnsi="Times New Roman" w:cs="Times New Roman"/>
          <w:b/>
          <w:color w:val="000000"/>
          <w:sz w:val="24"/>
          <w:szCs w:val="24"/>
          <w:lang w:val="en" w:eastAsia="ru-RU"/>
        </w:rPr>
        <w:t>prepayment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ru-RU"/>
        </w:rPr>
        <w:t xml:space="preserve"> </w:t>
      </w:r>
      <w:r w:rsidRPr="003E46F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in accordance with paragraph 2.3. Agreement.</w:t>
      </w:r>
    </w:p>
    <w:p w:rsidR="003E46F1" w:rsidRPr="003E46F1" w:rsidRDefault="003E46F1" w:rsidP="003E46F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bookmarkStart w:id="11" w:name="n308"/>
      <w:bookmarkEnd w:id="11"/>
      <w:r w:rsidRPr="003E46F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9</w:t>
      </w:r>
      <w:r w:rsidRPr="003E46F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-1</w:t>
      </w:r>
      <w:r w:rsidRPr="003E46F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 Terms of payment under the contract (payment procedure):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3"/>
        <w:gridCol w:w="2158"/>
        <w:gridCol w:w="1477"/>
        <w:gridCol w:w="1392"/>
        <w:gridCol w:w="1270"/>
        <w:gridCol w:w="1739"/>
      </w:tblGrid>
      <w:tr w:rsidR="003E46F1" w:rsidRPr="003E46F1" w:rsidTr="00D26DE6"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F1" w:rsidRPr="003E46F1" w:rsidRDefault="003E46F1" w:rsidP="003E46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46F1">
              <w:rPr>
                <w:rFonts w:ascii="Times New Roman" w:eastAsia="Calibri" w:hAnsi="Times New Roman" w:cs="Times New Roman"/>
                <w:sz w:val="24"/>
                <w:szCs w:val="24"/>
              </w:rPr>
              <w:t>Event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F1" w:rsidRPr="003E46F1" w:rsidRDefault="003E46F1" w:rsidP="003E46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46F1">
              <w:rPr>
                <w:rFonts w:ascii="Times New Roman" w:eastAsia="Calibri" w:hAnsi="Times New Roman" w:cs="Times New Roman"/>
                <w:sz w:val="24"/>
                <w:szCs w:val="24"/>
              </w:rPr>
              <w:t>Description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F1" w:rsidRPr="003E46F1" w:rsidRDefault="003E46F1" w:rsidP="003E46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46F1">
              <w:rPr>
                <w:rFonts w:ascii="Times New Roman" w:eastAsia="Calibri" w:hAnsi="Times New Roman" w:cs="Times New Roman"/>
                <w:sz w:val="24"/>
                <w:szCs w:val="24"/>
              </w:rPr>
              <w:t>Type of payment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F1" w:rsidRPr="003E46F1" w:rsidRDefault="003E46F1" w:rsidP="003E46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46F1">
              <w:rPr>
                <w:rFonts w:ascii="Times New Roman" w:eastAsia="Calibri" w:hAnsi="Times New Roman" w:cs="Times New Roman"/>
                <w:sz w:val="24"/>
                <w:szCs w:val="24"/>
              </w:rPr>
              <w:t>Period (days)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F1" w:rsidRPr="003E46F1" w:rsidRDefault="003E46F1" w:rsidP="003E46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46F1">
              <w:rPr>
                <w:rFonts w:ascii="Times New Roman" w:eastAsia="Calibri" w:hAnsi="Times New Roman" w:cs="Times New Roman"/>
                <w:sz w:val="24"/>
                <w:szCs w:val="24"/>
              </w:rPr>
              <w:t>Type of days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F1" w:rsidRPr="003E46F1" w:rsidRDefault="003E46F1" w:rsidP="003E46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46F1">
              <w:rPr>
                <w:rFonts w:ascii="Times New Roman" w:eastAsia="Calibri" w:hAnsi="Times New Roman" w:cs="Times New Roman"/>
                <w:sz w:val="24"/>
                <w:szCs w:val="24"/>
              </w:rPr>
              <w:t>Amount of payment, (%)</w:t>
            </w:r>
          </w:p>
        </w:tc>
      </w:tr>
      <w:tr w:rsidR="003E46F1" w:rsidRPr="003E46F1" w:rsidTr="00D26DE6"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F1" w:rsidRPr="003E46F1" w:rsidRDefault="003E46F1" w:rsidP="003E46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46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</w:t>
            </w:r>
            <w:proofErr w:type="spellStart"/>
            <w:r w:rsidRPr="003E46F1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illing</w:t>
            </w:r>
            <w:proofErr w:type="spellEnd"/>
          </w:p>
          <w:p w:rsidR="003E46F1" w:rsidRPr="003E46F1" w:rsidRDefault="003E46F1" w:rsidP="003E46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F1" w:rsidRPr="003E46F1" w:rsidRDefault="003E46F1" w:rsidP="003E4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E46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Invoice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F1" w:rsidRPr="003E46F1" w:rsidRDefault="003E46F1" w:rsidP="003E46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46F1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prepayment</w:t>
            </w:r>
          </w:p>
          <w:p w:rsidR="003E46F1" w:rsidRPr="003E46F1" w:rsidRDefault="003E46F1" w:rsidP="003E46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F1" w:rsidRPr="003E46F1" w:rsidRDefault="003E46F1" w:rsidP="003E46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3E46F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F1" w:rsidRPr="003E46F1" w:rsidRDefault="003E46F1" w:rsidP="003E46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46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Banking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F1" w:rsidRPr="003E46F1" w:rsidRDefault="003E46F1" w:rsidP="003E46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3E46F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50</w:t>
            </w:r>
          </w:p>
        </w:tc>
      </w:tr>
      <w:tr w:rsidR="003E46F1" w:rsidRPr="003E46F1" w:rsidTr="00D26DE6"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F1" w:rsidRPr="003E46F1" w:rsidRDefault="003E46F1" w:rsidP="003E46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46F1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lastRenderedPageBreak/>
              <w:t xml:space="preserve">Product delivery </w:t>
            </w:r>
          </w:p>
          <w:p w:rsidR="003E46F1" w:rsidRPr="003E46F1" w:rsidRDefault="003E46F1" w:rsidP="003E46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F1" w:rsidRPr="003E46F1" w:rsidRDefault="003E46F1" w:rsidP="003E46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46F1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Execution of commissioning works is confirmed by the act made by the Executor and signed by the Parties</w:t>
            </w:r>
          </w:p>
          <w:p w:rsidR="003E46F1" w:rsidRPr="003E46F1" w:rsidRDefault="003E46F1" w:rsidP="003E46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F1" w:rsidRPr="003E46F1" w:rsidRDefault="003E46F1" w:rsidP="003E46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46F1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payment after delivery of the goods</w:t>
            </w:r>
          </w:p>
          <w:p w:rsidR="003E46F1" w:rsidRPr="003E46F1" w:rsidRDefault="003E46F1" w:rsidP="003E46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46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Payment after rendering services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F1" w:rsidRPr="003E46F1" w:rsidRDefault="003E46F1" w:rsidP="003E46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3E46F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F1" w:rsidRPr="003E46F1" w:rsidRDefault="003E46F1" w:rsidP="003E46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46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Banking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F1" w:rsidRPr="003E46F1" w:rsidRDefault="003E46F1" w:rsidP="003E46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46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</w:t>
            </w:r>
          </w:p>
        </w:tc>
      </w:tr>
    </w:tbl>
    <w:p w:rsidR="003E46F1" w:rsidRPr="003E46F1" w:rsidRDefault="003E46F1" w:rsidP="003E46F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</w:pPr>
      <w:bookmarkStart w:id="12" w:name="n52"/>
      <w:bookmarkEnd w:id="12"/>
    </w:p>
    <w:p w:rsidR="003E46F1" w:rsidRPr="003E46F1" w:rsidRDefault="003E46F1" w:rsidP="003E46F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3E46F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10. An amount of the budget allocation according to the estimate or expected cost of the procurement item:</w:t>
      </w:r>
      <w:r w:rsidRPr="003E46F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zh-CN"/>
        </w:rPr>
        <w:t xml:space="preserve"> UAH 5 200 000.00</w:t>
      </w:r>
      <w:r w:rsidRPr="003E46F1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 (five million two hundred thousand Hryvnias) including VAT.</w:t>
      </w:r>
    </w:p>
    <w:p w:rsidR="003E46F1" w:rsidRPr="003E46F1" w:rsidRDefault="003E46F1" w:rsidP="003E46F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</w:pPr>
      <w:bookmarkStart w:id="13" w:name="n285"/>
      <w:bookmarkEnd w:id="13"/>
      <w:r w:rsidRPr="003E46F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10</w:t>
      </w:r>
      <w:r w:rsidRPr="003E46F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-1</w:t>
      </w:r>
      <w:r w:rsidRPr="003E46F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 The size of the budget allocation according to the estimate or expected cost of parts of the procurement item (lots) (if any). -</w:t>
      </w:r>
    </w:p>
    <w:p w:rsidR="003E46F1" w:rsidRPr="003E46F1" w:rsidRDefault="003E46F1" w:rsidP="003E46F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bookmarkStart w:id="14" w:name="n309"/>
      <w:bookmarkEnd w:id="14"/>
      <w:r w:rsidRPr="003E46F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10</w:t>
      </w:r>
      <w:r w:rsidRPr="003E46F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-2</w:t>
      </w:r>
      <w:r w:rsidRPr="003E46F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 Funding source for purchasing: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5"/>
        <w:gridCol w:w="1510"/>
        <w:gridCol w:w="3094"/>
      </w:tblGrid>
      <w:tr w:rsidR="003E46F1" w:rsidRPr="003E46F1" w:rsidTr="00D26DE6"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F1" w:rsidRPr="003E46F1" w:rsidRDefault="003E46F1" w:rsidP="003E46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46F1">
              <w:rPr>
                <w:rFonts w:ascii="Times New Roman" w:eastAsia="Calibri" w:hAnsi="Times New Roman" w:cs="Times New Roman"/>
                <w:sz w:val="24"/>
                <w:szCs w:val="24"/>
              </w:rPr>
              <w:t>Funding source for purchasing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F1" w:rsidRPr="003E46F1" w:rsidRDefault="003E46F1" w:rsidP="003E46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46F1">
              <w:rPr>
                <w:rFonts w:ascii="Times New Roman" w:eastAsia="Calibri" w:hAnsi="Times New Roman" w:cs="Times New Roman"/>
                <w:sz w:val="24"/>
                <w:szCs w:val="24"/>
              </w:rPr>
              <w:t>Description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F1" w:rsidRPr="003E46F1" w:rsidRDefault="003E46F1" w:rsidP="003E46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46F1">
              <w:rPr>
                <w:rFonts w:ascii="Times New Roman" w:eastAsia="Calibri" w:hAnsi="Times New Roman" w:cs="Times New Roman"/>
                <w:sz w:val="24"/>
                <w:szCs w:val="24"/>
              </w:rPr>
              <w:t>Amount</w:t>
            </w:r>
          </w:p>
        </w:tc>
      </w:tr>
      <w:tr w:rsidR="003E46F1" w:rsidRPr="003E46F1" w:rsidTr="00D26DE6">
        <w:trPr>
          <w:trHeight w:val="543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F1" w:rsidRPr="003E46F1" w:rsidRDefault="003E46F1" w:rsidP="003E46F1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46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Enterprise budget (own resources as a result of economic activity of the enterprise)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F1" w:rsidRPr="003E46F1" w:rsidRDefault="003E46F1" w:rsidP="003E46F1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F1" w:rsidRPr="003E46F1" w:rsidRDefault="003E46F1" w:rsidP="003E46F1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46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UAH 5 200 000</w:t>
            </w:r>
          </w:p>
        </w:tc>
      </w:tr>
    </w:tbl>
    <w:p w:rsidR="003E46F1" w:rsidRPr="003E46F1" w:rsidRDefault="003E46F1" w:rsidP="003E46F1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</w:pPr>
      <w:bookmarkStart w:id="15" w:name="n53"/>
      <w:bookmarkEnd w:id="15"/>
    </w:p>
    <w:p w:rsidR="003E46F1" w:rsidRPr="003E46F1" w:rsidRDefault="003E46F1" w:rsidP="003E46F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E46F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11. Amount of the minimum decrement of the price: </w:t>
      </w:r>
      <w:r w:rsidRPr="003E46F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1.00 % - UAH 52 000.00 (</w:t>
      </w:r>
      <w:proofErr w:type="gramStart"/>
      <w:r w:rsidRPr="003E46F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fifty two</w:t>
      </w:r>
      <w:proofErr w:type="gramEnd"/>
      <w:r w:rsidRPr="003E46F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thousand Hryvnias).</w:t>
      </w:r>
    </w:p>
    <w:p w:rsidR="003E46F1" w:rsidRPr="003E46F1" w:rsidRDefault="003E46F1" w:rsidP="003E46F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bookmarkStart w:id="16" w:name="n54"/>
      <w:bookmarkEnd w:id="16"/>
      <w:r w:rsidRPr="003E46F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12. Mathematical formula to be used during the e-auction to calculate the indicators of other evaluation criteria*.</w:t>
      </w:r>
    </w:p>
    <w:p w:rsidR="003E46F1" w:rsidRPr="003E46F1" w:rsidRDefault="003E46F1" w:rsidP="003E46F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bookmarkStart w:id="17" w:name="n286"/>
      <w:bookmarkEnd w:id="17"/>
      <w:r w:rsidRPr="003E46F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12</w:t>
      </w:r>
      <w:r w:rsidRPr="003E46F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-1</w:t>
      </w:r>
      <w:r w:rsidRPr="003E46F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 Other criteria to be used in the evaluation of tenders and their specific weight (if any). -</w:t>
      </w:r>
    </w:p>
    <w:p w:rsidR="003E46F1" w:rsidRPr="003E46F1" w:rsidRDefault="003E46F1" w:rsidP="003E46F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bookmarkStart w:id="18" w:name="n55"/>
      <w:bookmarkEnd w:id="18"/>
      <w:r w:rsidRPr="003E46F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13. Deadline for submission of tenders: 19.06.2021</w:t>
      </w:r>
    </w:p>
    <w:p w:rsidR="003E46F1" w:rsidRPr="003E46F1" w:rsidRDefault="003E46F1" w:rsidP="003E46F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bookmarkStart w:id="19" w:name="n56"/>
      <w:bookmarkEnd w:id="19"/>
      <w:r w:rsidRPr="003E46F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14. Amount of tender security (if requested by the customer). - 156 000.00 UAH</w:t>
      </w:r>
    </w:p>
    <w:p w:rsidR="003E46F1" w:rsidRPr="003E46F1" w:rsidRDefault="003E46F1" w:rsidP="003E46F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bookmarkStart w:id="20" w:name="n57"/>
      <w:bookmarkEnd w:id="20"/>
      <w:r w:rsidRPr="003E46F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15. Type of the tender security (if requested by the customer): </w:t>
      </w:r>
      <w:r w:rsidRPr="003E46F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electronic bank guarantee.</w:t>
      </w:r>
    </w:p>
    <w:p w:rsidR="003E46F1" w:rsidRPr="003E46F1" w:rsidRDefault="003E46F1" w:rsidP="003E46F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</w:pPr>
      <w:bookmarkStart w:id="21" w:name="n58"/>
      <w:bookmarkEnd w:id="21"/>
      <w:r w:rsidRPr="003E46F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16. Date and time of opening the tenders*:</w:t>
      </w:r>
    </w:p>
    <w:p w:rsidR="003E46F1" w:rsidRPr="003E46F1" w:rsidRDefault="003E46F1" w:rsidP="003E46F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bookmarkStart w:id="22" w:name="n59"/>
      <w:bookmarkEnd w:id="22"/>
      <w:r w:rsidRPr="003E46F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17. Date and time of the electronic auction*:</w:t>
      </w:r>
    </w:p>
    <w:p w:rsidR="003E46F1" w:rsidRPr="003E46F1" w:rsidRDefault="003E46F1" w:rsidP="003E46F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bookmarkStart w:id="23" w:name="n60"/>
      <w:bookmarkEnd w:id="23"/>
      <w:r w:rsidRPr="003E46F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18. The term for which the framework agreement is concluded **.</w:t>
      </w:r>
    </w:p>
    <w:p w:rsidR="003E46F1" w:rsidRPr="003E46F1" w:rsidRDefault="003E46F1" w:rsidP="003E46F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bookmarkStart w:id="24" w:name="n61"/>
      <w:bookmarkEnd w:id="24"/>
      <w:r w:rsidRPr="003E46F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19. Number of bidders with which the framework agreement will be concluded**.</w:t>
      </w:r>
    </w:p>
    <w:p w:rsidR="003E46F1" w:rsidRPr="003E46F1" w:rsidRDefault="003E46F1" w:rsidP="003E46F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5" w:name="n62"/>
      <w:bookmarkEnd w:id="25"/>
      <w:r w:rsidRPr="003E46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</w:t>
      </w:r>
      <w:r w:rsidRPr="003E46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* To be filled in automatically by the e-procurement system.</w:t>
      </w:r>
      <w:r w:rsidRPr="003E46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** To be filled in by the customer providing procurement is made under framework agreements.</w:t>
      </w:r>
      <w:bookmarkStart w:id="26" w:name="n287"/>
      <w:bookmarkEnd w:id="26"/>
    </w:p>
    <w:p w:rsidR="003E46F1" w:rsidRPr="003E46F1" w:rsidRDefault="003E46F1" w:rsidP="003E46F1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E46F1" w:rsidRPr="003E46F1" w:rsidRDefault="003E46F1" w:rsidP="003E46F1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3E46F1" w:rsidRPr="003E46F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80567"/>
    <w:multiLevelType w:val="multilevel"/>
    <w:tmpl w:val="0422001F"/>
    <w:lvl w:ilvl="0">
      <w:start w:val="1"/>
      <w:numFmt w:val="decimal"/>
      <w:lvlText w:val="%1."/>
      <w:lvlJc w:val="left"/>
      <w:pPr>
        <w:ind w:left="5747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2417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4C3D161E"/>
    <w:multiLevelType w:val="multilevel"/>
    <w:tmpl w:val="A542570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557D6C10"/>
    <w:multiLevelType w:val="hybridMultilevel"/>
    <w:tmpl w:val="4128259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E45374"/>
    <w:multiLevelType w:val="multilevel"/>
    <w:tmpl w:val="889ADE62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F145B72"/>
    <w:multiLevelType w:val="hybridMultilevel"/>
    <w:tmpl w:val="F934C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22914B0"/>
    <w:multiLevelType w:val="multilevel"/>
    <w:tmpl w:val="6C404D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6" w15:restartNumberingAfterBreak="0">
    <w:nsid w:val="6D273AAF"/>
    <w:multiLevelType w:val="hybridMultilevel"/>
    <w:tmpl w:val="1E04C574"/>
    <w:lvl w:ilvl="0" w:tplc="1E4EDC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4C5C99"/>
    <w:multiLevelType w:val="hybridMultilevel"/>
    <w:tmpl w:val="767A988E"/>
    <w:lvl w:ilvl="0" w:tplc="25429B3A">
      <w:start w:val="1"/>
      <w:numFmt w:val="decimal"/>
      <w:lvlText w:val="%1.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AF2"/>
    <w:rsid w:val="000553D2"/>
    <w:rsid w:val="000E4436"/>
    <w:rsid w:val="000F5FE4"/>
    <w:rsid w:val="001A5AF2"/>
    <w:rsid w:val="003E46F1"/>
    <w:rsid w:val="004B4B45"/>
    <w:rsid w:val="00646CD4"/>
    <w:rsid w:val="007C189D"/>
    <w:rsid w:val="00803FA0"/>
    <w:rsid w:val="009A017C"/>
    <w:rsid w:val="00B0772E"/>
    <w:rsid w:val="00B128C2"/>
    <w:rsid w:val="00BB0A7A"/>
    <w:rsid w:val="00BB3B16"/>
    <w:rsid w:val="00CA5C22"/>
    <w:rsid w:val="00E7618A"/>
    <w:rsid w:val="00FD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9BEDE8-1D23-42F0-A302-F5D78346F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553D2"/>
    <w:pPr>
      <w:widowControl w:val="0"/>
      <w:tabs>
        <w:tab w:val="num" w:pos="0"/>
      </w:tabs>
      <w:suppressAutoHyphens/>
      <w:autoSpaceDE w:val="0"/>
      <w:spacing w:after="0" w:line="240" w:lineRule="auto"/>
      <w:ind w:left="432" w:hanging="432"/>
      <w:outlineLvl w:val="0"/>
    </w:pPr>
    <w:rPr>
      <w:rFonts w:ascii="Times New Roman CYR" w:eastAsia="Times New Roman" w:hAnsi="Times New Roman CYR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A5C22"/>
    <w:rPr>
      <w:b/>
      <w:bCs/>
    </w:rPr>
  </w:style>
  <w:style w:type="character" w:customStyle="1" w:styleId="11">
    <w:name w:val="Дата1"/>
    <w:basedOn w:val="a0"/>
    <w:rsid w:val="00CA5C22"/>
  </w:style>
  <w:style w:type="character" w:styleId="a4">
    <w:name w:val="Hyperlink"/>
    <w:basedOn w:val="a0"/>
    <w:uiPriority w:val="99"/>
    <w:unhideWhenUsed/>
    <w:rsid w:val="000553D2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0553D2"/>
    <w:rPr>
      <w:rFonts w:ascii="Times New Roman CYR" w:eastAsia="Times New Roman" w:hAnsi="Times New Roman CYR" w:cs="Times New Roman"/>
      <w:sz w:val="24"/>
      <w:szCs w:val="24"/>
      <w:lang w:val="uk-UA" w:eastAsia="ar-SA"/>
    </w:rPr>
  </w:style>
  <w:style w:type="character" w:customStyle="1" w:styleId="xfmc1">
    <w:name w:val="xfmc1"/>
    <w:rsid w:val="004B4B45"/>
  </w:style>
  <w:style w:type="paragraph" w:styleId="a5">
    <w:name w:val="Subtitle"/>
    <w:basedOn w:val="a"/>
    <w:next w:val="a"/>
    <w:link w:val="a6"/>
    <w:qFormat/>
    <w:rsid w:val="007C189D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  <w:lang w:val="ru-RU" w:eastAsia="ru-RU"/>
    </w:rPr>
  </w:style>
  <w:style w:type="character" w:customStyle="1" w:styleId="a6">
    <w:name w:val="Подзаголовок Знак"/>
    <w:basedOn w:val="a0"/>
    <w:link w:val="a5"/>
    <w:rsid w:val="007C189D"/>
    <w:rPr>
      <w:rFonts w:ascii="Calibri Light" w:eastAsia="Times New Roman" w:hAnsi="Calibri Light" w:cs="Times New Roman"/>
      <w:sz w:val="24"/>
      <w:szCs w:val="24"/>
      <w:lang w:val="ru-RU" w:eastAsia="ru-RU"/>
    </w:rPr>
  </w:style>
  <w:style w:type="paragraph" w:styleId="a7">
    <w:name w:val="List Paragraph"/>
    <w:aliases w:val="заголовок 1.1,Литература,Bullet Number,Bullet 1,Use Case List Paragraph,lp1,lp11,List Paragraph11,Elenco Normale"/>
    <w:basedOn w:val="a"/>
    <w:link w:val="a8"/>
    <w:uiPriority w:val="34"/>
    <w:qFormat/>
    <w:rsid w:val="00BB3B16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8">
    <w:name w:val="Абзац списка Знак"/>
    <w:aliases w:val="заголовок 1.1 Знак,Литература Знак,Bullet Number Знак,Bullet 1 Знак,Use Case List Paragraph Знак,lp1 Знак,lp11 Знак,List Paragraph11 Знак,Elenco Normale Знак"/>
    <w:link w:val="a7"/>
    <w:uiPriority w:val="34"/>
    <w:locked/>
    <w:rsid w:val="00BB3B16"/>
    <w:rPr>
      <w:rFonts w:ascii="Times New Roman" w:eastAsia="Calibri" w:hAnsi="Times New Roman" w:cs="Times New Roman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BB3B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5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lisnichenko\AppData\Local\Microsoft\Windows\INetCache\Content.Outlook\91M19J02\fadmin@dec.gov.ua" TargetMode="External"/><Relationship Id="rId5" Type="http://schemas.openxmlformats.org/officeDocument/2006/relationships/hyperlink" Target="https://prozorro.gov.ua/tender/UA-2021-05-19-003238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3719</Words>
  <Characters>21202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Кондратюк Олена Сергіївна</dc:creator>
  <cp:keywords/>
  <dc:description/>
  <cp:lastModifiedBy>Кондратюк Олена Сергіївна</cp:lastModifiedBy>
  <cp:revision>20</cp:revision>
  <dcterms:created xsi:type="dcterms:W3CDTF">2021-04-08T07:36:00Z</dcterms:created>
  <dcterms:modified xsi:type="dcterms:W3CDTF">2021-05-21T13:12:00Z</dcterms:modified>
</cp:coreProperties>
</file>