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AD2B7C" w:rsidRPr="00AD2B7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Надання невиключної </w:t>
            </w:r>
            <w:proofErr w:type="spellStart"/>
            <w:r w:rsidR="00AD2B7C" w:rsidRPr="00AD2B7C">
              <w:rPr>
                <w:rFonts w:ascii="Times New Roman" w:hAnsi="Times New Roman"/>
                <w:b/>
                <w:color w:val="000000" w:themeColor="text1"/>
                <w:lang w:val="uk-UA"/>
              </w:rPr>
              <w:t>субліцензії</w:t>
            </w:r>
            <w:proofErr w:type="spellEnd"/>
            <w:r w:rsidR="00AD2B7C" w:rsidRPr="00AD2B7C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на використання системи дослідження даних</w:t>
            </w:r>
          </w:p>
          <w:p w:rsidR="0094383F" w:rsidRPr="00FE03F1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333333"/>
                <w:lang w:val="uk-UA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ДК 021:2015: </w:t>
            </w:r>
            <w:r w:rsidR="00AD2B7C" w:rsidRPr="00AD2B7C">
              <w:rPr>
                <w:rFonts w:ascii="Times New Roman" w:hAnsi="Times New Roman"/>
                <w:b/>
                <w:color w:val="000000" w:themeColor="text1"/>
                <w:lang w:val="uk-UA"/>
              </w:rPr>
              <w:t>48610000-7: Системи баз даних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AD2B7C" w:rsidRPr="00AD2B7C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1C60E2" w:rsidRDefault="0094383F" w:rsidP="007E7969">
            <w:pPr>
              <w:spacing w:after="0" w:line="276" w:lineRule="auto"/>
              <w:rPr>
                <w:color w:val="454545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AD2B7C" w:rsidRPr="00AD2B7C">
              <w:rPr>
                <w:b/>
                <w:color w:val="auto"/>
                <w:sz w:val="24"/>
                <w:szCs w:val="24"/>
              </w:rPr>
              <w:t>425 606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AD2B7C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464210">
              <w:rPr>
                <w:b/>
                <w:color w:val="000000" w:themeColor="text1"/>
                <w:sz w:val="24"/>
                <w:szCs w:val="24"/>
              </w:rPr>
              <w:t>31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64210">
              <w:rPr>
                <w:b/>
                <w:color w:val="000000" w:themeColor="text1"/>
                <w:sz w:val="24"/>
                <w:szCs w:val="24"/>
              </w:rPr>
              <w:t>березня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посиланням</w:t>
            </w:r>
            <w:r w:rsidRPr="00B13AE1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464210" w:rsidRPr="00464210">
                <w:rPr>
                  <w:rStyle w:val="a3"/>
                  <w:sz w:val="24"/>
                  <w:szCs w:val="24"/>
                </w:rPr>
                <w:t>https://prozorro.gov.ua/tender/UA-2022-03-31-000247-c</w:t>
              </w:r>
            </w:hyperlink>
          </w:p>
          <w:p w:rsidR="00464210" w:rsidRPr="00AD2B7C" w:rsidRDefault="00464210" w:rsidP="0094383F">
            <w:pPr>
              <w:spacing w:after="0" w:line="276" w:lineRule="auto"/>
              <w:rPr>
                <w:sz w:val="24"/>
                <w:szCs w:val="24"/>
              </w:rPr>
            </w:pPr>
          </w:p>
          <w:p w:rsidR="00ED1E9A" w:rsidRPr="001C60E2" w:rsidRDefault="00ED1E9A" w:rsidP="0094383F">
            <w:pPr>
              <w:spacing w:after="0" w:line="276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D2B7C" w:rsidRDefault="00AD2B7C" w:rsidP="00AD2B7C">
      <w:pPr>
        <w:widowControl w:val="0"/>
        <w:spacing w:before="240"/>
        <w:ind w:right="-23"/>
        <w:jc w:val="center"/>
        <w:rPr>
          <w:b/>
          <w:szCs w:val="24"/>
        </w:rPr>
      </w:pPr>
      <w:r w:rsidRPr="00FE5E10">
        <w:rPr>
          <w:b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AD2B7C" w:rsidRPr="00AD2B7C" w:rsidRDefault="00AD2B7C" w:rsidP="00AD2B7C">
      <w:pPr>
        <w:widowControl w:val="0"/>
        <w:spacing w:after="0" w:line="240" w:lineRule="auto"/>
        <w:jc w:val="center"/>
        <w:rPr>
          <w:rFonts w:cs="Calibri"/>
          <w:color w:val="222222"/>
          <w:sz w:val="24"/>
          <w:szCs w:val="24"/>
          <w:shd w:val="clear" w:color="auto" w:fill="FFFFFF"/>
        </w:rPr>
      </w:pPr>
      <w:r w:rsidRPr="00AD2B7C">
        <w:rPr>
          <w:b/>
          <w:sz w:val="24"/>
          <w:szCs w:val="24"/>
        </w:rPr>
        <w:t xml:space="preserve">«Надання невиключної </w:t>
      </w:r>
      <w:proofErr w:type="spellStart"/>
      <w:r w:rsidRPr="00AD2B7C">
        <w:rPr>
          <w:b/>
          <w:sz w:val="24"/>
          <w:szCs w:val="24"/>
          <w:lang w:val="ru-RU"/>
        </w:rPr>
        <w:t>суб</w:t>
      </w:r>
      <w:proofErr w:type="spellEnd"/>
      <w:r w:rsidRPr="00AD2B7C">
        <w:rPr>
          <w:b/>
          <w:sz w:val="24"/>
          <w:szCs w:val="24"/>
        </w:rPr>
        <w:t>ліцензії на використання систе</w:t>
      </w:r>
      <w:bookmarkStart w:id="0" w:name="_GoBack"/>
      <w:bookmarkEnd w:id="0"/>
      <w:r w:rsidRPr="00AD2B7C">
        <w:rPr>
          <w:b/>
          <w:sz w:val="24"/>
          <w:szCs w:val="24"/>
        </w:rPr>
        <w:t>ми дослідження даних»,</w:t>
      </w:r>
    </w:p>
    <w:p w:rsidR="00AD2B7C" w:rsidRPr="00AD2B7C" w:rsidRDefault="00AD2B7C" w:rsidP="00AD2B7C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AD2B7C">
        <w:rPr>
          <w:b/>
          <w:sz w:val="24"/>
          <w:szCs w:val="24"/>
        </w:rPr>
        <w:t>код ДК 021:2015 - 48610000-7 «Системи баз даних»</w:t>
      </w:r>
    </w:p>
    <w:p w:rsidR="00AD2B7C" w:rsidRPr="00AD2B7C" w:rsidRDefault="00AD2B7C" w:rsidP="00AD2B7C">
      <w:pPr>
        <w:widowControl w:val="0"/>
        <w:spacing w:after="0"/>
        <w:ind w:right="-23"/>
        <w:jc w:val="center"/>
        <w:rPr>
          <w:b/>
          <w:sz w:val="24"/>
          <w:szCs w:val="24"/>
        </w:rPr>
      </w:pP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1134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Надання Замовнику доступу до  системи дослідження ринку «</w:t>
      </w:r>
      <w:proofErr w:type="spellStart"/>
      <w:r w:rsidRPr="00AD2B7C">
        <w:rPr>
          <w:sz w:val="24"/>
          <w:szCs w:val="24"/>
          <w:lang w:eastAsia="uk-UA"/>
        </w:rPr>
        <w:t>Pharmxplorer</w:t>
      </w:r>
      <w:proofErr w:type="spellEnd"/>
      <w:r w:rsidRPr="00AD2B7C">
        <w:rPr>
          <w:sz w:val="24"/>
          <w:szCs w:val="24"/>
          <w:lang w:eastAsia="uk-UA"/>
        </w:rPr>
        <w:t>» (далі – Система).</w:t>
      </w: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Всі посилання на конкретну торгівельну марку чи фірму, патент, конструкцію або тип предмета закупівлі, джерело його походження або виробника, слід читати з виразом «або еквівалент». Технічні та якісні характеристики еквіваленту не повинні бути гіршими</w:t>
      </w:r>
      <w:r w:rsidRPr="00AD2B7C">
        <w:rPr>
          <w:sz w:val="24"/>
          <w:szCs w:val="24"/>
          <w:lang w:val="ru-RU" w:eastAsia="uk-UA"/>
        </w:rPr>
        <w:t xml:space="preserve"> </w:t>
      </w:r>
      <w:proofErr w:type="spellStart"/>
      <w:r w:rsidRPr="00AD2B7C">
        <w:rPr>
          <w:sz w:val="24"/>
          <w:szCs w:val="24"/>
          <w:lang w:val="ru-RU" w:eastAsia="uk-UA"/>
        </w:rPr>
        <w:t>запропонованих</w:t>
      </w:r>
      <w:proofErr w:type="spellEnd"/>
      <w:r w:rsidRPr="00AD2B7C">
        <w:rPr>
          <w:sz w:val="24"/>
          <w:szCs w:val="24"/>
          <w:lang w:eastAsia="uk-UA"/>
        </w:rPr>
        <w:t>.</w:t>
      </w: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закупівлі, наведеним у цьому додатку до тендерної документації.</w:t>
      </w: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Невідповідність пропозиції Учасника торгів вимогам цього додатку тендерної документації призводить до її відхилення. Пропозиції, надані з неповним пакетом документів, що вимагалися, відхиляються.</w:t>
      </w: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Відповідність технічних, якісних та кількісних характеристик запропонованих послуг вимогам замовника повинна бути підтверджена учасником шляхом надання у складі тендерної пропозиції довідки з порівняльною таблицею технічних, якісних та кількісних характеристик послуг, що пропонуються учасником, які мають бути не гіршими за наведені в «Технічних, якісних та кількості вимогах (характеристиках) до предмету закупівлі», що викладені у цьому додатку тендерної документації, із обов‘язковим зазначенням типу, назви послуг, що пропонуються Учасником.</w:t>
      </w:r>
    </w:p>
    <w:p w:rsidR="00AD2B7C" w:rsidRPr="00AD2B7C" w:rsidRDefault="00AD2B7C" w:rsidP="00AD2B7C">
      <w:pPr>
        <w:widowControl w:val="0"/>
        <w:numPr>
          <w:ilvl w:val="1"/>
          <w:numId w:val="3"/>
        </w:numPr>
        <w:tabs>
          <w:tab w:val="left" w:pos="993"/>
        </w:tabs>
        <w:spacing w:before="40" w:after="0" w:line="240" w:lineRule="auto"/>
        <w:ind w:left="0" w:firstLine="567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Учасники процедури закупівлі повинні надати в складі тендерних пропозицій документ/копію документу від виробника/офіційного представника виробника програмного забезпечення (сертифікат/</w:t>
      </w:r>
      <w:proofErr w:type="spellStart"/>
      <w:r w:rsidRPr="00AD2B7C">
        <w:rPr>
          <w:sz w:val="24"/>
          <w:szCs w:val="24"/>
          <w:lang w:eastAsia="uk-UA"/>
        </w:rPr>
        <w:t>авторизаційний</w:t>
      </w:r>
      <w:proofErr w:type="spellEnd"/>
      <w:r w:rsidRPr="00AD2B7C">
        <w:rPr>
          <w:sz w:val="24"/>
          <w:szCs w:val="24"/>
          <w:lang w:eastAsia="uk-UA"/>
        </w:rPr>
        <w:t xml:space="preserve"> лист/інший документ) про надання учаснику процедури закупівлі відповідного статусу (дилер/партнер/інший статус) та повноважень на постачання/продаж програмного забезпечення із зазначенням номеру закупівлі у системі </w:t>
      </w:r>
      <w:proofErr w:type="spellStart"/>
      <w:r w:rsidRPr="00AD2B7C">
        <w:rPr>
          <w:sz w:val="24"/>
          <w:szCs w:val="24"/>
          <w:lang w:eastAsia="uk-UA"/>
        </w:rPr>
        <w:t>Prozorro</w:t>
      </w:r>
      <w:proofErr w:type="spellEnd"/>
      <w:r w:rsidRPr="00AD2B7C">
        <w:rPr>
          <w:sz w:val="24"/>
          <w:szCs w:val="24"/>
          <w:lang w:eastAsia="uk-UA"/>
        </w:rPr>
        <w:t xml:space="preserve"> та найменування Замовника. </w:t>
      </w:r>
    </w:p>
    <w:p w:rsidR="00AD2B7C" w:rsidRPr="00AD2B7C" w:rsidRDefault="00AD2B7C" w:rsidP="00AD2B7C">
      <w:pPr>
        <w:widowControl w:val="0"/>
        <w:tabs>
          <w:tab w:val="left" w:pos="284"/>
        </w:tabs>
        <w:spacing w:before="240" w:after="120" w:line="240" w:lineRule="auto"/>
        <w:jc w:val="center"/>
        <w:outlineLvl w:val="1"/>
        <w:rPr>
          <w:b/>
          <w:sz w:val="24"/>
          <w:szCs w:val="24"/>
          <w:lang w:eastAsia="uk-UA"/>
        </w:rPr>
      </w:pPr>
      <w:r w:rsidRPr="00AD2B7C">
        <w:rPr>
          <w:b/>
          <w:sz w:val="24"/>
          <w:szCs w:val="24"/>
          <w:lang w:eastAsia="uk-UA"/>
        </w:rPr>
        <w:t>ТЕХНІЧНІ</w:t>
      </w:r>
      <w:r w:rsidRPr="00AD2B7C">
        <w:rPr>
          <w:b/>
          <w:caps/>
          <w:sz w:val="24"/>
          <w:szCs w:val="24"/>
          <w:lang w:eastAsia="uk-UA"/>
        </w:rPr>
        <w:t>,</w:t>
      </w:r>
      <w:r w:rsidRPr="00AD2B7C">
        <w:rPr>
          <w:caps/>
          <w:sz w:val="24"/>
          <w:szCs w:val="24"/>
        </w:rPr>
        <w:t xml:space="preserve"> </w:t>
      </w:r>
      <w:r w:rsidRPr="00AD2B7C">
        <w:rPr>
          <w:b/>
          <w:caps/>
          <w:sz w:val="24"/>
          <w:szCs w:val="24"/>
          <w:lang w:eastAsia="uk-UA"/>
        </w:rPr>
        <w:t>якіснІ та кількісні ВИМ</w:t>
      </w:r>
      <w:r w:rsidRPr="00AD2B7C">
        <w:rPr>
          <w:b/>
          <w:sz w:val="24"/>
          <w:szCs w:val="24"/>
          <w:lang w:eastAsia="uk-UA"/>
        </w:rPr>
        <w:t>ОГИ (</w:t>
      </w:r>
      <w:r w:rsidRPr="00AD2B7C">
        <w:rPr>
          <w:b/>
          <w:caps/>
          <w:sz w:val="24"/>
          <w:szCs w:val="24"/>
          <w:lang w:eastAsia="uk-UA"/>
        </w:rPr>
        <w:t>характеристики</w:t>
      </w:r>
      <w:r w:rsidRPr="00AD2B7C">
        <w:rPr>
          <w:b/>
          <w:sz w:val="24"/>
          <w:szCs w:val="24"/>
          <w:lang w:eastAsia="uk-UA"/>
        </w:rPr>
        <w:t>) ДО ПРЕДМЕТУ ЗАКУПІВЛІ</w:t>
      </w:r>
    </w:p>
    <w:p w:rsidR="00AD2B7C" w:rsidRPr="00AD2B7C" w:rsidRDefault="00AD2B7C" w:rsidP="00AD2B7C">
      <w:pPr>
        <w:spacing w:after="0" w:line="240" w:lineRule="auto"/>
        <w:ind w:firstLine="426"/>
        <w:jc w:val="both"/>
        <w:rPr>
          <w:b/>
          <w:sz w:val="24"/>
          <w:szCs w:val="24"/>
          <w:lang w:eastAsia="uk-UA"/>
        </w:rPr>
      </w:pPr>
      <w:r w:rsidRPr="00AD2B7C">
        <w:rPr>
          <w:b/>
          <w:sz w:val="24"/>
          <w:szCs w:val="24"/>
        </w:rPr>
        <w:t xml:space="preserve">І. </w:t>
      </w:r>
      <w:r w:rsidRPr="00AD2B7C">
        <w:rPr>
          <w:b/>
          <w:sz w:val="24"/>
          <w:szCs w:val="24"/>
          <w:lang w:eastAsia="uk-UA"/>
        </w:rPr>
        <w:t>Використання Системи.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lastRenderedPageBreak/>
        <w:t>1.1. Використання Системи в обсязі «</w:t>
      </w:r>
      <w:proofErr w:type="spellStart"/>
      <w:r w:rsidRPr="00AD2B7C">
        <w:rPr>
          <w:sz w:val="24"/>
          <w:szCs w:val="24"/>
          <w:lang w:eastAsia="uk-UA"/>
        </w:rPr>
        <w:t>Sale</w:t>
      </w:r>
      <w:proofErr w:type="spellEnd"/>
      <w:r w:rsidRPr="00AD2B7C">
        <w:rPr>
          <w:sz w:val="24"/>
          <w:szCs w:val="24"/>
          <w:lang w:eastAsia="uk-UA"/>
        </w:rPr>
        <w:t xml:space="preserve"> </w:t>
      </w:r>
      <w:proofErr w:type="spellStart"/>
      <w:r w:rsidRPr="00AD2B7C">
        <w:rPr>
          <w:sz w:val="24"/>
          <w:szCs w:val="24"/>
          <w:lang w:eastAsia="uk-UA"/>
        </w:rPr>
        <w:t>Out</w:t>
      </w:r>
      <w:proofErr w:type="spellEnd"/>
      <w:r w:rsidRPr="00AD2B7C">
        <w:rPr>
          <w:sz w:val="24"/>
          <w:szCs w:val="24"/>
          <w:lang w:eastAsia="uk-UA"/>
        </w:rPr>
        <w:t>»: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Роздрібна реалізація. Щомісячно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1.1.1.</w:t>
      </w:r>
      <w:r w:rsidRPr="00AD2B7C">
        <w:rPr>
          <w:sz w:val="24"/>
          <w:szCs w:val="24"/>
          <w:lang w:eastAsia="uk-UA"/>
        </w:rPr>
        <w:tab/>
        <w:t xml:space="preserve">досліджуються: реалізація лікарських форм у точках роздрібної торгівлі; 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1.1.2.</w:t>
      </w:r>
      <w:r w:rsidRPr="00AD2B7C">
        <w:rPr>
          <w:sz w:val="24"/>
          <w:szCs w:val="24"/>
          <w:lang w:eastAsia="uk-UA"/>
        </w:rPr>
        <w:tab/>
        <w:t xml:space="preserve">в об’ємі: фармацевтична продукція, що реалізується через точки роздрібної торгівлі України та відноситься до категорії «Лікарські засоби»; 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1.1.3.</w:t>
      </w:r>
      <w:r w:rsidRPr="00AD2B7C">
        <w:rPr>
          <w:sz w:val="24"/>
          <w:szCs w:val="24"/>
          <w:lang w:eastAsia="uk-UA"/>
        </w:rPr>
        <w:tab/>
        <w:t>географія дослідження: Україна, кожна з 24 областей;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1.1.4.</w:t>
      </w:r>
      <w:r w:rsidRPr="00AD2B7C">
        <w:rPr>
          <w:sz w:val="24"/>
          <w:szCs w:val="24"/>
          <w:lang w:eastAsia="uk-UA"/>
        </w:rPr>
        <w:tab/>
        <w:t>за період: з 01.01.2022 по 31.12.2022 р.;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1.1.5.</w:t>
      </w:r>
      <w:r w:rsidRPr="00AD2B7C">
        <w:rPr>
          <w:sz w:val="24"/>
          <w:szCs w:val="24"/>
          <w:lang w:eastAsia="uk-UA"/>
        </w:rPr>
        <w:tab/>
        <w:t xml:space="preserve">з періодичністю: один раз на місяць; 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1.1.6.</w:t>
      </w:r>
      <w:r w:rsidRPr="00AD2B7C">
        <w:rPr>
          <w:sz w:val="24"/>
          <w:szCs w:val="24"/>
          <w:lang w:eastAsia="uk-UA"/>
        </w:rPr>
        <w:tab/>
        <w:t>строк поновлення: через 15 (п'ятнадцять) календарних днів з дати закінчення звітного періоду;</w:t>
      </w:r>
    </w:p>
    <w:p w:rsidR="00AD2B7C" w:rsidRPr="00AD2B7C" w:rsidRDefault="00AD2B7C" w:rsidP="00AD2B7C">
      <w:pPr>
        <w:widowControl w:val="0"/>
        <w:tabs>
          <w:tab w:val="left" w:pos="993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1.1.7.</w:t>
      </w:r>
      <w:r w:rsidRPr="00AD2B7C">
        <w:rPr>
          <w:sz w:val="24"/>
          <w:szCs w:val="24"/>
          <w:lang w:eastAsia="uk-UA"/>
        </w:rPr>
        <w:tab/>
        <w:t>формат Системи: електронний, система дослідження ринку «</w:t>
      </w:r>
      <w:proofErr w:type="spellStart"/>
      <w:r w:rsidRPr="00AD2B7C">
        <w:rPr>
          <w:sz w:val="24"/>
          <w:szCs w:val="24"/>
          <w:lang w:eastAsia="uk-UA"/>
        </w:rPr>
        <w:t>Pharmxplorer</w:t>
      </w:r>
      <w:proofErr w:type="spellEnd"/>
      <w:r w:rsidRPr="00AD2B7C">
        <w:rPr>
          <w:sz w:val="24"/>
          <w:szCs w:val="24"/>
          <w:lang w:eastAsia="uk-UA"/>
        </w:rPr>
        <w:t>».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val="ru-RU" w:eastAsia="uk-UA"/>
        </w:rPr>
      </w:pPr>
      <w:r w:rsidRPr="00AD2B7C">
        <w:rPr>
          <w:sz w:val="24"/>
          <w:szCs w:val="24"/>
          <w:lang w:eastAsia="uk-UA"/>
        </w:rPr>
        <w:t>1.2. Використання Системи в обсязі «Госпіталь»</w:t>
      </w:r>
      <w:r w:rsidRPr="00AD2B7C">
        <w:rPr>
          <w:sz w:val="24"/>
          <w:szCs w:val="24"/>
          <w:lang w:val="ru-RU" w:eastAsia="uk-UA"/>
        </w:rPr>
        <w:t>.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Державний госпіталь: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1.2.1. досліджуються: лікарські форми, що надходять до госпітальних закладів України;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 xml:space="preserve">1.2.2. в об’ємі: вся фармацевтична продукція, що відноситься до категорії </w:t>
      </w:r>
      <w:r w:rsidRPr="00AD2B7C">
        <w:rPr>
          <w:sz w:val="24"/>
          <w:szCs w:val="24"/>
          <w:lang w:val="ru-RU" w:eastAsia="uk-UA"/>
        </w:rPr>
        <w:t>«</w:t>
      </w:r>
      <w:r w:rsidRPr="00AD2B7C">
        <w:rPr>
          <w:sz w:val="24"/>
          <w:szCs w:val="24"/>
          <w:lang w:eastAsia="uk-UA"/>
        </w:rPr>
        <w:t>Лікарські засоби</w:t>
      </w:r>
      <w:r w:rsidRPr="00AD2B7C">
        <w:rPr>
          <w:sz w:val="24"/>
          <w:szCs w:val="24"/>
          <w:lang w:val="ru-RU" w:eastAsia="uk-UA"/>
        </w:rPr>
        <w:t>»</w:t>
      </w:r>
      <w:r w:rsidRPr="00AD2B7C">
        <w:rPr>
          <w:sz w:val="24"/>
          <w:szCs w:val="24"/>
          <w:lang w:eastAsia="uk-UA"/>
        </w:rPr>
        <w:t>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1.2.3. географія дослідження: Україна;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1.2.4. за період: з 01.01.2022 по 31.12.2022 р.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1.2.5. з періодичністю: один раз на квартал;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1.2.6. строк поновлення: 30 календарних днів з дати закінчення звітного періоду;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1.2.7. формат Системи: електронний, системи дослідження ринку «</w:t>
      </w:r>
      <w:proofErr w:type="spellStart"/>
      <w:r w:rsidRPr="00AD2B7C">
        <w:rPr>
          <w:sz w:val="24"/>
          <w:szCs w:val="24"/>
          <w:lang w:eastAsia="uk-UA"/>
        </w:rPr>
        <w:t>Pharmxplorer</w:t>
      </w:r>
      <w:proofErr w:type="spellEnd"/>
      <w:r w:rsidRPr="00AD2B7C">
        <w:rPr>
          <w:sz w:val="24"/>
          <w:szCs w:val="24"/>
          <w:lang w:eastAsia="uk-UA"/>
        </w:rPr>
        <w:t>».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1.3. Використання Системи у форматі «</w:t>
      </w:r>
      <w:proofErr w:type="spellStart"/>
      <w:r w:rsidRPr="00AD2B7C">
        <w:rPr>
          <w:sz w:val="24"/>
          <w:szCs w:val="24"/>
          <w:lang w:eastAsia="uk-UA"/>
        </w:rPr>
        <w:t>QlikView</w:t>
      </w:r>
      <w:proofErr w:type="spellEnd"/>
      <w:r w:rsidRPr="00AD2B7C">
        <w:rPr>
          <w:sz w:val="24"/>
          <w:szCs w:val="24"/>
          <w:lang w:eastAsia="uk-UA"/>
        </w:rPr>
        <w:t xml:space="preserve"> </w:t>
      </w:r>
      <w:proofErr w:type="spellStart"/>
      <w:r w:rsidRPr="00AD2B7C">
        <w:rPr>
          <w:sz w:val="24"/>
          <w:szCs w:val="24"/>
          <w:lang w:eastAsia="uk-UA"/>
        </w:rPr>
        <w:t>dashboards</w:t>
      </w:r>
      <w:proofErr w:type="spellEnd"/>
      <w:r w:rsidRPr="00AD2B7C">
        <w:rPr>
          <w:sz w:val="24"/>
          <w:szCs w:val="24"/>
          <w:lang w:eastAsia="uk-UA"/>
        </w:rPr>
        <w:t>»: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 xml:space="preserve">1.3.1. формат: </w:t>
      </w:r>
      <w:proofErr w:type="spellStart"/>
      <w:r w:rsidRPr="00AD2B7C">
        <w:rPr>
          <w:sz w:val="24"/>
          <w:szCs w:val="24"/>
          <w:lang w:eastAsia="uk-UA"/>
        </w:rPr>
        <w:t>dashboard</w:t>
      </w:r>
      <w:proofErr w:type="spellEnd"/>
      <w:r w:rsidRPr="00AD2B7C">
        <w:rPr>
          <w:sz w:val="24"/>
          <w:szCs w:val="24"/>
          <w:lang w:eastAsia="uk-UA"/>
        </w:rPr>
        <w:t xml:space="preserve"> інтегрованих даних у форматі </w:t>
      </w:r>
      <w:proofErr w:type="spellStart"/>
      <w:r w:rsidRPr="00AD2B7C">
        <w:rPr>
          <w:sz w:val="24"/>
          <w:szCs w:val="24"/>
          <w:lang w:eastAsia="uk-UA"/>
        </w:rPr>
        <w:t>QlikView</w:t>
      </w:r>
      <w:proofErr w:type="spellEnd"/>
      <w:r w:rsidRPr="00AD2B7C">
        <w:rPr>
          <w:sz w:val="24"/>
          <w:szCs w:val="24"/>
          <w:lang w:eastAsia="uk-UA"/>
        </w:rPr>
        <w:t xml:space="preserve"> згідно з вимогами </w:t>
      </w:r>
      <w:proofErr w:type="spellStart"/>
      <w:r w:rsidRPr="00AD2B7C">
        <w:rPr>
          <w:sz w:val="24"/>
          <w:szCs w:val="24"/>
          <w:lang w:eastAsia="uk-UA"/>
        </w:rPr>
        <w:t>Субліцензіата</w:t>
      </w:r>
      <w:proofErr w:type="spellEnd"/>
      <w:r w:rsidRPr="00AD2B7C">
        <w:rPr>
          <w:sz w:val="24"/>
          <w:szCs w:val="24"/>
          <w:lang w:eastAsia="uk-UA"/>
        </w:rPr>
        <w:t>: використання в Системі технології «</w:t>
      </w:r>
      <w:proofErr w:type="spellStart"/>
      <w:r w:rsidRPr="00AD2B7C">
        <w:rPr>
          <w:sz w:val="24"/>
          <w:szCs w:val="24"/>
          <w:lang w:eastAsia="uk-UA"/>
        </w:rPr>
        <w:t>QlikView</w:t>
      </w:r>
      <w:proofErr w:type="spellEnd"/>
      <w:r w:rsidRPr="00AD2B7C">
        <w:rPr>
          <w:sz w:val="24"/>
          <w:szCs w:val="24"/>
          <w:lang w:eastAsia="uk-UA"/>
        </w:rPr>
        <w:t xml:space="preserve"> </w:t>
      </w:r>
      <w:proofErr w:type="spellStart"/>
      <w:r w:rsidRPr="00AD2B7C">
        <w:rPr>
          <w:sz w:val="24"/>
          <w:szCs w:val="24"/>
          <w:lang w:eastAsia="uk-UA"/>
        </w:rPr>
        <w:t>dashboards</w:t>
      </w:r>
      <w:proofErr w:type="spellEnd"/>
      <w:r w:rsidRPr="00AD2B7C">
        <w:rPr>
          <w:sz w:val="24"/>
          <w:szCs w:val="24"/>
          <w:lang w:eastAsia="uk-UA"/>
        </w:rPr>
        <w:t>» надає можливість проведення досліджень використання лікарських засобів в госпітальних закладах України, а також роздрібної реалізації лікарських засобів;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1.3.2. інтеграція: забезпечується інтегрована робота системи із іншими частинами Системи;</w:t>
      </w:r>
    </w:p>
    <w:p w:rsidR="00AD2B7C" w:rsidRPr="00AD2B7C" w:rsidRDefault="00AD2B7C" w:rsidP="00AD2B7C">
      <w:pPr>
        <w:widowControl w:val="0"/>
        <w:tabs>
          <w:tab w:val="left" w:pos="284"/>
        </w:tabs>
        <w:spacing w:after="0" w:line="240" w:lineRule="auto"/>
        <w:ind w:firstLine="425"/>
        <w:jc w:val="both"/>
        <w:outlineLvl w:val="1"/>
        <w:rPr>
          <w:sz w:val="24"/>
          <w:szCs w:val="24"/>
          <w:lang w:eastAsia="uk-UA"/>
        </w:rPr>
      </w:pPr>
      <w:r w:rsidRPr="00AD2B7C">
        <w:rPr>
          <w:sz w:val="24"/>
          <w:szCs w:val="24"/>
          <w:lang w:eastAsia="uk-UA"/>
        </w:rPr>
        <w:t>1.3.3. в об’ємі: Україна та області</w:t>
      </w:r>
    </w:p>
    <w:p w:rsidR="00AD2B7C" w:rsidRPr="00AD2B7C" w:rsidRDefault="00AD2B7C" w:rsidP="00AD2B7C">
      <w:pPr>
        <w:widowControl w:val="0"/>
        <w:spacing w:after="0" w:line="240" w:lineRule="auto"/>
        <w:rPr>
          <w:b/>
          <w:sz w:val="24"/>
          <w:szCs w:val="24"/>
          <w:lang w:val="ru-RU"/>
        </w:rPr>
      </w:pPr>
      <w:bookmarkStart w:id="1" w:name="MainTable"/>
      <w:bookmarkEnd w:id="1"/>
      <w:r w:rsidRPr="00AD2B7C">
        <w:rPr>
          <w:rFonts w:ascii="Calibri Light" w:hAnsi="Calibri Light" w:cs="Calibri Light"/>
          <w:sz w:val="24"/>
          <w:szCs w:val="24"/>
        </w:rPr>
        <w:br w:type="textWrapping" w:clear="all"/>
      </w:r>
      <w:r w:rsidRPr="00AD2B7C">
        <w:rPr>
          <w:b/>
          <w:sz w:val="24"/>
          <w:szCs w:val="24"/>
          <w:lang w:val="ru-RU"/>
        </w:rPr>
        <w:t xml:space="preserve">ІІ. Доступ до </w:t>
      </w:r>
      <w:proofErr w:type="spellStart"/>
      <w:r w:rsidRPr="00AD2B7C">
        <w:rPr>
          <w:b/>
          <w:sz w:val="24"/>
          <w:szCs w:val="24"/>
          <w:lang w:val="ru-RU"/>
        </w:rPr>
        <w:t>Системи</w:t>
      </w:r>
      <w:proofErr w:type="spellEnd"/>
      <w:r w:rsidRPr="00AD2B7C">
        <w:rPr>
          <w:b/>
          <w:sz w:val="24"/>
          <w:szCs w:val="24"/>
          <w:lang w:val="ru-RU"/>
        </w:rPr>
        <w:t>:</w:t>
      </w:r>
    </w:p>
    <w:p w:rsidR="00AD2B7C" w:rsidRPr="00AD2B7C" w:rsidRDefault="00AD2B7C" w:rsidP="00AD2B7C">
      <w:pPr>
        <w:widowControl w:val="0"/>
        <w:spacing w:after="0" w:line="240" w:lineRule="auto"/>
        <w:rPr>
          <w:sz w:val="24"/>
          <w:szCs w:val="24"/>
          <w:lang w:val="ru-RU"/>
        </w:rPr>
      </w:pPr>
    </w:p>
    <w:p w:rsidR="00FE03F1" w:rsidRPr="00AD2B7C" w:rsidRDefault="00AD2B7C" w:rsidP="00AD2B7C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  <w:r w:rsidRPr="00AD2B7C">
        <w:rPr>
          <w:sz w:val="24"/>
          <w:szCs w:val="24"/>
          <w:lang w:val="ru-RU"/>
        </w:rPr>
        <w:t xml:space="preserve">Право доступу до </w:t>
      </w:r>
      <w:proofErr w:type="spellStart"/>
      <w:r w:rsidRPr="00AD2B7C">
        <w:rPr>
          <w:sz w:val="24"/>
          <w:szCs w:val="24"/>
          <w:lang w:val="ru-RU"/>
        </w:rPr>
        <w:t>Системи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надається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працівникам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Замовника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відповідно</w:t>
      </w:r>
      <w:proofErr w:type="spellEnd"/>
      <w:r w:rsidRPr="00AD2B7C">
        <w:rPr>
          <w:sz w:val="24"/>
          <w:szCs w:val="24"/>
          <w:lang w:val="ru-RU"/>
        </w:rPr>
        <w:t xml:space="preserve"> до </w:t>
      </w:r>
      <w:proofErr w:type="spellStart"/>
      <w:r w:rsidRPr="00AD2B7C">
        <w:rPr>
          <w:sz w:val="24"/>
          <w:szCs w:val="24"/>
          <w:lang w:val="ru-RU"/>
        </w:rPr>
        <w:t>переліку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осіб</w:t>
      </w:r>
      <w:proofErr w:type="spellEnd"/>
      <w:r w:rsidRPr="00AD2B7C">
        <w:rPr>
          <w:sz w:val="24"/>
          <w:szCs w:val="24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зі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сторони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Замовника</w:t>
      </w:r>
      <w:proofErr w:type="spellEnd"/>
      <w:r w:rsidRPr="00AD2B7C">
        <w:rPr>
          <w:sz w:val="24"/>
          <w:szCs w:val="24"/>
          <w:lang w:val="ru-RU"/>
        </w:rPr>
        <w:t xml:space="preserve">, </w:t>
      </w:r>
      <w:proofErr w:type="spellStart"/>
      <w:r w:rsidRPr="00AD2B7C">
        <w:rPr>
          <w:sz w:val="24"/>
          <w:szCs w:val="24"/>
          <w:lang w:val="ru-RU"/>
        </w:rPr>
        <w:t>які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мають</w:t>
      </w:r>
      <w:proofErr w:type="spellEnd"/>
      <w:r w:rsidRPr="00AD2B7C">
        <w:rPr>
          <w:sz w:val="24"/>
          <w:szCs w:val="24"/>
          <w:lang w:val="ru-RU"/>
        </w:rPr>
        <w:t xml:space="preserve"> право доступу до </w:t>
      </w:r>
      <w:proofErr w:type="spellStart"/>
      <w:r w:rsidRPr="00AD2B7C">
        <w:rPr>
          <w:sz w:val="24"/>
          <w:szCs w:val="24"/>
          <w:lang w:val="ru-RU"/>
        </w:rPr>
        <w:t>системи</w:t>
      </w:r>
      <w:proofErr w:type="spellEnd"/>
      <w:r w:rsidRPr="00AD2B7C">
        <w:rPr>
          <w:sz w:val="24"/>
          <w:szCs w:val="24"/>
          <w:lang w:val="ru-RU"/>
        </w:rPr>
        <w:t xml:space="preserve">, </w:t>
      </w:r>
      <w:proofErr w:type="spellStart"/>
      <w:r w:rsidRPr="00AD2B7C">
        <w:rPr>
          <w:sz w:val="24"/>
          <w:szCs w:val="24"/>
          <w:lang w:val="ru-RU"/>
        </w:rPr>
        <w:t>оформленим</w:t>
      </w:r>
      <w:proofErr w:type="spellEnd"/>
      <w:r w:rsidRPr="00AD2B7C">
        <w:rPr>
          <w:sz w:val="24"/>
          <w:szCs w:val="24"/>
          <w:lang w:val="ru-RU"/>
        </w:rPr>
        <w:t xml:space="preserve"> у </w:t>
      </w:r>
      <w:proofErr w:type="spellStart"/>
      <w:r w:rsidRPr="00AD2B7C">
        <w:rPr>
          <w:sz w:val="24"/>
          <w:szCs w:val="24"/>
          <w:lang w:val="ru-RU"/>
        </w:rPr>
        <w:t>вигляді</w:t>
      </w:r>
      <w:proofErr w:type="spellEnd"/>
      <w:r w:rsidRPr="00AD2B7C">
        <w:rPr>
          <w:sz w:val="24"/>
          <w:szCs w:val="24"/>
          <w:lang w:val="ru-RU"/>
        </w:rPr>
        <w:t xml:space="preserve"> </w:t>
      </w:r>
      <w:proofErr w:type="spellStart"/>
      <w:r w:rsidRPr="00AD2B7C">
        <w:rPr>
          <w:sz w:val="24"/>
          <w:szCs w:val="24"/>
          <w:lang w:val="ru-RU"/>
        </w:rPr>
        <w:t>додатку</w:t>
      </w:r>
      <w:proofErr w:type="spellEnd"/>
      <w:r w:rsidRPr="00AD2B7C">
        <w:rPr>
          <w:sz w:val="24"/>
          <w:szCs w:val="24"/>
          <w:lang w:val="ru-RU"/>
        </w:rPr>
        <w:t xml:space="preserve"> до Договору.</w:t>
      </w:r>
    </w:p>
    <w:p w:rsidR="00B13AE1" w:rsidRDefault="00B13AE1" w:rsidP="00FE03F1">
      <w:pPr>
        <w:spacing w:after="0" w:line="240" w:lineRule="auto"/>
        <w:rPr>
          <w:rFonts w:eastAsia="Times New Roman"/>
          <w:color w:val="454545"/>
          <w:sz w:val="24"/>
          <w:szCs w:val="24"/>
          <w:lang w:val="ru-RU"/>
        </w:rPr>
      </w:pPr>
    </w:p>
    <w:sectPr w:rsidR="00B13AE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3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464210"/>
    <w:rsid w:val="006475BF"/>
    <w:rsid w:val="006E7BB0"/>
    <w:rsid w:val="00771B9F"/>
    <w:rsid w:val="008F5404"/>
    <w:rsid w:val="0094383F"/>
    <w:rsid w:val="00951F25"/>
    <w:rsid w:val="00A15E85"/>
    <w:rsid w:val="00AD2B7C"/>
    <w:rsid w:val="00B13AE1"/>
    <w:rsid w:val="00E543AA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9E69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3-31-000247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19</cp:revision>
  <dcterms:created xsi:type="dcterms:W3CDTF">2021-12-15T12:41:00Z</dcterms:created>
  <dcterms:modified xsi:type="dcterms:W3CDTF">2022-03-31T11:09:00Z</dcterms:modified>
</cp:coreProperties>
</file>