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20741D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20741D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20741D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20741D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C2D71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 </w:t>
      </w:r>
      <w:r w:rsidRPr="0022181C">
        <w:rPr>
          <w:rFonts w:ascii="Arial" w:eastAsia="Times New Roman" w:hAnsi="Arial" w:cs="Arial"/>
          <w:b/>
          <w:lang w:val="uk-UA" w:eastAsia="uk-UA"/>
        </w:rPr>
        <w:t>СПОЛУЧЕНИХ ШТАТІВ АМЕРИКИ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, </w:t>
      </w:r>
      <w:r w:rsidRPr="00097BCB">
        <w:rPr>
          <w:rFonts w:ascii="Arial" w:eastAsia="Times New Roman" w:hAnsi="Arial" w:cs="Arial"/>
          <w:b/>
          <w:u w:val="single"/>
          <w:lang w:val="uk-UA"/>
        </w:rPr>
        <w:t>ШВЕЙЦАРСЬКОЇ КОНФЕДЕРАЦІЇ</w:t>
      </w:r>
      <w:r w:rsidRPr="0020741D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</w:t>
      </w:r>
      <w:r w:rsidRPr="00BC2D71">
        <w:rPr>
          <w:rFonts w:ascii="Arial" w:eastAsia="Times New Roman" w:hAnsi="Arial" w:cs="Arial"/>
          <w:b/>
          <w:lang w:val="uk-UA" w:eastAsia="uk-UA"/>
        </w:rPr>
        <w:t xml:space="preserve">ЗАРЕЄСТРОВАНІ КОМПЕТЕНТНИМ ОРГАНОМ </w:t>
      </w:r>
      <w:r w:rsidRPr="005B26D8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20741D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418"/>
        <w:gridCol w:w="1134"/>
        <w:gridCol w:w="2126"/>
        <w:gridCol w:w="1418"/>
        <w:gridCol w:w="2835"/>
        <w:gridCol w:w="1134"/>
        <w:gridCol w:w="1559"/>
      </w:tblGrid>
      <w:tr w:rsidR="0022345A" w:rsidRPr="0020741D" w:rsidTr="00F724CA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D45568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5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D45568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5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D45568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5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D45568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5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D45568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5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D45568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5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D45568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5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D45568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5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D45568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5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D45568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455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43899" w:rsidRPr="0020741D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43899" w:rsidRPr="00D45568" w:rsidRDefault="00743899" w:rsidP="0074389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743899" w:rsidRPr="008F325C" w:rsidRDefault="00743899" w:rsidP="0074389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F325C">
              <w:rPr>
                <w:rFonts w:ascii="Arial" w:hAnsi="Arial" w:cs="Arial"/>
                <w:b/>
                <w:sz w:val="16"/>
                <w:szCs w:val="16"/>
              </w:rPr>
              <w:t>ЛОЗАРТАН САНДОЗ® LOSARTAN SANDOZ®</w:t>
            </w:r>
          </w:p>
        </w:tc>
        <w:tc>
          <w:tcPr>
            <w:tcW w:w="1701" w:type="dxa"/>
            <w:shd w:val="clear" w:color="auto" w:fill="FFFFFF"/>
          </w:tcPr>
          <w:p w:rsidR="00743899" w:rsidRPr="008F325C" w:rsidRDefault="00743899" w:rsidP="0074389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 мг, по 14 таблеток,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43899" w:rsidRPr="008F325C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43899" w:rsidRPr="008F325C" w:rsidRDefault="00743899" w:rsidP="00743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7454E5" w:rsidRDefault="00743899" w:rsidP="00743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454E5" w:rsidRDefault="00743899" w:rsidP="00743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Груп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Саглик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Урунлері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Ілакларі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Сан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Тік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. А.С.,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454E5" w:rsidRDefault="00743899" w:rsidP="00743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Салютас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7454E5" w:rsidRPr="007454E5" w:rsidRDefault="00743899" w:rsidP="00743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7454E5" w:rsidRDefault="00743899" w:rsidP="00743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454E5" w:rsidRPr="007454E5" w:rsidRDefault="00743899" w:rsidP="00743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Лек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7454E5" w:rsidRDefault="00743899" w:rsidP="00743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Генвеон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Ілак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Санай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Тікарет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А.С.,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43899" w:rsidRPr="008F325C" w:rsidRDefault="00743899" w:rsidP="00743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С.К.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С.Р.Л.,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43899" w:rsidRDefault="007454E5" w:rsidP="00743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Туреччина/</w:t>
            </w:r>
          </w:p>
          <w:p w:rsidR="007454E5" w:rsidRDefault="007454E5" w:rsidP="00743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7454E5" w:rsidRDefault="007454E5" w:rsidP="00743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7454E5" w:rsidRPr="007454E5" w:rsidRDefault="007454E5" w:rsidP="00743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Румунія</w:t>
            </w:r>
          </w:p>
        </w:tc>
        <w:tc>
          <w:tcPr>
            <w:tcW w:w="2835" w:type="dxa"/>
            <w:shd w:val="clear" w:color="auto" w:fill="FFFFFF"/>
          </w:tcPr>
          <w:p w:rsidR="00743899" w:rsidRPr="008F325C" w:rsidRDefault="00743899" w:rsidP="00743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.6 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): Зміна будь-якої частини матеріалу первинної упаковки, що не контактує з готовим лікарським засобом (наприклад колір кришечок з контролем першого відкриття, колір кодових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кілець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на ампулах, контейнера для голок (різні види пластмаси), зміна, яка не впливає на коротку характеристику лікарського засобу.</w:t>
            </w:r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Removal of Nitrocellulose from lidding foil does not affect the Product information. Registered information concerning lidding foil is only updated in dossier section 3.2.P.7.</w:t>
            </w:r>
          </w:p>
        </w:tc>
        <w:tc>
          <w:tcPr>
            <w:tcW w:w="1134" w:type="dxa"/>
            <w:shd w:val="clear" w:color="auto" w:fill="FFFFFF"/>
          </w:tcPr>
          <w:p w:rsidR="00743899" w:rsidRPr="008F325C" w:rsidRDefault="00743899" w:rsidP="00743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F325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43899" w:rsidRPr="008F325C" w:rsidRDefault="00743899" w:rsidP="0074389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325C">
              <w:rPr>
                <w:rFonts w:ascii="Arial" w:hAnsi="Arial" w:cs="Arial"/>
                <w:sz w:val="16"/>
                <w:szCs w:val="16"/>
              </w:rPr>
              <w:t>UA/18672/01/01</w:t>
            </w:r>
          </w:p>
        </w:tc>
      </w:tr>
      <w:tr w:rsidR="007454E5" w:rsidRPr="0020741D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454E5" w:rsidRPr="00D45568" w:rsidRDefault="007454E5" w:rsidP="007454E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7454E5" w:rsidRPr="008F325C" w:rsidRDefault="007454E5" w:rsidP="007454E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F325C">
              <w:rPr>
                <w:rFonts w:ascii="Arial" w:hAnsi="Arial" w:cs="Arial"/>
                <w:b/>
                <w:sz w:val="16"/>
                <w:szCs w:val="16"/>
              </w:rPr>
              <w:t>ЛОЗАРТАН САНДОЗ® LOSARTAN SANDOZ®</w:t>
            </w:r>
          </w:p>
        </w:tc>
        <w:tc>
          <w:tcPr>
            <w:tcW w:w="1701" w:type="dxa"/>
            <w:shd w:val="clear" w:color="auto" w:fill="FFFFFF"/>
          </w:tcPr>
          <w:p w:rsidR="007454E5" w:rsidRPr="008F325C" w:rsidRDefault="007454E5" w:rsidP="007454E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 мг, по 14 таблеток,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блістерів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454E5" w:rsidRPr="008F325C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454E5" w:rsidRPr="008F325C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7454E5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454E5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Груп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Саглик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Урунлері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Ілакларі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Сан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Тік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. А.С.,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нерозфасованого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454E5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Салютас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7454E5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454E5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454E5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Генвеон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Ілак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Санай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Тікарет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А.С.,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7454E5" w:rsidRPr="008F325C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С.К.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С.Р.Л.,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454E5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Туреччина/</w:t>
            </w:r>
          </w:p>
          <w:p w:rsidR="007454E5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7454E5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7454E5" w:rsidRPr="007454E5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Румунія</w:t>
            </w:r>
          </w:p>
        </w:tc>
        <w:tc>
          <w:tcPr>
            <w:tcW w:w="2835" w:type="dxa"/>
            <w:shd w:val="clear" w:color="auto" w:fill="FFFFFF"/>
          </w:tcPr>
          <w:p w:rsidR="007454E5" w:rsidRPr="008F325C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.6 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): Зміна будь-якої частини матеріалу первинної упаковки, що не контактує з готовим лікарським засобом (наприклад колір кришечок з контролем першого відкриття, колір кодових </w:t>
            </w:r>
            <w:proofErr w:type="spellStart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кілець</w:t>
            </w:r>
            <w:proofErr w:type="spellEnd"/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на ампулах, </w:t>
            </w:r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контейнера для голок (різні види пластмаси), зміна, яка не впливає на коротку характеристику лікарського засобу.</w:t>
            </w:r>
            <w:r w:rsidRPr="007454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Removal of Nitrocellulose from lidding foil does not affect the Product information. Registered information concerning lidding foil is only updated in dossier section 3.2.P.7.</w:t>
            </w:r>
          </w:p>
        </w:tc>
        <w:tc>
          <w:tcPr>
            <w:tcW w:w="1134" w:type="dxa"/>
            <w:shd w:val="clear" w:color="auto" w:fill="FFFFFF"/>
          </w:tcPr>
          <w:p w:rsidR="007454E5" w:rsidRPr="008F325C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8F325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454E5" w:rsidRPr="008F325C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325C">
              <w:rPr>
                <w:rFonts w:ascii="Arial" w:hAnsi="Arial" w:cs="Arial"/>
                <w:sz w:val="16"/>
                <w:szCs w:val="16"/>
              </w:rPr>
              <w:t>UA/18672/01/02</w:t>
            </w:r>
          </w:p>
        </w:tc>
      </w:tr>
      <w:tr w:rsidR="007454E5" w:rsidRPr="0020741D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454E5" w:rsidRPr="00D45568" w:rsidRDefault="007454E5" w:rsidP="007454E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7454E5" w:rsidRPr="008F325C" w:rsidRDefault="007454E5" w:rsidP="007454E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F325C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1701" w:type="dxa"/>
            <w:shd w:val="clear" w:color="auto" w:fill="FFFFFF"/>
          </w:tcPr>
          <w:p w:rsidR="007454E5" w:rsidRPr="008F325C" w:rsidRDefault="007454E5" w:rsidP="007454E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Од./мл+50 мкг/мл; №3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7454E5" w:rsidRPr="008F325C" w:rsidRDefault="00253D78" w:rsidP="00253D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7454E5" w:rsidRPr="008F325C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7454E5" w:rsidRPr="008F325C" w:rsidRDefault="007454E5" w:rsidP="00253D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7454E5" w:rsidRPr="008F325C" w:rsidRDefault="00253D78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7454E5" w:rsidRPr="008F325C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місцерозташування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місце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основної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, а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саме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було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: 1, Avenue Pierre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Brossolette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91385 – Chilly-Mazarin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Cedex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France;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стало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: 1, Avenue Pierre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Brossolette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91380 – Chilly-Mazarin, France.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Місцезнаходження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мастер-файлу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чи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власне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фактичне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місце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основної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змінилося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Оновилось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тільки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зазначення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внаслідок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гармонізації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написання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адрес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країни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не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потребує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традиційного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ЕМА.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особа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групи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компаній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Sanofi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глобальному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рівні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Ерік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Тео, доктор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медицини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стало: Хайке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Шоппер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доктор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медицини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УОВФ та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Керівник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напряму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загальної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медицини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454E5" w:rsidRPr="008F325C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8F325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7454E5" w:rsidRPr="008F325C" w:rsidRDefault="007454E5" w:rsidP="007454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325C">
              <w:rPr>
                <w:rFonts w:ascii="Arial" w:hAnsi="Arial" w:cs="Arial"/>
                <w:sz w:val="16"/>
                <w:szCs w:val="16"/>
              </w:rPr>
              <w:t>UA/16774/01/01</w:t>
            </w:r>
          </w:p>
        </w:tc>
      </w:tr>
      <w:tr w:rsidR="00253D78" w:rsidRPr="0020741D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53D78" w:rsidRPr="00D45568" w:rsidRDefault="00253D78" w:rsidP="00253D7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253D78" w:rsidRPr="008F325C" w:rsidRDefault="00253D78" w:rsidP="00253D7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F325C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1701" w:type="dxa"/>
            <w:shd w:val="clear" w:color="auto" w:fill="FFFFFF"/>
          </w:tcPr>
          <w:p w:rsidR="00253D78" w:rsidRPr="008F325C" w:rsidRDefault="00253D78" w:rsidP="00253D7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Од./мл+33 мкг/мл; №3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253D78" w:rsidRPr="008F325C" w:rsidRDefault="00253D78" w:rsidP="00253D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253D78" w:rsidRPr="008F325C" w:rsidRDefault="00253D78" w:rsidP="00253D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253D78" w:rsidRPr="008F325C" w:rsidRDefault="00253D78" w:rsidP="00253D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253D78" w:rsidRPr="008F325C" w:rsidRDefault="00253D78" w:rsidP="00253D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253D78" w:rsidRPr="008F325C" w:rsidRDefault="00253D78" w:rsidP="00253D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місцерозташування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місце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основної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, а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саме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було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: 1, Avenue Pierre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Brossolette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91385 – Chilly-Mazarin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Cedex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France;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стало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: 1, Avenue Pierre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Brossolette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91380 – Chilly-Mazarin, France.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Місцезнаходження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мастер-файлу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чи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власне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фактичне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місце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основної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змінилося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Оновилось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тільки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зазначення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адреси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внаслідок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гармонізації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написання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адрес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законодавства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країни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не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потребує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традиційного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ЕМА.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Оновлення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особа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групи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компаній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</w:rPr>
              <w:t>Sanofi</w:t>
            </w:r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відповідальна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глобальному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рівні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Було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Ерік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Тео, доктор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медицини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стало: Хайке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Шоппер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доктор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медицини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УОВФ та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Керівник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напряму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загальної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медицини</w:t>
            </w:r>
            <w:proofErr w:type="spellEnd"/>
            <w:r w:rsidRPr="008F32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253D78" w:rsidRPr="008F325C" w:rsidRDefault="00253D78" w:rsidP="00253D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F325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F325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F325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253D78" w:rsidRPr="008F325C" w:rsidRDefault="00253D78" w:rsidP="00253D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325C">
              <w:rPr>
                <w:rFonts w:ascii="Arial" w:hAnsi="Arial" w:cs="Arial"/>
                <w:sz w:val="16"/>
                <w:szCs w:val="16"/>
              </w:rPr>
              <w:t>UA/16775/01/01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233D6"/>
    <w:rsid w:val="0003385A"/>
    <w:rsid w:val="00056B16"/>
    <w:rsid w:val="00067200"/>
    <w:rsid w:val="00067616"/>
    <w:rsid w:val="00071657"/>
    <w:rsid w:val="00084B8B"/>
    <w:rsid w:val="00097BCB"/>
    <w:rsid w:val="000A5C84"/>
    <w:rsid w:val="000C4A9C"/>
    <w:rsid w:val="000D1E35"/>
    <w:rsid w:val="000D5EC9"/>
    <w:rsid w:val="000E69A9"/>
    <w:rsid w:val="00104F10"/>
    <w:rsid w:val="00105B45"/>
    <w:rsid w:val="0012777F"/>
    <w:rsid w:val="001316FC"/>
    <w:rsid w:val="00136304"/>
    <w:rsid w:val="001A6C6E"/>
    <w:rsid w:val="001C0827"/>
    <w:rsid w:val="0020741D"/>
    <w:rsid w:val="002118D8"/>
    <w:rsid w:val="002210A8"/>
    <w:rsid w:val="0022181C"/>
    <w:rsid w:val="0022345A"/>
    <w:rsid w:val="00253D78"/>
    <w:rsid w:val="0026356E"/>
    <w:rsid w:val="00272825"/>
    <w:rsid w:val="00281E94"/>
    <w:rsid w:val="002B2767"/>
    <w:rsid w:val="00317729"/>
    <w:rsid w:val="00334B77"/>
    <w:rsid w:val="00361AD6"/>
    <w:rsid w:val="0037607D"/>
    <w:rsid w:val="00381239"/>
    <w:rsid w:val="00391365"/>
    <w:rsid w:val="003E061E"/>
    <w:rsid w:val="003E6B4C"/>
    <w:rsid w:val="00410C05"/>
    <w:rsid w:val="00444987"/>
    <w:rsid w:val="00457D69"/>
    <w:rsid w:val="00496BA5"/>
    <w:rsid w:val="004B636E"/>
    <w:rsid w:val="004C5513"/>
    <w:rsid w:val="00504DC8"/>
    <w:rsid w:val="005069A0"/>
    <w:rsid w:val="005535B6"/>
    <w:rsid w:val="005556EF"/>
    <w:rsid w:val="00557F28"/>
    <w:rsid w:val="0057287B"/>
    <w:rsid w:val="005964D6"/>
    <w:rsid w:val="005B26D8"/>
    <w:rsid w:val="005B5E76"/>
    <w:rsid w:val="005D0FCD"/>
    <w:rsid w:val="005D2647"/>
    <w:rsid w:val="005D4A8A"/>
    <w:rsid w:val="005F5349"/>
    <w:rsid w:val="00650131"/>
    <w:rsid w:val="0066225C"/>
    <w:rsid w:val="006A5E0D"/>
    <w:rsid w:val="006B6ED0"/>
    <w:rsid w:val="006C05C1"/>
    <w:rsid w:val="006C1891"/>
    <w:rsid w:val="006C1E86"/>
    <w:rsid w:val="006C289F"/>
    <w:rsid w:val="006C2B90"/>
    <w:rsid w:val="006C3CE3"/>
    <w:rsid w:val="006D2B6D"/>
    <w:rsid w:val="006D4CBA"/>
    <w:rsid w:val="006E31E3"/>
    <w:rsid w:val="007014E8"/>
    <w:rsid w:val="007345E1"/>
    <w:rsid w:val="00743899"/>
    <w:rsid w:val="007454E5"/>
    <w:rsid w:val="00752229"/>
    <w:rsid w:val="00762DCF"/>
    <w:rsid w:val="007736F7"/>
    <w:rsid w:val="00792B19"/>
    <w:rsid w:val="00796BAB"/>
    <w:rsid w:val="00873EB1"/>
    <w:rsid w:val="00892405"/>
    <w:rsid w:val="008956FD"/>
    <w:rsid w:val="008B27F6"/>
    <w:rsid w:val="008D7DD8"/>
    <w:rsid w:val="008E0472"/>
    <w:rsid w:val="008E1114"/>
    <w:rsid w:val="00915E93"/>
    <w:rsid w:val="00937275"/>
    <w:rsid w:val="00982CA2"/>
    <w:rsid w:val="00983E38"/>
    <w:rsid w:val="009968A0"/>
    <w:rsid w:val="009C6BAE"/>
    <w:rsid w:val="009C6D6A"/>
    <w:rsid w:val="00A053EB"/>
    <w:rsid w:val="00A07E95"/>
    <w:rsid w:val="00A21F3D"/>
    <w:rsid w:val="00A44450"/>
    <w:rsid w:val="00A715EE"/>
    <w:rsid w:val="00A7279E"/>
    <w:rsid w:val="00A753F4"/>
    <w:rsid w:val="00A7687D"/>
    <w:rsid w:val="00A80A20"/>
    <w:rsid w:val="00A95670"/>
    <w:rsid w:val="00AD4093"/>
    <w:rsid w:val="00AE46D9"/>
    <w:rsid w:val="00B2596A"/>
    <w:rsid w:val="00B32B75"/>
    <w:rsid w:val="00B64E0B"/>
    <w:rsid w:val="00B654B6"/>
    <w:rsid w:val="00BB0916"/>
    <w:rsid w:val="00BB61FD"/>
    <w:rsid w:val="00BC2D71"/>
    <w:rsid w:val="00BD4391"/>
    <w:rsid w:val="00BD6E53"/>
    <w:rsid w:val="00BE2252"/>
    <w:rsid w:val="00C1675F"/>
    <w:rsid w:val="00C20038"/>
    <w:rsid w:val="00C20FF5"/>
    <w:rsid w:val="00C2282D"/>
    <w:rsid w:val="00C233F1"/>
    <w:rsid w:val="00C3799A"/>
    <w:rsid w:val="00C42121"/>
    <w:rsid w:val="00C57B98"/>
    <w:rsid w:val="00C83008"/>
    <w:rsid w:val="00CB6029"/>
    <w:rsid w:val="00D3614F"/>
    <w:rsid w:val="00D45568"/>
    <w:rsid w:val="00D642BA"/>
    <w:rsid w:val="00D81607"/>
    <w:rsid w:val="00D84E0D"/>
    <w:rsid w:val="00D86F98"/>
    <w:rsid w:val="00DB7977"/>
    <w:rsid w:val="00E02FF6"/>
    <w:rsid w:val="00E55D98"/>
    <w:rsid w:val="00E85EED"/>
    <w:rsid w:val="00E90625"/>
    <w:rsid w:val="00EB5CE5"/>
    <w:rsid w:val="00EE5D02"/>
    <w:rsid w:val="00EF0C6D"/>
    <w:rsid w:val="00EF3AC3"/>
    <w:rsid w:val="00F034E6"/>
    <w:rsid w:val="00F05704"/>
    <w:rsid w:val="00F661EC"/>
    <w:rsid w:val="00F724CA"/>
    <w:rsid w:val="00F8267D"/>
    <w:rsid w:val="00F9263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FC7DA9-DB5F-4356-9E90-83858C1B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2022-07-04T06:59:00Z</dcterms:created>
  <dcterms:modified xsi:type="dcterms:W3CDTF">2022-07-04T06:59:00Z</dcterms:modified>
</cp:coreProperties>
</file>