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F75DF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F75D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7E575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СПОЛУЧЕНИХ ШТАТІВ АМЕРИКИ, </w:t>
      </w:r>
      <w:r w:rsidRPr="007E5759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1838A1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E5759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134"/>
        <w:gridCol w:w="1134"/>
        <w:gridCol w:w="1701"/>
        <w:gridCol w:w="1276"/>
        <w:gridCol w:w="4111"/>
        <w:gridCol w:w="1134"/>
        <w:gridCol w:w="1559"/>
      </w:tblGrid>
      <w:tr w:rsidR="00670809" w:rsidRPr="003F75DF" w:rsidTr="00DF4FD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526600" w:rsidRDefault="00670809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60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70809" w:rsidRPr="00AE6E6E" w:rsidTr="00DF4FD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70809" w:rsidRPr="00526600" w:rsidRDefault="00670809" w:rsidP="0052660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b/>
                <w:sz w:val="16"/>
                <w:szCs w:val="16"/>
              </w:rPr>
              <w:t>КАРВЕДИЛОЛ САНДОЗ®</w:t>
            </w:r>
          </w:p>
        </w:tc>
        <w:tc>
          <w:tcPr>
            <w:tcW w:w="1559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12,5 мг; по 10 таблеток у блістері, по 3 блістери в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670809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та вторинне пакування, тестування, дозвіл на випуск серії: </w:t>
            </w:r>
          </w:p>
          <w:p w:rsidR="00670809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08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Салютас Фарма ГмбХ, Німеччина; </w:t>
            </w:r>
          </w:p>
          <w:p w:rsidR="00670809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08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первинне та вторинне пакування: </w:t>
            </w:r>
          </w:p>
          <w:p w:rsidR="00670809" w:rsidRPr="00670809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08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Клоке Ферпекунгс-Сервіс, Німеччина</w:t>
            </w:r>
          </w:p>
        </w:tc>
        <w:tc>
          <w:tcPr>
            <w:tcW w:w="1276" w:type="dxa"/>
            <w:shd w:val="clear" w:color="auto" w:fill="FFFFFF"/>
          </w:tcPr>
          <w:p w:rsidR="00670809" w:rsidRPr="00670809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4111" w:type="dxa"/>
            <w:shd w:val="clear" w:color="auto" w:fill="FFFFFF"/>
          </w:tcPr>
          <w:p w:rsidR="00306DC1" w:rsidRPr="00306DC1" w:rsidRDefault="00306DC1" w:rsidP="00306DC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06DC1">
              <w:rPr>
                <w:rFonts w:ascii="Arial" w:hAnsi="Arial" w:cs="Arial"/>
                <w:sz w:val="16"/>
                <w:szCs w:val="16"/>
                <w:lang w:val="uk-UA"/>
              </w:rPr>
              <w:t>Якість, ІА</w:t>
            </w:r>
          </w:p>
          <w:p w:rsidR="00306DC1" w:rsidRPr="00306DC1" w:rsidRDefault="00306DC1" w:rsidP="00306DC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6DC1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a) Tightening of specification limits of </w:t>
            </w:r>
            <w:r w:rsidRPr="00306DC1">
              <w:rPr>
                <w:rFonts w:ascii="Arial" w:hAnsi="Arial" w:cs="Arial"/>
                <w:b/>
                <w:bCs/>
                <w:sz w:val="16"/>
                <w:szCs w:val="16"/>
              </w:rPr>
              <w:t>mercury</w:t>
            </w:r>
            <w:r w:rsidRPr="00306DC1">
              <w:rPr>
                <w:rFonts w:ascii="Arial" w:hAnsi="Arial" w:cs="Arial"/>
                <w:bCs/>
                <w:sz w:val="16"/>
                <w:szCs w:val="16"/>
              </w:rPr>
              <w:t xml:space="preserve"> in Iron oxide yellow and Iron oxide red: Analytical Item Current Specification Mercury Max. 3 μg/g; Analytical Item Proposed Specification Mercury Max. 1 mg/kg</w:t>
            </w:r>
          </w:p>
          <w:p w:rsidR="00670809" w:rsidRDefault="00306DC1" w:rsidP="00306DC1">
            <w:pPr>
              <w:pStyle w:val="a3"/>
              <w:tabs>
                <w:tab w:val="left" w:pos="12600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306DC1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b) Addition of specification parameter </w:t>
            </w:r>
            <w:r w:rsidRPr="00306DC1">
              <w:rPr>
                <w:rFonts w:ascii="Arial" w:hAnsi="Arial" w:cs="Arial"/>
                <w:b/>
                <w:bCs/>
                <w:sz w:val="16"/>
                <w:szCs w:val="16"/>
              </w:rPr>
              <w:t>Appearance</w:t>
            </w:r>
            <w:r w:rsidRPr="00306DC1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</w:t>
            </w:r>
            <w:r w:rsidRPr="00306DC1">
              <w:rPr>
                <w:rFonts w:ascii="Arial" w:hAnsi="Arial" w:cs="Arial"/>
                <w:bCs/>
                <w:sz w:val="16"/>
                <w:szCs w:val="16"/>
                <w:lang w:val="uk-UA"/>
              </w:rPr>
              <w:t>:</w:t>
            </w:r>
          </w:p>
          <w:tbl>
            <w:tblPr>
              <w:tblW w:w="3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985"/>
            </w:tblGrid>
            <w:tr w:rsidR="00306DC1" w:rsidRPr="0016202B" w:rsidTr="0016202B">
              <w:trPr>
                <w:trHeight w:val="58"/>
              </w:trPr>
              <w:tc>
                <w:tcPr>
                  <w:tcW w:w="1871" w:type="dxa"/>
                  <w:shd w:val="clear" w:color="auto" w:fill="auto"/>
                </w:tcPr>
                <w:p w:rsidR="00306DC1" w:rsidRPr="0016202B" w:rsidRDefault="00306DC1" w:rsidP="0016202B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  <w:lang w:val="uk-UA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Analytical Item Current Specification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yellow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r w:rsidRPr="0016202B"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</w:rPr>
                    <w:t>-- --</w:t>
                  </w:r>
                  <w:r w:rsidRPr="0016202B"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; </w:t>
                  </w:r>
                </w:p>
                <w:p w:rsidR="00306DC1" w:rsidRPr="0016202B" w:rsidRDefault="00306DC1" w:rsidP="0016202B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</w:pPr>
                </w:p>
                <w:p w:rsidR="00306DC1" w:rsidRPr="0016202B" w:rsidRDefault="00306DC1" w:rsidP="0016202B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  <w:lang w:val="uk-UA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Analytical Item Current Specification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red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r w:rsidRPr="0016202B"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</w:rPr>
                    <w:t>-- --</w:t>
                  </w:r>
                  <w:r w:rsidRPr="0016202B"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  <w:lang w:val="uk-UA"/>
                    </w:rPr>
                    <w:t>;</w:t>
                  </w:r>
                </w:p>
                <w:p w:rsidR="00306DC1" w:rsidRPr="0016202B" w:rsidRDefault="00306DC1" w:rsidP="00306DC1">
                  <w:pPr>
                    <w:rPr>
                      <w:rFonts w:ascii="Arial" w:eastAsia="Times New Roman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06DC1" w:rsidRPr="0016202B" w:rsidRDefault="00306DC1" w:rsidP="0016202B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Cs/>
                      <w:i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i/>
                      <w:sz w:val="16"/>
                      <w:szCs w:val="16"/>
                    </w:rPr>
                    <w:t>Analytical Item Proposed Specification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sz w:val="16"/>
                      <w:szCs w:val="16"/>
                      <w:lang w:val="uk-UA"/>
                    </w:rPr>
                    <w:t xml:space="preserve"> 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sz w:val="16"/>
                      <w:szCs w:val="16"/>
                    </w:rPr>
                    <w:t>yellow</w:t>
                  </w:r>
                </w:p>
                <w:p w:rsidR="00306DC1" w:rsidRPr="0016202B" w:rsidRDefault="00306DC1" w:rsidP="0016202B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Appearance yellow powder</w:t>
                  </w:r>
                </w:p>
                <w:p w:rsidR="00306DC1" w:rsidRPr="0016202B" w:rsidRDefault="00306DC1" w:rsidP="0016202B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Analytical Item Proposed Specification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yellow</w:t>
                  </w:r>
                </w:p>
                <w:p w:rsidR="00306DC1" w:rsidRPr="0016202B" w:rsidRDefault="00306DC1" w:rsidP="00306DC1">
                  <w:pPr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Appearance red powder</w:t>
                  </w:r>
                </w:p>
              </w:tc>
            </w:tr>
          </w:tbl>
          <w:p w:rsidR="00306DC1" w:rsidRDefault="00306DC1" w:rsidP="00306DC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>Q-AE IA Spez HS B.II.c.1 c) Deletion of a non-significant specification parameter of Identity:</w:t>
            </w:r>
          </w:p>
          <w:p w:rsidR="00306DC1" w:rsidRDefault="00306DC1" w:rsidP="00306DC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3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987"/>
            </w:tblGrid>
            <w:tr w:rsidR="00306DC1" w:rsidRPr="0016202B" w:rsidTr="0016202B">
              <w:trPr>
                <w:trHeight w:val="1415"/>
              </w:trPr>
              <w:tc>
                <w:tcPr>
                  <w:tcW w:w="1871" w:type="dxa"/>
                  <w:shd w:val="clear" w:color="auto" w:fill="auto"/>
                </w:tcPr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Analytical Item Current Specification yellow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Characters A yellow crystalline powder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Analytical Item Current Specification red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Characters A red crystalline powder</w:t>
                  </w:r>
                </w:p>
              </w:tc>
              <w:tc>
                <w:tcPr>
                  <w:tcW w:w="1987" w:type="dxa"/>
                  <w:shd w:val="clear" w:color="auto" w:fill="auto"/>
                </w:tcPr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Analytical Item Proposed Specification yellow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-- --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Analytical Item Proposed Specification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yellow</w:t>
                  </w:r>
                </w:p>
                <w:p w:rsidR="00306DC1" w:rsidRPr="0016202B" w:rsidRDefault="00306DC1" w:rsidP="0016202B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6202B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-- --</w:t>
                  </w:r>
                </w:p>
              </w:tc>
            </w:tr>
          </w:tbl>
          <w:p w:rsidR="00306DC1" w:rsidRDefault="00306DC1" w:rsidP="00306DC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Q-AE IA Spez HS B.II.c.1 b) Addition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Cadmium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-- --; Analytical Item Proposed Specification Cadmium Max. 1 mg/kg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b) Addition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Chromium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-- --; Analytical Item Proposed Specification Chromium Max. 100 mg/kg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b) Addition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Nickel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-- --; Analytical Item Proposed Specification Nickel Max. 200 mg/kg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b) Addition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Copper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-- --; Analytical Item Proposed Specification Copper Max. 50 mg/kg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b) Addition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Zinc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-- --; Analytical Item Proposed Specification Zinc Max. 100 mg/kg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b) Addition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Assay Fe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-- --; Analytical Item Proposed Specification Assay Fe NLT 60%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c) Deletion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Assay FeO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 Analytical Item Current Specification Assay FeO 97.0 – 100.5%; Analytical Item Proposed Specification -- --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Q-AE IA Spez HS B.II.c.1 c) Deletion of specification parameter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Acid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66D73">
              <w:rPr>
                <w:rFonts w:ascii="Arial" w:hAnsi="Arial" w:cs="Arial"/>
                <w:b/>
                <w:bCs/>
                <w:sz w:val="16"/>
                <w:szCs w:val="16"/>
              </w:rPr>
              <w:t>insoluble substances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t xml:space="preserve"> for Iron oxide yellow and Iron oxide red: Analytical Item Current Specification Acid insoluble substances Max. 1.0%; </w:t>
            </w:r>
            <w:r w:rsidRPr="00966D73">
              <w:rPr>
                <w:rFonts w:ascii="Arial" w:hAnsi="Arial" w:cs="Arial"/>
                <w:bCs/>
                <w:sz w:val="16"/>
                <w:szCs w:val="16"/>
              </w:rPr>
              <w:lastRenderedPageBreak/>
              <w:t>Analytical Item Proposed Specification -- --.</w:t>
            </w:r>
          </w:p>
          <w:p w:rsidR="00306DC1" w:rsidRPr="00966D73" w:rsidRDefault="00306DC1" w:rsidP="00306DC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>Currently the registered specification of Iron oxide yellow and Iron oxide red is in compliance with USP-NF.</w:t>
            </w:r>
          </w:p>
          <w:p w:rsidR="00306DC1" w:rsidRPr="00306DC1" w:rsidRDefault="00306DC1" w:rsidP="00306DC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D73">
              <w:rPr>
                <w:rFonts w:ascii="Arial" w:hAnsi="Arial" w:cs="Arial"/>
                <w:bCs/>
                <w:sz w:val="16"/>
                <w:szCs w:val="16"/>
              </w:rPr>
              <w:t>The Applicant would like to add the reference to current Commission regulation (EU) No. 231/2012, accordingly the changes are adopted in the specification as per current valid directive.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600">
              <w:rPr>
                <w:rFonts w:ascii="Arial" w:hAnsi="Arial" w:cs="Arial"/>
                <w:sz w:val="16"/>
                <w:szCs w:val="16"/>
              </w:rPr>
              <w:t>UA/17223/01/01</w:t>
            </w:r>
          </w:p>
        </w:tc>
      </w:tr>
      <w:tr w:rsidR="00670809" w:rsidRPr="00AE6E6E" w:rsidTr="00DF4FD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70809" w:rsidRPr="00526600" w:rsidRDefault="00670809" w:rsidP="0052660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b/>
                <w:sz w:val="16"/>
                <w:szCs w:val="16"/>
              </w:rPr>
              <w:t>ЛІКОНОЛ</w:t>
            </w:r>
          </w:p>
        </w:tc>
        <w:tc>
          <w:tcPr>
            <w:tcW w:w="1559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кишковорозчинні по 180 мг; по 120 таблеток у флаконі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М.БІОТЕК ЛІМІТЕД 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Конкорд Біотек Лімітед</w:t>
            </w:r>
          </w:p>
        </w:tc>
        <w:tc>
          <w:tcPr>
            <w:tcW w:w="1276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4111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з безпеки, ІБ - внесення змін до інструкції для медичного застосування лікарського засобу до розділу "Особливості застосування"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670809" w:rsidRPr="00526600" w:rsidRDefault="00670809" w:rsidP="005266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600">
              <w:rPr>
                <w:rFonts w:ascii="Arial" w:hAnsi="Arial" w:cs="Arial"/>
                <w:sz w:val="16"/>
                <w:szCs w:val="16"/>
              </w:rPr>
              <w:t>UA/18173/01/01</w:t>
            </w:r>
          </w:p>
        </w:tc>
      </w:tr>
      <w:tr w:rsidR="00670809" w:rsidRPr="00AE6E6E" w:rsidTr="00DF4FD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70809" w:rsidRPr="00526600" w:rsidRDefault="00670809" w:rsidP="0067080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b/>
                <w:sz w:val="16"/>
                <w:szCs w:val="16"/>
              </w:rPr>
              <w:t>ЛІКОНОЛ</w:t>
            </w:r>
          </w:p>
        </w:tc>
        <w:tc>
          <w:tcPr>
            <w:tcW w:w="1559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кишковорозчинні по 360 мг; по 120 таблеток у флаконі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М.БІОТЕК ЛІМІТЕД 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Конкорд Біотек Лімітед</w:t>
            </w:r>
          </w:p>
        </w:tc>
        <w:tc>
          <w:tcPr>
            <w:tcW w:w="1276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4111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6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з безпеки, ІБ - внесення змін до інструкції для медичного застосування лікарського засобу до розділу "Особливості застосування"</w:t>
            </w:r>
          </w:p>
        </w:tc>
        <w:tc>
          <w:tcPr>
            <w:tcW w:w="1134" w:type="dxa"/>
            <w:shd w:val="clear" w:color="auto" w:fill="FFFFFF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6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670809" w:rsidRPr="00526600" w:rsidRDefault="00670809" w:rsidP="006708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600">
              <w:rPr>
                <w:rFonts w:ascii="Arial" w:hAnsi="Arial" w:cs="Arial"/>
                <w:sz w:val="16"/>
                <w:szCs w:val="16"/>
              </w:rPr>
              <w:t>UA/18173/01/02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F1A14"/>
    <w:rsid w:val="002F29A0"/>
    <w:rsid w:val="00306DC1"/>
    <w:rsid w:val="00311565"/>
    <w:rsid w:val="00314717"/>
    <w:rsid w:val="00317729"/>
    <w:rsid w:val="00331DA8"/>
    <w:rsid w:val="00334B77"/>
    <w:rsid w:val="003365A0"/>
    <w:rsid w:val="00340F81"/>
    <w:rsid w:val="00361AD6"/>
    <w:rsid w:val="00365DAA"/>
    <w:rsid w:val="00366722"/>
    <w:rsid w:val="0037607D"/>
    <w:rsid w:val="00381239"/>
    <w:rsid w:val="00382423"/>
    <w:rsid w:val="003847D5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727A"/>
    <w:rsid w:val="004A00B4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14E8"/>
    <w:rsid w:val="00701703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4221"/>
    <w:rsid w:val="007D69A7"/>
    <w:rsid w:val="007E5759"/>
    <w:rsid w:val="007E76E8"/>
    <w:rsid w:val="007F0300"/>
    <w:rsid w:val="007F0C76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B041E"/>
    <w:rsid w:val="009B1268"/>
    <w:rsid w:val="009C5125"/>
    <w:rsid w:val="009C6BAE"/>
    <w:rsid w:val="009C6D6A"/>
    <w:rsid w:val="009D3DD9"/>
    <w:rsid w:val="009F2A12"/>
    <w:rsid w:val="009F4D23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9B0"/>
    <w:rsid w:val="00B34056"/>
    <w:rsid w:val="00B370F6"/>
    <w:rsid w:val="00B4316A"/>
    <w:rsid w:val="00B537D9"/>
    <w:rsid w:val="00B60F62"/>
    <w:rsid w:val="00B62BB6"/>
    <w:rsid w:val="00B64E0B"/>
    <w:rsid w:val="00B654B6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55E2"/>
    <w:rsid w:val="00BD05D7"/>
    <w:rsid w:val="00BD4391"/>
    <w:rsid w:val="00BD6E53"/>
    <w:rsid w:val="00BE2252"/>
    <w:rsid w:val="00BE29E1"/>
    <w:rsid w:val="00BE3859"/>
    <w:rsid w:val="00BE4CF6"/>
    <w:rsid w:val="00BE67C7"/>
    <w:rsid w:val="00BE7EA4"/>
    <w:rsid w:val="00BF03C1"/>
    <w:rsid w:val="00BF0E45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0D"/>
    <w:rsid w:val="00C3079D"/>
    <w:rsid w:val="00C3799A"/>
    <w:rsid w:val="00C42121"/>
    <w:rsid w:val="00C44D88"/>
    <w:rsid w:val="00C512FB"/>
    <w:rsid w:val="00C5699F"/>
    <w:rsid w:val="00C57B98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5922"/>
    <w:rsid w:val="00DF009A"/>
    <w:rsid w:val="00DF4FD3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87116"/>
    <w:rsid w:val="00E90625"/>
    <w:rsid w:val="00EA3014"/>
    <w:rsid w:val="00EB05A8"/>
    <w:rsid w:val="00EB5CE5"/>
    <w:rsid w:val="00EC177B"/>
    <w:rsid w:val="00ED1C86"/>
    <w:rsid w:val="00ED6A67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1D97"/>
    <w:rsid w:val="00F1299D"/>
    <w:rsid w:val="00F14A55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A6462"/>
    <w:rsid w:val="00FE01C6"/>
    <w:rsid w:val="00FE19FF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62BB89-7B28-416A-B385-D8F3758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6D34-10CC-4134-823B-A4D09CBF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2022-12-30T09:31:00Z</dcterms:created>
  <dcterms:modified xsi:type="dcterms:W3CDTF">2022-12-30T09:31:00Z</dcterms:modified>
</cp:coreProperties>
</file>