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703EF1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703EF1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703EF1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703EF1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703EF1" w:rsidRDefault="00674BA1" w:rsidP="00674BA1">
      <w:pPr>
        <w:rPr>
          <w:lang w:val="uk-UA"/>
        </w:rPr>
      </w:pPr>
    </w:p>
    <w:p w:rsidR="008C4BFD" w:rsidRPr="00703EF1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703EF1">
        <w:rPr>
          <w:b/>
          <w:spacing w:val="60"/>
          <w:sz w:val="30"/>
          <w:szCs w:val="30"/>
          <w:lang w:val="uk-UA"/>
        </w:rPr>
        <w:t>НАКАЗ</w:t>
      </w:r>
    </w:p>
    <w:p w:rsidR="008C4BFD" w:rsidRPr="00703EF1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703EF1" w:rsidTr="00FA1FE6">
        <w:tc>
          <w:tcPr>
            <w:tcW w:w="3271" w:type="dxa"/>
          </w:tcPr>
          <w:p w:rsidR="00FA1FE6" w:rsidRPr="00703EF1" w:rsidRDefault="00FA1FE6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703EF1" w:rsidRDefault="00FA1FE6" w:rsidP="00A93E77">
            <w:pPr>
              <w:rPr>
                <w:sz w:val="28"/>
                <w:szCs w:val="28"/>
                <w:lang w:val="uk-UA"/>
              </w:rPr>
            </w:pPr>
            <w:r w:rsidRPr="00703EF1">
              <w:rPr>
                <w:sz w:val="28"/>
                <w:szCs w:val="28"/>
                <w:lang w:val="uk-UA"/>
              </w:rPr>
              <w:t>18 серпня 2022 року</w:t>
            </w:r>
            <w:r w:rsidR="008C4BFD" w:rsidRPr="00703EF1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129" w:type="dxa"/>
          </w:tcPr>
          <w:p w:rsidR="008C4BFD" w:rsidRPr="00703EF1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703EF1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703EF1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FA1FE6" w:rsidRPr="00703EF1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61F7E" w:rsidRPr="00703EF1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703EF1">
              <w:rPr>
                <w:sz w:val="28"/>
                <w:szCs w:val="28"/>
                <w:lang w:val="uk-UA"/>
              </w:rPr>
              <w:t xml:space="preserve">                                            № 1494</w:t>
            </w:r>
          </w:p>
          <w:p w:rsidR="008C4BFD" w:rsidRPr="00703EF1" w:rsidRDefault="00F61F7E" w:rsidP="00703EF1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703EF1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Pr="00703EF1" w:rsidRDefault="00FF071A" w:rsidP="00FF071A">
      <w:pPr>
        <w:jc w:val="both"/>
        <w:rPr>
          <w:b/>
          <w:sz w:val="28"/>
          <w:szCs w:val="28"/>
          <w:lang w:val="uk-UA"/>
        </w:rPr>
      </w:pPr>
      <w:r w:rsidRPr="00703EF1">
        <w:rPr>
          <w:b/>
          <w:sz w:val="28"/>
          <w:szCs w:val="28"/>
          <w:lang w:val="uk-UA"/>
        </w:rPr>
        <w:t xml:space="preserve">Про </w:t>
      </w:r>
      <w:r w:rsidR="00BA1EB2" w:rsidRPr="00703EF1">
        <w:rPr>
          <w:b/>
          <w:sz w:val="28"/>
          <w:szCs w:val="28"/>
          <w:lang w:val="uk-UA"/>
        </w:rPr>
        <w:t xml:space="preserve">екстрену </w:t>
      </w:r>
      <w:r w:rsidRPr="00703EF1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 w:rsidRPr="00703EF1">
        <w:rPr>
          <w:b/>
          <w:sz w:val="28"/>
          <w:szCs w:val="28"/>
          <w:lang w:val="uk-UA"/>
        </w:rPr>
        <w:t>,</w:t>
      </w:r>
      <w:r w:rsidRPr="00703EF1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 w:rsidRPr="00703EF1">
        <w:rPr>
          <w:b/>
          <w:sz w:val="28"/>
          <w:szCs w:val="28"/>
          <w:lang w:val="uk-UA"/>
        </w:rPr>
        <w:t xml:space="preserve">, </w:t>
      </w:r>
      <w:r w:rsidR="00A25AAF" w:rsidRPr="00703EF1">
        <w:rPr>
          <w:b/>
          <w:sz w:val="28"/>
          <w:szCs w:val="28"/>
          <w:lang w:val="uk-UA"/>
        </w:rPr>
        <w:t xml:space="preserve">препаратів крові, </w:t>
      </w:r>
      <w:r w:rsidR="00BA1EB2" w:rsidRPr="00703EF1">
        <w:rPr>
          <w:b/>
          <w:sz w:val="28"/>
          <w:szCs w:val="28"/>
          <w:lang w:val="uk-UA"/>
        </w:rPr>
        <w:t xml:space="preserve">що </w:t>
      </w:r>
      <w:r w:rsidR="00A357D2" w:rsidRPr="00703EF1">
        <w:rPr>
          <w:b/>
          <w:sz w:val="28"/>
          <w:szCs w:val="28"/>
          <w:lang w:val="uk-UA"/>
        </w:rPr>
        <w:t xml:space="preserve">виробляються або </w:t>
      </w:r>
      <w:r w:rsidR="00BA1EB2" w:rsidRPr="00703EF1">
        <w:rPr>
          <w:b/>
          <w:sz w:val="28"/>
          <w:szCs w:val="28"/>
          <w:lang w:val="uk-UA"/>
        </w:rPr>
        <w:t xml:space="preserve">постачаються в Україну </w:t>
      </w:r>
      <w:r w:rsidR="00A357D2" w:rsidRPr="00703EF1">
        <w:rPr>
          <w:b/>
          <w:sz w:val="28"/>
          <w:szCs w:val="28"/>
          <w:lang w:val="uk-UA"/>
        </w:rPr>
        <w:t>протягом</w:t>
      </w:r>
      <w:r w:rsidR="00BA1EB2" w:rsidRPr="00703EF1">
        <w:rPr>
          <w:b/>
          <w:sz w:val="28"/>
          <w:szCs w:val="28"/>
          <w:lang w:val="uk-UA"/>
        </w:rPr>
        <w:t xml:space="preserve"> період</w:t>
      </w:r>
      <w:r w:rsidR="00A357D2" w:rsidRPr="00703EF1">
        <w:rPr>
          <w:b/>
          <w:sz w:val="28"/>
          <w:szCs w:val="28"/>
          <w:lang w:val="uk-UA"/>
        </w:rPr>
        <w:t>у дії</w:t>
      </w:r>
      <w:r w:rsidR="00BA1EB2" w:rsidRPr="00703EF1">
        <w:rPr>
          <w:b/>
          <w:sz w:val="28"/>
          <w:szCs w:val="28"/>
          <w:lang w:val="uk-UA"/>
        </w:rPr>
        <w:t xml:space="preserve"> воєнного стану</w:t>
      </w:r>
      <w:r w:rsidR="00A25AAF" w:rsidRPr="00703EF1">
        <w:rPr>
          <w:b/>
          <w:sz w:val="28"/>
          <w:szCs w:val="28"/>
          <w:lang w:val="uk-UA"/>
        </w:rPr>
        <w:t>,</w:t>
      </w:r>
      <w:r w:rsidR="00A25AAF" w:rsidRPr="00703EF1">
        <w:rPr>
          <w:lang w:val="uk-UA"/>
        </w:rPr>
        <w:t xml:space="preserve"> </w:t>
      </w:r>
      <w:r w:rsidR="00A25AAF" w:rsidRPr="00703EF1">
        <w:rPr>
          <w:b/>
          <w:sz w:val="28"/>
          <w:szCs w:val="28"/>
          <w:lang w:val="uk-UA"/>
        </w:rPr>
        <w:t>під зобов’язання</w:t>
      </w:r>
    </w:p>
    <w:p w:rsidR="00917598" w:rsidRPr="00703EF1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703EF1" w:rsidRDefault="00957C7E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</w:t>
      </w:r>
      <w:r w:rsidR="00355F80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пункту 3 Порядку екстреної державної реєстрації </w:t>
      </w:r>
      <w:r w:rsidR="003D0BC7" w:rsidRPr="00703EF1">
        <w:rPr>
          <w:rFonts w:ascii="Times New Roman" w:hAnsi="Times New Roman"/>
          <w:color w:val="auto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, затвердженого </w:t>
      </w:r>
      <w:r w:rsidR="003D0BC7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постановою Кабінету Міністрів </w:t>
      </w:r>
      <w:r w:rsidR="00BA1EB2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України від </w:t>
      </w:r>
      <w:r w:rsidR="003D0BC7" w:rsidRPr="00703EF1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355F80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7" w:rsidRPr="00703EF1">
        <w:rPr>
          <w:rFonts w:ascii="Times New Roman" w:hAnsi="Times New Roman"/>
          <w:color w:val="auto"/>
          <w:sz w:val="28"/>
          <w:szCs w:val="28"/>
          <w:lang w:val="uk-UA"/>
        </w:rPr>
        <w:t>квітня</w:t>
      </w:r>
      <w:r w:rsidR="00355F80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 № </w:t>
      </w:r>
      <w:r w:rsidR="003D0BC7" w:rsidRPr="00703EF1">
        <w:rPr>
          <w:rFonts w:ascii="Times New Roman" w:hAnsi="Times New Roman"/>
          <w:color w:val="auto"/>
          <w:sz w:val="28"/>
          <w:szCs w:val="28"/>
          <w:lang w:val="uk-UA"/>
        </w:rPr>
        <w:t>471</w:t>
      </w:r>
      <w:r w:rsidR="00720518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«Деякі питання екстреної державної реєстрації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</w:r>
      <w:r w:rsidR="00355F80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51C9D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результатів </w:t>
      </w:r>
      <w:r w:rsidR="00355F80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перевірки </w:t>
      </w:r>
      <w:r w:rsidR="00051C9D" w:rsidRPr="00703EF1">
        <w:rPr>
          <w:rFonts w:ascii="Times New Roman" w:hAnsi="Times New Roman"/>
          <w:color w:val="auto"/>
          <w:sz w:val="28"/>
          <w:szCs w:val="28"/>
          <w:lang w:val="uk-UA"/>
        </w:rPr>
        <w:t>реєстраційних матеріалів лікарських засобів</w:t>
      </w:r>
      <w:r w:rsidR="00355F80" w:rsidRPr="00703EF1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051C9D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що подані на </w:t>
      </w:r>
      <w:r w:rsidR="00355F80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екстрену </w:t>
      </w:r>
      <w:r w:rsidR="00051C9D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державну реєстрацію, проведених </w:t>
      </w:r>
      <w:r w:rsidR="00355F80" w:rsidRPr="00703EF1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="00051C9D" w:rsidRPr="00703EF1">
        <w:rPr>
          <w:rFonts w:ascii="Times New Roman" w:hAnsi="Times New Roman"/>
          <w:color w:val="auto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 w:rsidRPr="00703EF1">
        <w:rPr>
          <w:rFonts w:ascii="Times New Roman" w:hAnsi="Times New Roman"/>
          <w:color w:val="auto"/>
          <w:sz w:val="28"/>
          <w:szCs w:val="28"/>
          <w:lang w:val="uk-UA"/>
        </w:rPr>
        <w:t>ів</w:t>
      </w:r>
      <w:r w:rsidR="00051C9D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22A74" w:rsidRPr="00703EF1">
        <w:rPr>
          <w:rFonts w:ascii="Times New Roman" w:hAnsi="Times New Roman"/>
          <w:color w:val="auto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 w:rsidRPr="00703EF1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332232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від </w:t>
      </w:r>
      <w:r w:rsidR="00F9332B" w:rsidRPr="00703EF1"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 w:rsidR="00837F2B" w:rsidRPr="00703EF1">
        <w:rPr>
          <w:rFonts w:ascii="Times New Roman" w:hAnsi="Times New Roman"/>
          <w:color w:val="auto"/>
          <w:sz w:val="28"/>
          <w:szCs w:val="28"/>
          <w:lang w:val="uk-UA"/>
        </w:rPr>
        <w:t>0</w:t>
      </w:r>
      <w:r w:rsidR="00DF0BBF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травня</w:t>
      </w:r>
      <w:r w:rsidR="00720518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</w:t>
      </w:r>
      <w:r w:rsidR="004F4794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E602D5" w:rsidRPr="00703EF1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4F4794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липня</w:t>
      </w:r>
      <w:r w:rsidR="00720518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</w:t>
      </w:r>
      <w:r w:rsidR="00E602D5" w:rsidRPr="00703EF1">
        <w:rPr>
          <w:rFonts w:ascii="Times New Roman" w:hAnsi="Times New Roman"/>
          <w:color w:val="auto"/>
          <w:sz w:val="28"/>
          <w:szCs w:val="28"/>
          <w:lang w:val="uk-UA"/>
        </w:rPr>
        <w:t>, 26 липня 2022 року, 29 липня 2022 року та 04 серпня 2022</w:t>
      </w:r>
      <w:r w:rsidR="00720518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F4794" w:rsidRPr="00703EF1">
        <w:rPr>
          <w:rFonts w:ascii="Times New Roman" w:hAnsi="Times New Roman"/>
          <w:color w:val="auto"/>
          <w:sz w:val="28"/>
          <w:szCs w:val="28"/>
          <w:lang w:val="uk-UA"/>
        </w:rPr>
        <w:t>року,</w:t>
      </w:r>
      <w:r w:rsidR="00EE2C62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рекомендаці</w:t>
      </w:r>
      <w:r w:rsidR="006F547E" w:rsidRPr="00703EF1">
        <w:rPr>
          <w:rFonts w:ascii="Times New Roman" w:hAnsi="Times New Roman"/>
          <w:color w:val="auto"/>
          <w:sz w:val="28"/>
          <w:szCs w:val="28"/>
          <w:lang w:val="uk-UA"/>
        </w:rPr>
        <w:t>й</w:t>
      </w:r>
      <w:r w:rsidR="00E602D5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року</w:t>
      </w:r>
      <w:r w:rsidR="00EE2C62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F547E" w:rsidRPr="00703EF1">
        <w:rPr>
          <w:rFonts w:ascii="Times New Roman" w:hAnsi="Times New Roman"/>
          <w:color w:val="auto"/>
          <w:sz w:val="28"/>
          <w:szCs w:val="28"/>
          <w:lang w:val="uk-UA"/>
        </w:rPr>
        <w:t>їх</w:t>
      </w:r>
      <w:r w:rsidR="00EE2C62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до екстреної державної реєстрації</w:t>
      </w:r>
      <w:r w:rsidR="00B104E4"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або відмови у такій</w:t>
      </w:r>
      <w:r w:rsidR="00E602D5" w:rsidRPr="00703EF1">
        <w:rPr>
          <w:rFonts w:ascii="Times New Roman" w:hAnsi="Times New Roman"/>
          <w:color w:val="auto"/>
          <w:sz w:val="28"/>
          <w:szCs w:val="28"/>
          <w:lang w:val="uk-UA"/>
        </w:rPr>
        <w:t>,</w:t>
      </w:r>
    </w:p>
    <w:p w:rsidR="00277C8C" w:rsidRPr="00703EF1" w:rsidRDefault="004F4794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 w:rsidRPr="00703EF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FC73F7" w:rsidRPr="00703EF1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703EF1">
        <w:rPr>
          <w:b/>
          <w:bCs/>
          <w:sz w:val="28"/>
          <w:szCs w:val="28"/>
          <w:lang w:val="uk-UA"/>
        </w:rPr>
        <w:t>НАКАЗУЮ:</w:t>
      </w:r>
    </w:p>
    <w:p w:rsidR="00CB6908" w:rsidRPr="00703EF1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03EF1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 w:rsidRPr="00703EF1">
        <w:rPr>
          <w:sz w:val="28"/>
          <w:szCs w:val="28"/>
          <w:lang w:val="uk-UA"/>
        </w:rPr>
        <w:t>і</w:t>
      </w:r>
      <w:r w:rsidRPr="00703EF1">
        <w:rPr>
          <w:sz w:val="28"/>
          <w:szCs w:val="28"/>
          <w:lang w:val="uk-UA"/>
        </w:rPr>
        <w:t xml:space="preserve"> зас</w:t>
      </w:r>
      <w:r w:rsidR="00A420E9" w:rsidRPr="00703EF1">
        <w:rPr>
          <w:sz w:val="28"/>
          <w:szCs w:val="28"/>
          <w:lang w:val="uk-UA"/>
        </w:rPr>
        <w:t>о</w:t>
      </w:r>
      <w:r w:rsidRPr="00703EF1">
        <w:rPr>
          <w:sz w:val="28"/>
          <w:szCs w:val="28"/>
          <w:lang w:val="uk-UA"/>
        </w:rPr>
        <w:t>б</w:t>
      </w:r>
      <w:r w:rsidR="00A420E9" w:rsidRPr="00703EF1">
        <w:rPr>
          <w:sz w:val="28"/>
          <w:szCs w:val="28"/>
          <w:lang w:val="uk-UA"/>
        </w:rPr>
        <w:t>и</w:t>
      </w:r>
      <w:r w:rsidRPr="00703EF1">
        <w:rPr>
          <w:sz w:val="28"/>
          <w:szCs w:val="28"/>
          <w:lang w:val="uk-UA"/>
        </w:rPr>
        <w:t xml:space="preserve"> згідно з додатк</w:t>
      </w:r>
      <w:r w:rsidR="00061BA2" w:rsidRPr="00703EF1">
        <w:rPr>
          <w:sz w:val="28"/>
          <w:szCs w:val="28"/>
          <w:lang w:val="uk-UA"/>
        </w:rPr>
        <w:t>ом</w:t>
      </w:r>
      <w:r w:rsidR="00BE64DF" w:rsidRPr="00703EF1">
        <w:rPr>
          <w:sz w:val="28"/>
          <w:szCs w:val="28"/>
          <w:lang w:val="uk-UA"/>
        </w:rPr>
        <w:t xml:space="preserve"> 1</w:t>
      </w:r>
      <w:r w:rsidR="00CB6908" w:rsidRPr="00703EF1">
        <w:rPr>
          <w:sz w:val="28"/>
          <w:szCs w:val="28"/>
          <w:lang w:val="uk-UA"/>
        </w:rPr>
        <w:t>.</w:t>
      </w:r>
    </w:p>
    <w:p w:rsidR="00BE64DF" w:rsidRPr="00703EF1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BE64DF" w:rsidRPr="00703EF1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03EF1">
        <w:rPr>
          <w:sz w:val="28"/>
          <w:szCs w:val="28"/>
          <w:lang w:val="uk-UA"/>
        </w:rPr>
        <w:t>Відмовити у екстреній державній реєстрації та внесенні до Державного реєстру лікарських засобів України лікарських засобів згідно з додатк</w:t>
      </w:r>
      <w:r w:rsidR="00901B4F" w:rsidRPr="00703EF1">
        <w:rPr>
          <w:sz w:val="28"/>
          <w:szCs w:val="28"/>
          <w:lang w:val="uk-UA"/>
        </w:rPr>
        <w:t>ом</w:t>
      </w:r>
      <w:r w:rsidRPr="00703EF1">
        <w:rPr>
          <w:sz w:val="28"/>
          <w:szCs w:val="28"/>
          <w:lang w:val="uk-UA"/>
        </w:rPr>
        <w:t xml:space="preserve"> 2.</w:t>
      </w:r>
    </w:p>
    <w:p w:rsidR="00927311" w:rsidRPr="00703EF1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703EF1" w:rsidRDefault="00B104E4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703EF1">
        <w:rPr>
          <w:sz w:val="28"/>
          <w:szCs w:val="28"/>
          <w:lang w:val="uk-UA"/>
        </w:rPr>
        <w:t>3</w:t>
      </w:r>
      <w:r w:rsidR="000D32CE" w:rsidRPr="00703EF1">
        <w:rPr>
          <w:sz w:val="28"/>
          <w:szCs w:val="28"/>
          <w:lang w:val="uk-UA"/>
        </w:rPr>
        <w:t>. Контроль за виконанням цього наказу покласти на першого заступника Міністра Комаріду О.О.</w:t>
      </w:r>
    </w:p>
    <w:p w:rsidR="000D32CE" w:rsidRPr="00703EF1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703EF1">
        <w:rPr>
          <w:b/>
          <w:sz w:val="28"/>
          <w:szCs w:val="28"/>
          <w:lang w:val="uk-UA"/>
        </w:rPr>
        <w:t>Міністр                                                                                            Віктор ЛЯШКО</w:t>
      </w:r>
    </w:p>
    <w:p w:rsidR="00703EF1" w:rsidRDefault="00703EF1" w:rsidP="00BE64DF">
      <w:pPr>
        <w:rPr>
          <w:b/>
          <w:sz w:val="28"/>
          <w:szCs w:val="28"/>
          <w:lang w:val="uk-UA"/>
        </w:rPr>
        <w:sectPr w:rsidR="00703EF1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703EF1" w:rsidRPr="007E524B" w:rsidTr="003A1896">
        <w:tc>
          <w:tcPr>
            <w:tcW w:w="3825" w:type="dxa"/>
            <w:hideMark/>
          </w:tcPr>
          <w:p w:rsidR="00703EF1" w:rsidRPr="00703EF1" w:rsidRDefault="00703EF1" w:rsidP="00B9710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03EF1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703EF1" w:rsidRPr="00703EF1" w:rsidRDefault="00703EF1" w:rsidP="00B9710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03EF1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703EF1" w:rsidRPr="00703EF1" w:rsidRDefault="00703EF1" w:rsidP="00B9710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03EF1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703EF1" w:rsidRPr="00910DA1" w:rsidRDefault="00703EF1" w:rsidP="00B9710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18 серпня 2022 року 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1494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__   </w:t>
            </w:r>
          </w:p>
        </w:tc>
      </w:tr>
    </w:tbl>
    <w:p w:rsidR="00703EF1" w:rsidRPr="00EF2F51" w:rsidRDefault="00703EF1" w:rsidP="00703EF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703EF1" w:rsidRPr="00604A81" w:rsidRDefault="00703EF1" w:rsidP="00703EF1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703EF1" w:rsidRPr="005D7AC1" w:rsidRDefault="00703EF1" w:rsidP="00703EF1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984"/>
        <w:gridCol w:w="1134"/>
        <w:gridCol w:w="1134"/>
        <w:gridCol w:w="2835"/>
        <w:gridCol w:w="1134"/>
        <w:gridCol w:w="1134"/>
        <w:gridCol w:w="992"/>
        <w:gridCol w:w="851"/>
        <w:gridCol w:w="1560"/>
      </w:tblGrid>
      <w:tr w:rsidR="00703EF1" w:rsidRPr="004262C1" w:rsidTr="00B9710A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03EF1" w:rsidRPr="004262C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703EF1" w:rsidRPr="004262C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703EF1" w:rsidRPr="004262C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03EF1" w:rsidRPr="004262C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03EF1" w:rsidRPr="004262C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D9D9D9"/>
          </w:tcPr>
          <w:p w:rsidR="00703EF1" w:rsidRPr="004262C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03EF1" w:rsidRPr="004262C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03EF1" w:rsidRPr="004262C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03EF1" w:rsidRPr="004262C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703EF1" w:rsidRPr="004262C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703EF1" w:rsidRPr="004262C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03EF1" w:rsidRPr="003D4E87" w:rsidTr="00B971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3EF1" w:rsidRPr="003D4E87" w:rsidRDefault="00703EF1" w:rsidP="00703EF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EF1" w:rsidRDefault="00703EF1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D4E87">
              <w:rPr>
                <w:rFonts w:ascii="Arial" w:hAnsi="Arial" w:cs="Arial"/>
                <w:b/>
                <w:sz w:val="16"/>
                <w:szCs w:val="16"/>
              </w:rPr>
              <w:t>БУПІВАКАЇН АГЕТАН 2,5 МГ/МЛ, РОЗЧИН ДЛЯ ІН'ЄКЦІЙ/ BUPIVACAINE AGUETTANT 2,5 MG/ML, SOLUTION INJECTABLE</w:t>
            </w:r>
          </w:p>
          <w:p w:rsidR="00703EF1" w:rsidRPr="003D4E87" w:rsidRDefault="00703EF1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по 20 мл у флаконах; по 10 флаконів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контроль, первинне та вторинне пакування:</w:t>
            </w:r>
            <w:r w:rsidRPr="003D4E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Делфарм Таурс, Франція</w:t>
            </w: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D4E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випуск продукції:</w:t>
            </w:r>
            <w:r w:rsidRPr="003D4E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Лабораторія Агетан, Франція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4E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4E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sz w:val="16"/>
                <w:szCs w:val="16"/>
              </w:rPr>
              <w:t>UA/19588/01/01</w:t>
            </w:r>
          </w:p>
        </w:tc>
      </w:tr>
      <w:tr w:rsidR="00703EF1" w:rsidRPr="003D4E87" w:rsidTr="00B971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3EF1" w:rsidRPr="003D4E87" w:rsidRDefault="00703EF1" w:rsidP="00703EF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EF1" w:rsidRDefault="00703EF1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D4E87">
              <w:rPr>
                <w:rFonts w:ascii="Arial" w:hAnsi="Arial" w:cs="Arial"/>
                <w:b/>
                <w:sz w:val="16"/>
                <w:szCs w:val="16"/>
              </w:rPr>
              <w:t>БУПІВАКАЇН АГЕТАН 5 МГ/МЛ, РОЗЧИН ДЛЯ ІН’ЄКЦІЙ / BUPIVACAINE AGUETTANT 5 MG/ML, SOLUTION INJECTABLE</w:t>
            </w:r>
          </w:p>
          <w:p w:rsidR="00703EF1" w:rsidRPr="003D4E87" w:rsidRDefault="00703EF1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по 20 мл у флаконах, по 10 флаконів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контроль, первинне та вторинне пакування:</w:t>
            </w:r>
            <w:r w:rsidRPr="003D4E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Делфарм Таурс, Франція</w:t>
            </w: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3D4E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випуск продукції:</w:t>
            </w:r>
            <w:r w:rsidRPr="003D4E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Лабораторія Агетан, Франція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4E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4E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sz w:val="16"/>
                <w:szCs w:val="16"/>
              </w:rPr>
              <w:t>UA/19588/01/02</w:t>
            </w:r>
          </w:p>
        </w:tc>
      </w:tr>
      <w:tr w:rsidR="00703EF1" w:rsidRPr="004262C1" w:rsidTr="00B971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3EF1" w:rsidRPr="003D4E87" w:rsidRDefault="00703EF1" w:rsidP="00703EF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EF1" w:rsidRDefault="00703EF1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3D4E87">
              <w:rPr>
                <w:rFonts w:ascii="Arial" w:hAnsi="Arial" w:cs="Arial"/>
                <w:b/>
                <w:sz w:val="16"/>
                <w:szCs w:val="16"/>
              </w:rPr>
              <w:t>БУПІВАКАЇН ДЛЯ СПІНАЛЬНОЇ АНЕСТЕЗІЇ АГЕТАН 5 МГ/МЛ, РОЗЧИН ДЛЯ ІН'ЄКЦІЙ (ІНТРАСПІНАЛЬНО)/ BUPIVACAINE POUR RACHIANESTHESIE AGUETTANT 5MG/ML, SOLUTION INJECTABLE (VOIE INTRARACHIDIENNE)</w:t>
            </w:r>
          </w:p>
          <w:p w:rsidR="00703EF1" w:rsidRPr="003D4E87" w:rsidRDefault="00703EF1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по 4 мл у ампулах; по 5 ампул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СЕНЕКСІ-ФОНТЕНЕ-СУ-БУА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4E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3D4E87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4E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126741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4E87">
              <w:rPr>
                <w:rFonts w:ascii="Arial" w:hAnsi="Arial" w:cs="Arial"/>
                <w:sz w:val="16"/>
                <w:szCs w:val="16"/>
              </w:rPr>
              <w:t>UA/19589/01/01</w:t>
            </w:r>
          </w:p>
        </w:tc>
      </w:tr>
      <w:tr w:rsidR="00703EF1" w:rsidRPr="004262C1" w:rsidTr="00B971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3EF1" w:rsidRPr="004262C1" w:rsidRDefault="00703EF1" w:rsidP="00703EF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EF1" w:rsidRPr="00B717D6" w:rsidRDefault="00703EF1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26741">
              <w:rPr>
                <w:rFonts w:ascii="Arial" w:hAnsi="Arial" w:cs="Arial"/>
                <w:b/>
                <w:sz w:val="16"/>
                <w:szCs w:val="16"/>
              </w:rPr>
              <w:t>ОНКОТРОН ONKOTRONE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Default="00703EF1" w:rsidP="003A1896">
            <w:pPr>
              <w:rPr>
                <w:rFonts w:ascii="Arial" w:hAnsi="Arial" w:cs="Arial"/>
                <w:sz w:val="16"/>
                <w:szCs w:val="16"/>
              </w:rPr>
            </w:pPr>
            <w:r w:rsidRPr="00126741">
              <w:rPr>
                <w:rFonts w:ascii="Arial" w:hAnsi="Arial" w:cs="Arial"/>
                <w:sz w:val="16"/>
                <w:szCs w:val="16"/>
              </w:rPr>
              <w:t>розчин для ін’єкцій по 5 мл у флаконі, по 1 флакону в картонній коробці; по 10 мл у флаконі, по 1 флакону в картонній коробці</w:t>
            </w:r>
          </w:p>
          <w:p w:rsidR="00703EF1" w:rsidRPr="00B717D6" w:rsidRDefault="00703EF1" w:rsidP="003A18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B717D6" w:rsidRDefault="00703EF1" w:rsidP="003A1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741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B717D6" w:rsidRDefault="00703EF1" w:rsidP="003A1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7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B717D6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741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B717D6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741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B717D6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74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B717D6" w:rsidRDefault="00703EF1" w:rsidP="003A189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2674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B717D6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267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B717D6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6741">
              <w:rPr>
                <w:rFonts w:ascii="Arial" w:hAnsi="Arial" w:cs="Arial"/>
                <w:sz w:val="16"/>
                <w:szCs w:val="16"/>
              </w:rPr>
              <w:t>UA/19558/01/01</w:t>
            </w:r>
          </w:p>
        </w:tc>
      </w:tr>
      <w:tr w:rsidR="00703EF1" w:rsidRPr="004262C1" w:rsidTr="00B9710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3EF1" w:rsidRPr="004262C1" w:rsidRDefault="00703EF1" w:rsidP="00703EF1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EF1" w:rsidRPr="000833CD" w:rsidRDefault="00703EF1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C830BD">
              <w:rPr>
                <w:rFonts w:ascii="Arial" w:hAnsi="Arial" w:cs="Arial"/>
                <w:b/>
                <w:sz w:val="16"/>
                <w:szCs w:val="16"/>
              </w:rPr>
              <w:t>ТІОТЕПА РІМСЕР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0833CD" w:rsidRDefault="00703EF1" w:rsidP="003A1896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830BD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інфузій по </w:t>
            </w:r>
            <w:r w:rsidRPr="00C830BD">
              <w:rPr>
                <w:rFonts w:ascii="Arial" w:hAnsi="Arial" w:cs="Arial"/>
                <w:sz w:val="16"/>
                <w:szCs w:val="16"/>
              </w:rPr>
              <w:lastRenderedPageBreak/>
              <w:t>100 мг, флакон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0833CD" w:rsidRDefault="00703EF1" w:rsidP="003A1896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830BD">
              <w:rPr>
                <w:rFonts w:ascii="Arial" w:hAnsi="Arial" w:cs="Arial"/>
                <w:sz w:val="16"/>
                <w:szCs w:val="16"/>
              </w:rPr>
              <w:lastRenderedPageBreak/>
              <w:t>Містрал Кепітал Менеджмен</w:t>
            </w:r>
            <w:r w:rsidRPr="00C830BD">
              <w:rPr>
                <w:rFonts w:ascii="Arial" w:hAnsi="Arial" w:cs="Arial"/>
                <w:sz w:val="16"/>
                <w:szCs w:val="16"/>
              </w:rPr>
              <w:lastRenderedPageBreak/>
              <w:t>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0833CD" w:rsidRDefault="00703EF1" w:rsidP="003A1896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830BD">
              <w:rPr>
                <w:rFonts w:ascii="Arial" w:hAnsi="Arial" w:cs="Arial"/>
                <w:sz w:val="16"/>
                <w:szCs w:val="16"/>
              </w:rPr>
              <w:lastRenderedPageBreak/>
              <w:t>Англія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C830BD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0BD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готової лікарської форми, первинну упаковку та </w:t>
            </w:r>
            <w:r w:rsidRPr="00C830BD">
              <w:rPr>
                <w:rFonts w:ascii="Arial" w:hAnsi="Arial" w:cs="Arial"/>
                <w:sz w:val="16"/>
                <w:szCs w:val="16"/>
              </w:rPr>
              <w:lastRenderedPageBreak/>
              <w:t>контроль серії (окрім контролю стерильності та бактеріальних ендотоксинів):</w:t>
            </w:r>
            <w:r w:rsidRPr="00C830BD">
              <w:rPr>
                <w:rFonts w:ascii="Arial" w:hAnsi="Arial" w:cs="Arial"/>
                <w:sz w:val="16"/>
                <w:szCs w:val="16"/>
              </w:rPr>
              <w:br/>
              <w:t>Тимоорган Фармаціе ГмбХ, Німеччина;</w:t>
            </w:r>
            <w:r w:rsidRPr="00C830BD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 за показниками стерильність і бактеріальні ендотоксини:</w:t>
            </w:r>
            <w:r w:rsidRPr="00C830BD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Німеччина;</w:t>
            </w:r>
            <w:r w:rsidRPr="00C830BD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 за показниками стерильність і бактеріальні ендотоксини:</w:t>
            </w:r>
            <w:r w:rsidRPr="00C830BD">
              <w:rPr>
                <w:rFonts w:ascii="Arial" w:hAnsi="Arial" w:cs="Arial"/>
                <w:sz w:val="16"/>
                <w:szCs w:val="16"/>
              </w:rPr>
              <w:br/>
              <w:t>Біокем Лабор фюр біологіше унд хіміше Аналітік ГмбХ, Німеччина;</w:t>
            </w:r>
          </w:p>
          <w:p w:rsidR="00703EF1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0BD">
              <w:rPr>
                <w:rFonts w:ascii="Arial" w:hAnsi="Arial" w:cs="Arial"/>
                <w:sz w:val="16"/>
                <w:szCs w:val="16"/>
              </w:rPr>
              <w:t>Виробник, відповідальний за вторинну упаковку та випуск серії:</w:t>
            </w:r>
            <w:r w:rsidRPr="00C830BD">
              <w:rPr>
                <w:rFonts w:ascii="Arial" w:hAnsi="Arial" w:cs="Arial"/>
                <w:sz w:val="16"/>
                <w:szCs w:val="16"/>
              </w:rPr>
              <w:br/>
              <w:t>ЕйчДаблЮАй девелопмент ГмбХ, Німеччина</w:t>
            </w:r>
          </w:p>
          <w:p w:rsidR="00703EF1" w:rsidRPr="000833CD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0833CD" w:rsidRDefault="00703EF1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830BD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0833CD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830B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0833CD" w:rsidRDefault="00703EF1" w:rsidP="003A1896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C830B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0833CD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C830B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3EF1" w:rsidRPr="00764687" w:rsidRDefault="00703EF1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764687">
              <w:rPr>
                <w:rFonts w:ascii="Arial" w:hAnsi="Arial" w:cs="Arial"/>
                <w:bCs/>
                <w:sz w:val="16"/>
                <w:szCs w:val="16"/>
              </w:rPr>
              <w:t>UA/19594/01/01</w:t>
            </w:r>
          </w:p>
        </w:tc>
      </w:tr>
    </w:tbl>
    <w:p w:rsidR="00703EF1" w:rsidRDefault="00703EF1" w:rsidP="00703EF1">
      <w:pPr>
        <w:ind w:right="20"/>
        <w:rPr>
          <w:b/>
          <w:bCs/>
          <w:sz w:val="26"/>
          <w:szCs w:val="26"/>
        </w:rPr>
      </w:pPr>
    </w:p>
    <w:p w:rsidR="00B9710A" w:rsidRDefault="00B9710A" w:rsidP="00703EF1">
      <w:pPr>
        <w:ind w:right="20"/>
        <w:rPr>
          <w:b/>
          <w:bCs/>
          <w:sz w:val="26"/>
          <w:szCs w:val="26"/>
        </w:rPr>
      </w:pPr>
    </w:p>
    <w:p w:rsidR="00703EF1" w:rsidRDefault="00703EF1" w:rsidP="00703EF1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03EF1" w:rsidRPr="00EF2F51" w:rsidTr="003A1896">
        <w:tc>
          <w:tcPr>
            <w:tcW w:w="7421" w:type="dxa"/>
          </w:tcPr>
          <w:p w:rsidR="00703EF1" w:rsidRPr="00EF2F51" w:rsidRDefault="00703EF1" w:rsidP="003A1896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703EF1" w:rsidRPr="00EF2F51" w:rsidRDefault="00703EF1" w:rsidP="003A1896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703EF1" w:rsidRPr="00EF2F51" w:rsidRDefault="00703EF1" w:rsidP="003A1896">
            <w:pPr>
              <w:rPr>
                <w:b/>
                <w:bCs/>
                <w:sz w:val="28"/>
                <w:szCs w:val="28"/>
              </w:rPr>
            </w:pPr>
          </w:p>
          <w:p w:rsidR="00703EF1" w:rsidRPr="00EF2F51" w:rsidRDefault="00703EF1" w:rsidP="003A1896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703EF1" w:rsidRPr="007E524B" w:rsidRDefault="00703EF1" w:rsidP="00703EF1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703EF1" w:rsidRDefault="00703EF1" w:rsidP="00BE64DF">
      <w:pPr>
        <w:rPr>
          <w:b/>
          <w:sz w:val="28"/>
          <w:szCs w:val="28"/>
          <w:lang w:val="uk-UA"/>
        </w:rPr>
        <w:sectPr w:rsidR="00703EF1" w:rsidSect="003A1896">
          <w:headerReference w:type="default" r:id="rId13"/>
          <w:footerReference w:type="default" r:id="rId14"/>
          <w:pgSz w:w="16838" w:h="11906" w:orient="landscape"/>
          <w:pgMar w:top="993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0C5B0C" w:rsidRPr="005A3F18" w:rsidTr="003A1896">
        <w:tc>
          <w:tcPr>
            <w:tcW w:w="3825" w:type="dxa"/>
            <w:hideMark/>
          </w:tcPr>
          <w:p w:rsidR="000C5B0C" w:rsidRPr="000C5B0C" w:rsidRDefault="000C5B0C" w:rsidP="00B9710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C5B0C">
              <w:rPr>
                <w:rFonts w:cs="Arial"/>
                <w:sz w:val="18"/>
                <w:szCs w:val="18"/>
                <w:lang w:val="uk-UA"/>
              </w:rPr>
              <w:t>Додаток 2</w:t>
            </w:r>
          </w:p>
          <w:p w:rsidR="000C5B0C" w:rsidRPr="000C5B0C" w:rsidRDefault="000C5B0C" w:rsidP="00B9710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C5B0C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0C5B0C" w:rsidRPr="000C5B0C" w:rsidRDefault="000C5B0C" w:rsidP="00B9710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0C5B0C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0C5B0C" w:rsidRPr="00F273D7" w:rsidRDefault="000C5B0C" w:rsidP="00B9710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18 серпня 2022 року № 1494__   </w:t>
            </w:r>
            <w:r w:rsidRPr="00F273D7">
              <w:rPr>
                <w:rFonts w:cs="Arial"/>
                <w:bCs w:val="0"/>
                <w:iCs/>
                <w:sz w:val="18"/>
                <w:szCs w:val="18"/>
              </w:rPr>
              <w:t xml:space="preserve">  </w:t>
            </w:r>
          </w:p>
        </w:tc>
      </w:tr>
    </w:tbl>
    <w:p w:rsidR="000C5B0C" w:rsidRDefault="000C5B0C" w:rsidP="000C5B0C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0C5B0C" w:rsidRPr="005A3F18" w:rsidRDefault="000C5B0C" w:rsidP="000C5B0C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0C5B0C" w:rsidRPr="00604A81" w:rsidRDefault="000C5B0C" w:rsidP="000C5B0C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0C5B0C" w:rsidRPr="005A3F18" w:rsidRDefault="000C5B0C" w:rsidP="000C5B0C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992"/>
        <w:gridCol w:w="1133"/>
        <w:gridCol w:w="1986"/>
        <w:gridCol w:w="1134"/>
        <w:gridCol w:w="1135"/>
        <w:gridCol w:w="992"/>
        <w:gridCol w:w="850"/>
        <w:gridCol w:w="1560"/>
      </w:tblGrid>
      <w:tr w:rsidR="000C5B0C" w:rsidRPr="00F97553" w:rsidTr="00B9710A">
        <w:trPr>
          <w:tblHeader/>
        </w:trPr>
        <w:tc>
          <w:tcPr>
            <w:tcW w:w="568" w:type="dxa"/>
            <w:shd w:val="clear" w:color="auto" w:fill="D9D9D9"/>
            <w:hideMark/>
          </w:tcPr>
          <w:p w:rsidR="000C5B0C" w:rsidRPr="00F97553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shd w:val="clear" w:color="auto" w:fill="D9D9D9"/>
          </w:tcPr>
          <w:p w:rsidR="000C5B0C" w:rsidRPr="00F97553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shd w:val="clear" w:color="auto" w:fill="D9D9D9"/>
          </w:tcPr>
          <w:p w:rsidR="000C5B0C" w:rsidRPr="00F97553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shd w:val="clear" w:color="auto" w:fill="D9D9D9"/>
          </w:tcPr>
          <w:p w:rsidR="000C5B0C" w:rsidRPr="00F97553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3" w:type="dxa"/>
            <w:shd w:val="clear" w:color="auto" w:fill="D9D9D9"/>
          </w:tcPr>
          <w:p w:rsidR="000C5B0C" w:rsidRPr="00F97553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6" w:type="dxa"/>
            <w:shd w:val="clear" w:color="auto" w:fill="D9D9D9"/>
          </w:tcPr>
          <w:p w:rsidR="000C5B0C" w:rsidRPr="00F97553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shd w:val="clear" w:color="auto" w:fill="D9D9D9"/>
          </w:tcPr>
          <w:p w:rsidR="000C5B0C" w:rsidRPr="00F97553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0C5B0C" w:rsidRPr="00F97553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0C5B0C" w:rsidRPr="00F97553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0" w:type="dxa"/>
            <w:shd w:val="clear" w:color="auto" w:fill="D9D9D9"/>
          </w:tcPr>
          <w:p w:rsidR="000C5B0C" w:rsidRPr="00F97553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shd w:val="clear" w:color="auto" w:fill="D9D9D9"/>
          </w:tcPr>
          <w:p w:rsidR="000C5B0C" w:rsidRPr="00F97553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C5B0C" w:rsidRPr="002F4487" w:rsidTr="00B9710A">
        <w:tc>
          <w:tcPr>
            <w:tcW w:w="568" w:type="dxa"/>
            <w:shd w:val="clear" w:color="auto" w:fill="auto"/>
          </w:tcPr>
          <w:p w:rsidR="000C5B0C" w:rsidRPr="00F97553" w:rsidRDefault="000C5B0C" w:rsidP="000C5B0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B0C" w:rsidRPr="00195733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95733">
              <w:rPr>
                <w:rFonts w:ascii="Arial" w:hAnsi="Arial" w:cs="Arial"/>
                <w:b/>
                <w:sz w:val="16"/>
                <w:szCs w:val="16"/>
              </w:rPr>
              <w:t>АПІОРАЛ /APIORAL</w:t>
            </w:r>
          </w:p>
        </w:tc>
        <w:tc>
          <w:tcPr>
            <w:tcW w:w="2410" w:type="dxa"/>
            <w:shd w:val="clear" w:color="auto" w:fill="FFFFFF"/>
          </w:tcPr>
          <w:p w:rsidR="000C5B0C" w:rsidRPr="00195733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9573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сублінгвальний, початковий набір: по 1 флакону тип 1 (3,5 мл) (флакон тип 1, 1/5 розведення) разом з 2 флаконами тип 2 (9,5 мл) (флакон тип 2, максимальна концентрація) у пластиковому контейнері, по 1 контейнеру в картонній коробці; підтримуючий набір: по 2 флакони тип 2 (9,5 мл) (флакон тип 2, максимальна концентрація) у пластиковому контейнері, по 1 контейнеру в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B0C" w:rsidRPr="00195733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9573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НЕО ПРОБІО КЕАР ІНК.</w:t>
            </w:r>
          </w:p>
        </w:tc>
        <w:tc>
          <w:tcPr>
            <w:tcW w:w="1133" w:type="dxa"/>
            <w:shd w:val="clear" w:color="auto" w:fill="FFFFFF"/>
          </w:tcPr>
          <w:p w:rsidR="000C5B0C" w:rsidRPr="00195733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5733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6" w:type="dxa"/>
            <w:shd w:val="clear" w:color="auto" w:fill="FFFFFF"/>
          </w:tcPr>
          <w:p w:rsidR="000C5B0C" w:rsidRPr="00195733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5733">
              <w:rPr>
                <w:rFonts w:ascii="Arial" w:hAnsi="Arial" w:cs="Arial"/>
                <w:color w:val="000000"/>
                <w:sz w:val="16"/>
                <w:szCs w:val="16"/>
              </w:rPr>
              <w:t>АСАК Фармасьютікал Імунолоджі, С.А.</w:t>
            </w:r>
          </w:p>
        </w:tc>
        <w:tc>
          <w:tcPr>
            <w:tcW w:w="1134" w:type="dxa"/>
            <w:shd w:val="clear" w:color="auto" w:fill="FFFFFF"/>
          </w:tcPr>
          <w:p w:rsidR="000C5B0C" w:rsidRPr="00195733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5733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135" w:type="dxa"/>
            <w:shd w:val="clear" w:color="auto" w:fill="FFFFFF"/>
          </w:tcPr>
          <w:p w:rsidR="000C5B0C" w:rsidRPr="00195733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573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B0C" w:rsidRPr="00195733" w:rsidRDefault="000C5B0C" w:rsidP="003A1896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9573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B0C" w:rsidRPr="00195733" w:rsidRDefault="000C5B0C" w:rsidP="003A1896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9573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B0C" w:rsidRPr="00B65918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5733">
              <w:rPr>
                <w:rFonts w:ascii="Arial" w:hAnsi="Arial" w:cs="Arial"/>
                <w:sz w:val="16"/>
                <w:szCs w:val="16"/>
              </w:rPr>
              <w:t>UA/19587/01/01</w:t>
            </w:r>
          </w:p>
        </w:tc>
      </w:tr>
      <w:tr w:rsidR="000C5B0C" w:rsidRPr="002F4487" w:rsidTr="00B9710A">
        <w:tc>
          <w:tcPr>
            <w:tcW w:w="568" w:type="dxa"/>
            <w:shd w:val="clear" w:color="auto" w:fill="auto"/>
          </w:tcPr>
          <w:p w:rsidR="000C5B0C" w:rsidRPr="00F97553" w:rsidRDefault="000C5B0C" w:rsidP="000C5B0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B0C" w:rsidRPr="00023575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345DB">
              <w:rPr>
                <w:rFonts w:ascii="Arial" w:hAnsi="Arial" w:cs="Arial"/>
                <w:b/>
                <w:sz w:val="16"/>
                <w:szCs w:val="16"/>
              </w:rPr>
              <w:t xml:space="preserve">ВАКЦИНА ДЛЯ ПРОФІЛАКТИКИ ДИФТЕРІЇ ТА ПРАВЦЯ, АДСОРБОВАНА, ДЛЯ ДОРОСЛИХ ТА ПІДЛІТКІВ / DIPHTHERIA AND TETANUS VACCINE ADSORBED FOR ADULTS AND ADOLESCENTS </w:t>
            </w:r>
          </w:p>
        </w:tc>
        <w:tc>
          <w:tcPr>
            <w:tcW w:w="2410" w:type="dxa"/>
            <w:shd w:val="clear" w:color="auto" w:fill="FFFFFF"/>
          </w:tcPr>
          <w:p w:rsidR="000C5B0C" w:rsidRPr="00023575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0,5 мл (1 доза) в ампулі, по 5 мл (10 доз) у флаконі, по 10 мл (20 доз) у флаконі; 50 ампул по 0,5 мл (1 доза) у пачці з картону; 50 флаконів по 5 мл (10 доз) у пачці з картону; 25 флаконів по 10 мл (10 доз) у пачці з картону</w:t>
            </w:r>
          </w:p>
        </w:tc>
        <w:tc>
          <w:tcPr>
            <w:tcW w:w="992" w:type="dxa"/>
            <w:shd w:val="clear" w:color="auto" w:fill="FFFFFF"/>
          </w:tcPr>
          <w:p w:rsidR="000C5B0C" w:rsidRPr="00B65918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3" w:type="dxa"/>
            <w:shd w:val="clear" w:color="auto" w:fill="FFFFFF"/>
          </w:tcPr>
          <w:p w:rsidR="000C5B0C" w:rsidRPr="00B65918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6" w:type="dxa"/>
            <w:shd w:val="clear" w:color="auto" w:fill="FFFFFF"/>
          </w:tcPr>
          <w:p w:rsidR="000C5B0C" w:rsidRPr="00023575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235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виробництво, первинне та вторинне пакування, контроль якості:</w:t>
            </w:r>
            <w:r w:rsidRPr="0002357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СЕРУМ ІНСТИТУТ ІНДІЇ ПВТ. ЛТД.</w:t>
            </w:r>
          </w:p>
        </w:tc>
        <w:tc>
          <w:tcPr>
            <w:tcW w:w="1134" w:type="dxa"/>
            <w:shd w:val="clear" w:color="auto" w:fill="FFFFFF"/>
          </w:tcPr>
          <w:p w:rsidR="000C5B0C" w:rsidRPr="00B65918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0C5B0C" w:rsidRPr="00B65918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B0C" w:rsidRPr="00B65918" w:rsidRDefault="000C5B0C" w:rsidP="003A1896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B0C" w:rsidRPr="00B65918" w:rsidRDefault="000C5B0C" w:rsidP="003A1896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B0C" w:rsidRPr="00B65918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5DB">
              <w:rPr>
                <w:rFonts w:ascii="Arial" w:hAnsi="Arial" w:cs="Arial"/>
                <w:sz w:val="16"/>
                <w:szCs w:val="16"/>
              </w:rPr>
              <w:t>UA/19592/01/01</w:t>
            </w:r>
          </w:p>
        </w:tc>
      </w:tr>
      <w:tr w:rsidR="000C5B0C" w:rsidRPr="002F4487" w:rsidTr="00B9710A">
        <w:tc>
          <w:tcPr>
            <w:tcW w:w="568" w:type="dxa"/>
            <w:shd w:val="clear" w:color="auto" w:fill="auto"/>
          </w:tcPr>
          <w:p w:rsidR="000C5B0C" w:rsidRPr="00F97553" w:rsidRDefault="000C5B0C" w:rsidP="000C5B0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sz w:val="16"/>
                <w:szCs w:val="16"/>
              </w:rPr>
              <w:t>ВАНТО / VANTO</w:t>
            </w:r>
          </w:p>
        </w:tc>
        <w:tc>
          <w:tcPr>
            <w:tcW w:w="2410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оболонкою, кишковорозчинні по 500 мг, по 10 таблеток в блістері, по 10 блістерів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3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6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Скайбіотек Лайфсаєнсиз Пвт. Лтд.</w:t>
            </w:r>
          </w:p>
        </w:tc>
        <w:tc>
          <w:tcPr>
            <w:tcW w:w="1134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B0C" w:rsidRPr="002F4487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sz w:val="16"/>
                <w:szCs w:val="16"/>
              </w:rPr>
              <w:t>UA/19580/01/01</w:t>
            </w:r>
          </w:p>
        </w:tc>
      </w:tr>
      <w:tr w:rsidR="000C5B0C" w:rsidRPr="002F4487" w:rsidTr="00B9710A">
        <w:tc>
          <w:tcPr>
            <w:tcW w:w="568" w:type="dxa"/>
            <w:shd w:val="clear" w:color="auto" w:fill="auto"/>
          </w:tcPr>
          <w:p w:rsidR="000C5B0C" w:rsidRPr="002F4487" w:rsidRDefault="000C5B0C" w:rsidP="000C5B0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B0C" w:rsidRPr="002D322C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D322C">
              <w:rPr>
                <w:rFonts w:ascii="Arial" w:hAnsi="Arial" w:cs="Arial"/>
                <w:b/>
                <w:sz w:val="16"/>
                <w:szCs w:val="16"/>
              </w:rPr>
              <w:t>ВІГАГЛОБ 500 / VIGAGLOB 500</w:t>
            </w:r>
          </w:p>
        </w:tc>
        <w:tc>
          <w:tcPr>
            <w:tcW w:w="2410" w:type="dxa"/>
            <w:shd w:val="clear" w:color="auto" w:fill="FFFFFF"/>
          </w:tcPr>
          <w:p w:rsidR="000C5B0C" w:rsidRPr="002D322C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D32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500 мг, по 10 таблеток в блістері, по 10 блістерів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B0C" w:rsidRPr="002D322C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D32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3" w:type="dxa"/>
            <w:shd w:val="clear" w:color="auto" w:fill="FFFFFF"/>
          </w:tcPr>
          <w:p w:rsidR="000C5B0C" w:rsidRPr="002D322C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22C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6" w:type="dxa"/>
            <w:shd w:val="clear" w:color="auto" w:fill="FFFFFF"/>
          </w:tcPr>
          <w:p w:rsidR="000C5B0C" w:rsidRPr="002D322C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22C">
              <w:rPr>
                <w:rFonts w:ascii="Arial" w:hAnsi="Arial" w:cs="Arial"/>
                <w:color w:val="000000"/>
                <w:sz w:val="16"/>
                <w:szCs w:val="16"/>
              </w:rPr>
              <w:t>ГЛОБЕЛА ФАРМА ПВТ. ЛТД.</w:t>
            </w:r>
          </w:p>
        </w:tc>
        <w:tc>
          <w:tcPr>
            <w:tcW w:w="1134" w:type="dxa"/>
            <w:shd w:val="clear" w:color="auto" w:fill="FFFFFF"/>
          </w:tcPr>
          <w:p w:rsidR="000C5B0C" w:rsidRPr="002D322C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D322C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0C5B0C" w:rsidRPr="002D322C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22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B0C" w:rsidRPr="002D322C" w:rsidRDefault="000C5B0C" w:rsidP="003A1896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D322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B0C" w:rsidRPr="002D322C" w:rsidRDefault="000C5B0C" w:rsidP="003A1896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D322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B0C" w:rsidRPr="002F4487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22C">
              <w:rPr>
                <w:rFonts w:ascii="Arial" w:hAnsi="Arial" w:cs="Arial"/>
                <w:sz w:val="16"/>
                <w:szCs w:val="16"/>
              </w:rPr>
              <w:t>UA/19581/01/01</w:t>
            </w:r>
          </w:p>
        </w:tc>
      </w:tr>
      <w:tr w:rsidR="000C5B0C" w:rsidRPr="00331A7D" w:rsidTr="00B9710A">
        <w:tc>
          <w:tcPr>
            <w:tcW w:w="568" w:type="dxa"/>
            <w:shd w:val="clear" w:color="auto" w:fill="auto"/>
          </w:tcPr>
          <w:p w:rsidR="000C5B0C" w:rsidRPr="002F4487" w:rsidRDefault="000C5B0C" w:rsidP="000C5B0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sz w:val="16"/>
                <w:szCs w:val="16"/>
              </w:rPr>
              <w:t>ГЕРТРАЗ</w:t>
            </w:r>
          </w:p>
        </w:tc>
        <w:tc>
          <w:tcPr>
            <w:tcW w:w="2410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концентрату для розчину для внутрішньовенної інфузії по 440 мг; по 440 мг порошку у багатодозовому флаконі; по 1 багатодозовому флакону з порошком разом з 2 флаконами розчинника по 10 мл кожний (Бактеріостатична вода для ін'єкцій Фарм. 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США) в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3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6" w:type="dxa"/>
            <w:shd w:val="clear" w:color="auto" w:fill="FFFFFF"/>
          </w:tcPr>
          <w:p w:rsidR="000C5B0C" w:rsidRPr="00B65918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первинне маркування, вторинне пакування (комбі-упаковка) та випуск серій: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Біокон Біолоджікс Лімітед, Індія;</w:t>
            </w:r>
          </w:p>
          <w:p w:rsidR="000C5B0C" w:rsidRPr="00EE2FF6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виробництво (стерильна фільтрація, наповнення в асептичних умовах, ліофілізація), контроль якості: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Кемвелл Біофарма Пвт. Лтд., Індія;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Бактеріостатичної води для ін'єкцій Фарм. США (стерильна фільтрація, наповнення в асептичних умовах), аналітичні випробування та випробування по стабільності, випуск серії бактеріостатичної води для ін'єкцій, зберігання, маркування та транспортування: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Біокон Лімітед, Індія</w:t>
            </w:r>
          </w:p>
        </w:tc>
        <w:tc>
          <w:tcPr>
            <w:tcW w:w="1134" w:type="dxa"/>
            <w:shd w:val="clear" w:color="auto" w:fill="FFFFFF"/>
          </w:tcPr>
          <w:p w:rsidR="000C5B0C" w:rsidRPr="00B65918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135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B0C" w:rsidRPr="00331A7D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sz w:val="16"/>
                <w:szCs w:val="16"/>
              </w:rPr>
              <w:t>UA/19582/01/02</w:t>
            </w:r>
          </w:p>
        </w:tc>
      </w:tr>
      <w:tr w:rsidR="000C5B0C" w:rsidRPr="002F4487" w:rsidTr="00B9710A">
        <w:tc>
          <w:tcPr>
            <w:tcW w:w="568" w:type="dxa"/>
            <w:shd w:val="clear" w:color="auto" w:fill="auto"/>
          </w:tcPr>
          <w:p w:rsidR="000C5B0C" w:rsidRPr="00F97553" w:rsidRDefault="000C5B0C" w:rsidP="000C5B0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65918">
              <w:rPr>
                <w:rFonts w:ascii="Arial" w:hAnsi="Arial" w:cs="Arial"/>
                <w:b/>
                <w:sz w:val="16"/>
                <w:szCs w:val="16"/>
              </w:rPr>
              <w:t>ГЕРТРАЗ</w:t>
            </w:r>
          </w:p>
        </w:tc>
        <w:tc>
          <w:tcPr>
            <w:tcW w:w="2410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концентрату для розчину для внутрішньовенної інфузії по 150 мг; по 150 мг порошку у однодозовому флаконі; по 1 однодозовому флакону з порошком в картонній коробці; по 150 мг порошку у багатодозовому флаконі; по 1 багатодозовому флакону з порошком разом з 1 флаконом розчинника по 10 мл (Бактеріостатична вода для ін'єкцій Фарм. 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США) в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3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6" w:type="dxa"/>
            <w:shd w:val="clear" w:color="auto" w:fill="FFFFFF"/>
          </w:tcPr>
          <w:p w:rsidR="000C5B0C" w:rsidRPr="00B65918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первинне маркування, вторинне пакування (комбі-упаковка) та випуск серій: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Біокон Біолоджікс Лімітед, Індія;</w:t>
            </w:r>
          </w:p>
          <w:p w:rsidR="000C5B0C" w:rsidRPr="00B65918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виробництво (стерильна фільтрація, наповнення в асептичних умовах, ліофілізація), контроль якості: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Кемвелл Біофарма Пвт. Лтд., Індія;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Бактеріостатичної води для ін'єкцій Фарм. США (стерильна фільтрація, наповнення в асептичних умовах), аналітичні випробування та випробування по стабільності, випуск серії бактеріостатичної води для ін'єкцій, зберігання, маркування та транспортування:</w:t>
            </w: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Біокон Лімітед, Індія</w:t>
            </w:r>
          </w:p>
          <w:p w:rsidR="000C5B0C" w:rsidRPr="00EE2FF6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0C5B0C" w:rsidRPr="00B65918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135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591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B0C" w:rsidRPr="002F4487" w:rsidRDefault="000C5B0C" w:rsidP="003A1896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6591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B0C" w:rsidRPr="00EE2FF6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E2FF6">
              <w:rPr>
                <w:rFonts w:ascii="Arial" w:hAnsi="Arial" w:cs="Arial"/>
                <w:bCs/>
                <w:sz w:val="16"/>
                <w:szCs w:val="16"/>
              </w:rPr>
              <w:t>UA/19582/01/01</w:t>
            </w:r>
          </w:p>
        </w:tc>
      </w:tr>
      <w:tr w:rsidR="000C5B0C" w:rsidRPr="00331A7D" w:rsidTr="00B9710A">
        <w:tc>
          <w:tcPr>
            <w:tcW w:w="568" w:type="dxa"/>
            <w:shd w:val="clear" w:color="auto" w:fill="auto"/>
          </w:tcPr>
          <w:p w:rsidR="000C5B0C" w:rsidRPr="00F97553" w:rsidRDefault="000C5B0C" w:rsidP="000C5B0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C71B4">
              <w:rPr>
                <w:rFonts w:ascii="Arial" w:hAnsi="Arial" w:cs="Arial"/>
                <w:b/>
                <w:sz w:val="16"/>
                <w:szCs w:val="16"/>
              </w:rPr>
              <w:t>ДВОХВАЛЕНТНА ОРАЛЬНА ВАКЦИНА ДЛЯ ПРОФІЛАКТИКИ ПОЛІОМІЄЛІТУ ТИПІВ 1 ТА 3 / BIVALENT ORAL POLIOMYELITIS VACCINE TYPES 1 &amp; 3</w:t>
            </w:r>
          </w:p>
        </w:tc>
        <w:tc>
          <w:tcPr>
            <w:tcW w:w="2410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C71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краплі, по 10 доз (1 мл) або по 20 доз (2 мл) у флаконах; 10 флаконів по 10 доз (1 мл) 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крапельницею, по 50 крапельниць у пачці з картону</w:t>
            </w:r>
          </w:p>
        </w:tc>
        <w:tc>
          <w:tcPr>
            <w:tcW w:w="992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C71B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ПТ Біо Фарма (Персеро)</w:t>
            </w:r>
          </w:p>
        </w:tc>
        <w:tc>
          <w:tcPr>
            <w:tcW w:w="1133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1B4">
              <w:rPr>
                <w:rFonts w:ascii="Arial" w:hAnsi="Arial" w:cs="Arial"/>
                <w:color w:val="000000"/>
                <w:sz w:val="16"/>
                <w:szCs w:val="16"/>
              </w:rPr>
              <w:t>Індонезiя</w:t>
            </w:r>
          </w:p>
        </w:tc>
        <w:tc>
          <w:tcPr>
            <w:tcW w:w="1986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C71B4">
              <w:rPr>
                <w:rFonts w:ascii="Arial" w:hAnsi="Arial" w:cs="Arial"/>
                <w:color w:val="000000"/>
                <w:sz w:val="16"/>
                <w:szCs w:val="16"/>
              </w:rPr>
              <w:t>ПТ Біо Фарма (Персеро)</w:t>
            </w:r>
          </w:p>
        </w:tc>
        <w:tc>
          <w:tcPr>
            <w:tcW w:w="1134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C71B4">
              <w:rPr>
                <w:rFonts w:ascii="Arial" w:hAnsi="Arial" w:cs="Arial"/>
                <w:color w:val="000000"/>
                <w:sz w:val="16"/>
                <w:szCs w:val="16"/>
              </w:rPr>
              <w:t>Індонезiя</w:t>
            </w:r>
          </w:p>
        </w:tc>
        <w:tc>
          <w:tcPr>
            <w:tcW w:w="1135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1B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C71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C71B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B0C" w:rsidRPr="00331A7D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1B4">
              <w:rPr>
                <w:rFonts w:ascii="Arial" w:hAnsi="Arial" w:cs="Arial"/>
                <w:sz w:val="16"/>
                <w:szCs w:val="16"/>
              </w:rPr>
              <w:t>UA/19590/01/01</w:t>
            </w:r>
          </w:p>
        </w:tc>
      </w:tr>
      <w:tr w:rsidR="000C5B0C" w:rsidRPr="00331A7D" w:rsidTr="00B9710A">
        <w:tc>
          <w:tcPr>
            <w:tcW w:w="568" w:type="dxa"/>
            <w:shd w:val="clear" w:color="auto" w:fill="auto"/>
          </w:tcPr>
          <w:p w:rsidR="000C5B0C" w:rsidRPr="00331A7D" w:rsidRDefault="000C5B0C" w:rsidP="000C5B0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B0C" w:rsidRPr="00376840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345DB">
              <w:rPr>
                <w:rFonts w:ascii="Arial" w:hAnsi="Arial" w:cs="Arial"/>
                <w:b/>
                <w:sz w:val="16"/>
                <w:szCs w:val="16"/>
                <w:lang w:val="ru-RU"/>
              </w:rPr>
              <w:t>МЕРКАПТОПУРИН ТІЛЛОМЕД 50 МГ, ТАБЛЕТКИ, ДЖЕНЕРІК</w:t>
            </w:r>
          </w:p>
        </w:tc>
        <w:tc>
          <w:tcPr>
            <w:tcW w:w="2410" w:type="dxa"/>
            <w:shd w:val="clear" w:color="auto" w:fill="FFFFFF"/>
          </w:tcPr>
          <w:p w:rsidR="000C5B0C" w:rsidRPr="00331A7D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50 мг у флаконі в пачці</w:t>
            </w:r>
          </w:p>
        </w:tc>
        <w:tc>
          <w:tcPr>
            <w:tcW w:w="992" w:type="dxa"/>
            <w:shd w:val="clear" w:color="auto" w:fill="FFFFFF"/>
          </w:tcPr>
          <w:p w:rsidR="000C5B0C" w:rsidRPr="00331A7D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3" w:type="dxa"/>
            <w:shd w:val="clear" w:color="auto" w:fill="FFFFFF"/>
          </w:tcPr>
          <w:p w:rsidR="000C5B0C" w:rsidRPr="00331A7D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986" w:type="dxa"/>
            <w:shd w:val="clear" w:color="auto" w:fill="FFFFFF"/>
          </w:tcPr>
          <w:p w:rsidR="000C5B0C" w:rsidRPr="00376840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  <w:t>ІДІФАРМА ДЕЗАРРОЛЛО ФАРМАЦЕВТІКО, С.Л., Іспанiя;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ІНФАРМЕЙД, С.Л., Іспанiя; 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ФУНДАЦІО ДАУ, Іспанiя;</w:t>
            </w: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ЛАБОРАТОРІЗ ЕНТЕМА, С.Л., Іспанія</w:t>
            </w:r>
          </w:p>
        </w:tc>
        <w:tc>
          <w:tcPr>
            <w:tcW w:w="1134" w:type="dxa"/>
            <w:shd w:val="clear" w:color="auto" w:fill="FFFFFF"/>
          </w:tcPr>
          <w:p w:rsidR="000C5B0C" w:rsidRPr="00331A7D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135" w:type="dxa"/>
            <w:shd w:val="clear" w:color="auto" w:fill="FFFFFF"/>
          </w:tcPr>
          <w:p w:rsidR="000C5B0C" w:rsidRPr="00331A7D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45D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B0C" w:rsidRPr="00331A7D" w:rsidRDefault="000C5B0C" w:rsidP="003A1896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B0C" w:rsidRPr="00331A7D" w:rsidRDefault="000C5B0C" w:rsidP="003A1896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345D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B0C" w:rsidRPr="002D322C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22C">
              <w:rPr>
                <w:rFonts w:ascii="Arial" w:hAnsi="Arial" w:cs="Arial"/>
                <w:sz w:val="16"/>
                <w:szCs w:val="16"/>
              </w:rPr>
              <w:t>UA/19593/01/01</w:t>
            </w:r>
          </w:p>
        </w:tc>
      </w:tr>
      <w:tr w:rsidR="000C5B0C" w:rsidRPr="004C71B4" w:rsidTr="00B9710A">
        <w:tc>
          <w:tcPr>
            <w:tcW w:w="568" w:type="dxa"/>
            <w:shd w:val="clear" w:color="auto" w:fill="auto"/>
          </w:tcPr>
          <w:p w:rsidR="000C5B0C" w:rsidRPr="00331A7D" w:rsidRDefault="000C5B0C" w:rsidP="000C5B0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C71B4">
              <w:rPr>
                <w:rFonts w:ascii="Arial" w:hAnsi="Arial" w:cs="Arial"/>
                <w:b/>
                <w:sz w:val="16"/>
                <w:szCs w:val="16"/>
              </w:rPr>
              <w:t>ПАРАЦЕТАМОЛ БІОФАРМ (PARACETAMOL BIOFARM)</w:t>
            </w:r>
          </w:p>
        </w:tc>
        <w:tc>
          <w:tcPr>
            <w:tcW w:w="2410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C71B4">
              <w:rPr>
                <w:rFonts w:ascii="Arial" w:hAnsi="Arial" w:cs="Arial"/>
                <w:sz w:val="16"/>
                <w:szCs w:val="16"/>
                <w:lang w:val="ru-RU"/>
              </w:rPr>
              <w:t>таблетки, по 2 таблетки у блістері, по 1 блістеру у картонній упаковці; по 6 таблеток у блістері, по 1 блістеру у картонній упаковці; по 10 таблеток у блістері, по 1, 2, 3 або 5 блістерів у картонній упаковці</w:t>
            </w:r>
          </w:p>
        </w:tc>
        <w:tc>
          <w:tcPr>
            <w:tcW w:w="992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C71B4">
              <w:rPr>
                <w:rFonts w:ascii="Arial" w:hAnsi="Arial" w:cs="Arial"/>
                <w:sz w:val="16"/>
                <w:szCs w:val="16"/>
                <w:lang w:val="ru-RU"/>
              </w:rPr>
              <w:t>Біофарм Лтд</w:t>
            </w:r>
          </w:p>
        </w:tc>
        <w:tc>
          <w:tcPr>
            <w:tcW w:w="1133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1B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6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1B4">
              <w:rPr>
                <w:rFonts w:ascii="Arial" w:hAnsi="Arial" w:cs="Arial"/>
                <w:sz w:val="16"/>
                <w:szCs w:val="16"/>
              </w:rPr>
              <w:t>виробництво лікарського засобу, випуск серії:</w:t>
            </w:r>
            <w:r w:rsidRPr="004C71B4">
              <w:rPr>
                <w:rFonts w:ascii="Arial" w:hAnsi="Arial" w:cs="Arial"/>
                <w:sz w:val="16"/>
                <w:szCs w:val="16"/>
              </w:rPr>
              <w:br/>
              <w:t>Біофарм Лтд, Польща;</w:t>
            </w:r>
            <w:r w:rsidRPr="004C71B4">
              <w:rPr>
                <w:rFonts w:ascii="Arial" w:hAnsi="Arial" w:cs="Arial"/>
                <w:sz w:val="16"/>
                <w:szCs w:val="16"/>
              </w:rPr>
              <w:br/>
              <w:t>дільниця для мікробіологічного контролю:</w:t>
            </w:r>
            <w:r w:rsidRPr="004C71B4">
              <w:rPr>
                <w:rFonts w:ascii="Arial" w:hAnsi="Arial" w:cs="Arial"/>
                <w:sz w:val="16"/>
                <w:szCs w:val="16"/>
              </w:rPr>
              <w:br/>
              <w:t>Фітофарм Клека Сполка Акційна, Польща</w:t>
            </w:r>
          </w:p>
        </w:tc>
        <w:tc>
          <w:tcPr>
            <w:tcW w:w="1134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C71B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5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1B4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C71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C71B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B0C" w:rsidRPr="004C71B4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1B4">
              <w:rPr>
                <w:rFonts w:ascii="Arial" w:hAnsi="Arial" w:cs="Arial"/>
                <w:sz w:val="16"/>
                <w:szCs w:val="16"/>
              </w:rPr>
              <w:t>UA/19559/01/01</w:t>
            </w:r>
          </w:p>
        </w:tc>
      </w:tr>
      <w:tr w:rsidR="000C5B0C" w:rsidRPr="00331A7D" w:rsidTr="00B9710A">
        <w:tc>
          <w:tcPr>
            <w:tcW w:w="568" w:type="dxa"/>
            <w:shd w:val="clear" w:color="auto" w:fill="auto"/>
          </w:tcPr>
          <w:p w:rsidR="000C5B0C" w:rsidRPr="004C71B4" w:rsidRDefault="000C5B0C" w:rsidP="000C5B0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C71B4">
              <w:rPr>
                <w:rFonts w:ascii="Arial" w:hAnsi="Arial" w:cs="Arial"/>
                <w:b/>
                <w:sz w:val="16"/>
                <w:szCs w:val="16"/>
              </w:rPr>
              <w:t xml:space="preserve">ТРО-ЦЕФТРИАКС 1 Г </w:t>
            </w:r>
          </w:p>
          <w:p w:rsidR="000C5B0C" w:rsidRPr="004C71B4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C71B4">
              <w:rPr>
                <w:rFonts w:ascii="Arial" w:hAnsi="Arial" w:cs="Arial"/>
                <w:b/>
                <w:sz w:val="16"/>
                <w:szCs w:val="16"/>
              </w:rPr>
              <w:t>TRO-CEFTRIAX 1 G</w:t>
            </w:r>
          </w:p>
        </w:tc>
        <w:tc>
          <w:tcPr>
            <w:tcW w:w="2410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C71B4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ін'єкцій/інфузій по 1 г у флаконі, по 50 флаконів у картонній коробці</w:t>
            </w:r>
          </w:p>
        </w:tc>
        <w:tc>
          <w:tcPr>
            <w:tcW w:w="992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C71B4">
              <w:rPr>
                <w:rFonts w:ascii="Arial" w:hAnsi="Arial" w:cs="Arial"/>
                <w:sz w:val="16"/>
                <w:szCs w:val="16"/>
                <w:lang w:val="ru-RU"/>
              </w:rPr>
              <w:t>ТРОГЕ МЕДІКАЛ ГМБХ</w:t>
            </w:r>
          </w:p>
        </w:tc>
        <w:tc>
          <w:tcPr>
            <w:tcW w:w="1133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1B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6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C71B4">
              <w:rPr>
                <w:rFonts w:ascii="Arial" w:hAnsi="Arial" w:cs="Arial"/>
                <w:sz w:val="16"/>
                <w:szCs w:val="16"/>
              </w:rPr>
              <w:t>Жеюн Фармасьютікал Ко., Лтд</w:t>
            </w:r>
          </w:p>
        </w:tc>
        <w:tc>
          <w:tcPr>
            <w:tcW w:w="1134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C71B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135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1B4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C71B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0C5B0C" w:rsidRPr="004C71B4" w:rsidRDefault="000C5B0C" w:rsidP="003A1896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C71B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0C5B0C" w:rsidRPr="002D322C" w:rsidRDefault="000C5B0C" w:rsidP="003A1896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C71B4">
              <w:rPr>
                <w:rFonts w:ascii="Arial" w:hAnsi="Arial" w:cs="Arial"/>
                <w:bCs/>
                <w:sz w:val="16"/>
                <w:szCs w:val="16"/>
              </w:rPr>
              <w:t>UA/19465/01/01</w:t>
            </w:r>
          </w:p>
        </w:tc>
      </w:tr>
    </w:tbl>
    <w:p w:rsidR="000C5B0C" w:rsidRDefault="000C5B0C" w:rsidP="000C5B0C"/>
    <w:p w:rsidR="000C5B0C" w:rsidRDefault="000C5B0C" w:rsidP="000C5B0C"/>
    <w:p w:rsidR="00B9710A" w:rsidRDefault="00B9710A" w:rsidP="000C5B0C"/>
    <w:tbl>
      <w:tblPr>
        <w:tblW w:w="0" w:type="auto"/>
        <w:tblLook w:val="04A0" w:firstRow="1" w:lastRow="0" w:firstColumn="1" w:lastColumn="0" w:noHBand="0" w:noVBand="1"/>
      </w:tblPr>
      <w:tblGrid>
        <w:gridCol w:w="6921"/>
        <w:gridCol w:w="6867"/>
      </w:tblGrid>
      <w:tr w:rsidR="000C5B0C" w:rsidRPr="00EF2F51" w:rsidTr="003A1896">
        <w:tc>
          <w:tcPr>
            <w:tcW w:w="7421" w:type="dxa"/>
          </w:tcPr>
          <w:p w:rsidR="000C5B0C" w:rsidRPr="00EF2F51" w:rsidRDefault="000C5B0C" w:rsidP="003A1896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C5B0C" w:rsidRPr="00EF2F51" w:rsidRDefault="000C5B0C" w:rsidP="003A1896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0C5B0C" w:rsidRPr="00EF2F51" w:rsidRDefault="000C5B0C" w:rsidP="003A1896">
            <w:pPr>
              <w:rPr>
                <w:b/>
                <w:bCs/>
                <w:sz w:val="28"/>
                <w:szCs w:val="28"/>
              </w:rPr>
            </w:pPr>
          </w:p>
          <w:p w:rsidR="000C5B0C" w:rsidRPr="00EF2F51" w:rsidRDefault="000C5B0C" w:rsidP="003A1896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0C5B0C" w:rsidRPr="00164E43" w:rsidRDefault="000C5B0C" w:rsidP="000C5B0C">
      <w:pPr>
        <w:rPr>
          <w:b/>
          <w:bCs/>
        </w:rPr>
      </w:pPr>
    </w:p>
    <w:p w:rsidR="00703EF1" w:rsidRPr="00703EF1" w:rsidRDefault="00703EF1" w:rsidP="00BE64DF">
      <w:pPr>
        <w:rPr>
          <w:b/>
          <w:sz w:val="28"/>
          <w:szCs w:val="28"/>
          <w:lang w:val="uk-UA"/>
        </w:rPr>
      </w:pPr>
    </w:p>
    <w:sectPr w:rsidR="00703EF1" w:rsidRPr="00703EF1" w:rsidSect="003A1896">
      <w:headerReference w:type="default" r:id="rId15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896" w:rsidRDefault="003A1896" w:rsidP="00B217C6">
      <w:r>
        <w:separator/>
      </w:r>
    </w:p>
  </w:endnote>
  <w:endnote w:type="continuationSeparator" w:id="0">
    <w:p w:rsidR="003A1896" w:rsidRDefault="003A1896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896" w:rsidRDefault="003A1896">
    <w:pPr>
      <w:pStyle w:val="a5"/>
      <w:jc w:val="center"/>
    </w:pPr>
  </w:p>
  <w:p w:rsidR="003A1896" w:rsidRDefault="003A18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896" w:rsidRDefault="003A1896" w:rsidP="00B217C6">
      <w:r>
        <w:separator/>
      </w:r>
    </w:p>
  </w:footnote>
  <w:footnote w:type="continuationSeparator" w:id="0">
    <w:p w:rsidR="003A1896" w:rsidRDefault="003A1896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896" w:rsidRDefault="003A1896" w:rsidP="003A1896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9710A">
      <w:rPr>
        <w:noProof/>
      </w:rPr>
      <w:t>3</w:t>
    </w:r>
    <w:r>
      <w:fldChar w:fldCharType="end"/>
    </w:r>
  </w:p>
  <w:p w:rsidR="00B9710A" w:rsidRDefault="00B9710A" w:rsidP="003A1896">
    <w:pPr>
      <w:pStyle w:val="a3"/>
      <w:tabs>
        <w:tab w:val="center" w:pos="7313"/>
        <w:tab w:val="left" w:pos="11388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896" w:rsidRDefault="003A1896" w:rsidP="003A1896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9710A">
      <w:rPr>
        <w:noProof/>
      </w:rPr>
      <w:t>7</w:t>
    </w:r>
    <w:r>
      <w:fldChar w:fldCharType="end"/>
    </w:r>
  </w:p>
  <w:p w:rsidR="003A1896" w:rsidRDefault="003A18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5B0C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1896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7076"/>
    <w:rsid w:val="006E790E"/>
    <w:rsid w:val="006F547E"/>
    <w:rsid w:val="006F75D2"/>
    <w:rsid w:val="007029B6"/>
    <w:rsid w:val="00702CBF"/>
    <w:rsid w:val="00703BF0"/>
    <w:rsid w:val="00703EF1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28E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2DC4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9710A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0786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7691A"/>
    <w:rsid w:val="00F876C0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6544268-9A43-47F4-BB71-9DCB85E1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703EF1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A6BB-4C3E-49B7-B35D-B4251412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1720</Words>
  <Characters>9809</Characters>
  <Application>Microsoft Office Word</Application>
  <DocSecurity>0</DocSecurity>
  <Lines>81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2022-08-22T07:02:00Z</dcterms:created>
  <dcterms:modified xsi:type="dcterms:W3CDTF">2022-08-22T07:02:00Z</dcterms:modified>
</cp:coreProperties>
</file>