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3F0D26">
        <w:trPr>
          <w:trHeight w:val="1066"/>
        </w:trPr>
        <w:tc>
          <w:tcPr>
            <w:tcW w:w="3271" w:type="dxa"/>
          </w:tcPr>
          <w:p w:rsidR="003F0D26" w:rsidRDefault="003F0D26" w:rsidP="00A93E77">
            <w:pPr>
              <w:rPr>
                <w:sz w:val="28"/>
                <w:szCs w:val="28"/>
                <w:lang w:val="uk-UA"/>
              </w:rPr>
            </w:pPr>
          </w:p>
          <w:p w:rsidR="00787ADB" w:rsidRDefault="003F0D26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червня 2022 року</w:t>
            </w:r>
          </w:p>
          <w:p w:rsidR="002224F7" w:rsidRDefault="002224F7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3F0D26" w:rsidRDefault="003F0D2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787ADB" w:rsidRDefault="003F0D2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№ 1080</w:t>
            </w:r>
          </w:p>
          <w:p w:rsidR="002224F7" w:rsidRDefault="00787ADB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</w:p>
          <w:p w:rsidR="00F61F7E" w:rsidRDefault="002224F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011AE">
        <w:rPr>
          <w:rFonts w:ascii="Times New Roman" w:hAnsi="Times New Roman"/>
          <w:sz w:val="28"/>
          <w:szCs w:val="28"/>
          <w:lang w:val="uk-UA"/>
        </w:rPr>
        <w:t>16</w:t>
      </w:r>
      <w:r w:rsidR="008726F5">
        <w:rPr>
          <w:rFonts w:ascii="Times New Roman" w:hAnsi="Times New Roman"/>
          <w:sz w:val="28"/>
          <w:szCs w:val="28"/>
          <w:lang w:val="uk-UA"/>
        </w:rPr>
        <w:t xml:space="preserve"> червня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D63A35" w:rsidRPr="00D63A35" w:rsidRDefault="00D63A35" w:rsidP="00FC73F7">
      <w:pPr>
        <w:pStyle w:val="31"/>
        <w:ind w:left="0"/>
        <w:rPr>
          <w:b/>
          <w:bCs/>
          <w:lang w:val="uk-UA"/>
        </w:rPr>
      </w:pPr>
    </w:p>
    <w:p w:rsidR="00BE64DF" w:rsidRPr="00A35CDB" w:rsidRDefault="00BE64DF" w:rsidP="00A35CDB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</w:t>
      </w:r>
      <w:r w:rsidR="008726F5">
        <w:rPr>
          <w:sz w:val="28"/>
          <w:szCs w:val="28"/>
          <w:lang w:val="uk-UA"/>
        </w:rPr>
        <w:t>ого</w:t>
      </w:r>
      <w:r w:rsidRPr="00BE64DF">
        <w:rPr>
          <w:sz w:val="28"/>
          <w:szCs w:val="28"/>
          <w:lang w:val="uk-UA"/>
        </w:rPr>
        <w:t xml:space="preserve"> засоб</w:t>
      </w:r>
      <w:r w:rsidR="008726F5">
        <w:rPr>
          <w:sz w:val="28"/>
          <w:szCs w:val="28"/>
          <w:lang w:val="uk-UA"/>
        </w:rPr>
        <w:t>у</w:t>
      </w:r>
      <w:r w:rsidRPr="00BE64DF">
        <w:rPr>
          <w:sz w:val="28"/>
          <w:szCs w:val="28"/>
          <w:lang w:val="uk-UA"/>
        </w:rPr>
        <w:t xml:space="preserve"> </w:t>
      </w:r>
      <w:r w:rsidRPr="00A35CDB">
        <w:rPr>
          <w:sz w:val="28"/>
          <w:szCs w:val="28"/>
          <w:lang w:val="uk-UA"/>
        </w:rPr>
        <w:t>згідно з переліком (додаток).</w:t>
      </w:r>
    </w:p>
    <w:p w:rsidR="00927311" w:rsidRPr="00957C7E" w:rsidRDefault="00927311" w:rsidP="00A35CD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D63A35" w:rsidP="00A35CD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8035CF">
        <w:rPr>
          <w:sz w:val="28"/>
          <w:szCs w:val="28"/>
          <w:lang w:val="uk-UA"/>
        </w:rPr>
        <w:t>залишаю за собою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A35CDB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ED6B45" w:rsidRDefault="008035CF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</w:t>
      </w:r>
      <w:r w:rsidR="000D32CE"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                                          Олександр КОМАРІДА</w:t>
      </w:r>
      <w:r w:rsidR="000D32CE">
        <w:rPr>
          <w:b/>
          <w:sz w:val="28"/>
          <w:szCs w:val="28"/>
          <w:lang w:val="uk-UA"/>
        </w:rPr>
        <w:t xml:space="preserve">   </w:t>
      </w:r>
    </w:p>
    <w:p w:rsidR="00ED6B45" w:rsidRDefault="00ED6B45" w:rsidP="00BE64DF">
      <w:pPr>
        <w:rPr>
          <w:b/>
          <w:sz w:val="28"/>
          <w:szCs w:val="28"/>
          <w:lang w:val="uk-UA"/>
        </w:rPr>
        <w:sectPr w:rsidR="00ED6B45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D6B45" w:rsidRPr="005A3F18" w:rsidTr="008B5072">
        <w:tc>
          <w:tcPr>
            <w:tcW w:w="3825" w:type="dxa"/>
            <w:hideMark/>
          </w:tcPr>
          <w:p w:rsidR="00ED6B45" w:rsidRPr="00ED6B45" w:rsidRDefault="00ED6B45" w:rsidP="00B3311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D6B45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ED6B45" w:rsidRPr="00ED6B45" w:rsidRDefault="00ED6B45" w:rsidP="00B3311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D6B45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ED6B45" w:rsidRPr="00ED6B45" w:rsidRDefault="00ED6B45" w:rsidP="00B3311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D6B45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ED6B45" w:rsidRPr="00BB76AA" w:rsidRDefault="00ED6B45" w:rsidP="00B3311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BB76AA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22 червня 2022 року № 1080  </w:t>
            </w:r>
          </w:p>
        </w:tc>
      </w:tr>
    </w:tbl>
    <w:p w:rsidR="00ED6B45" w:rsidRDefault="00ED6B45" w:rsidP="00ED6B4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ED6B45" w:rsidRPr="005A3F18" w:rsidRDefault="00ED6B45" w:rsidP="00ED6B4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ED6B45" w:rsidRPr="00604A81" w:rsidRDefault="00ED6B45" w:rsidP="00ED6B45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ED6B45" w:rsidRPr="005A3F18" w:rsidRDefault="00ED6B45" w:rsidP="00ED6B4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276"/>
        <w:gridCol w:w="1276"/>
        <w:gridCol w:w="3118"/>
        <w:gridCol w:w="1418"/>
        <w:gridCol w:w="1134"/>
        <w:gridCol w:w="992"/>
        <w:gridCol w:w="851"/>
        <w:gridCol w:w="1701"/>
      </w:tblGrid>
      <w:tr w:rsidR="00ED6B45" w:rsidRPr="00F97553" w:rsidTr="00B33113">
        <w:trPr>
          <w:tblHeader/>
        </w:trPr>
        <w:tc>
          <w:tcPr>
            <w:tcW w:w="567" w:type="dxa"/>
            <w:shd w:val="clear" w:color="auto" w:fill="D9D9D9"/>
            <w:hideMark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shd w:val="clear" w:color="auto" w:fill="D9D9D9"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shd w:val="clear" w:color="auto" w:fill="D9D9D9"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shd w:val="clear" w:color="auto" w:fill="D9D9D9"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shd w:val="clear" w:color="auto" w:fill="D9D9D9"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3118" w:type="dxa"/>
            <w:shd w:val="clear" w:color="auto" w:fill="D9D9D9"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shd w:val="clear" w:color="auto" w:fill="D9D9D9"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shd w:val="clear" w:color="auto" w:fill="D9D9D9"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ED6B45" w:rsidRPr="00F97553" w:rsidRDefault="00ED6B45" w:rsidP="00B331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shd w:val="clear" w:color="auto" w:fill="D9D9D9"/>
          </w:tcPr>
          <w:p w:rsidR="00ED6B45" w:rsidRPr="00F97553" w:rsidRDefault="00ED6B45" w:rsidP="00B331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shd w:val="clear" w:color="auto" w:fill="D9D9D9"/>
          </w:tcPr>
          <w:p w:rsidR="00ED6B45" w:rsidRPr="00F97553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D6B45" w:rsidRPr="00F97553" w:rsidTr="00B33113">
        <w:tc>
          <w:tcPr>
            <w:tcW w:w="567" w:type="dxa"/>
            <w:shd w:val="clear" w:color="auto" w:fill="auto"/>
          </w:tcPr>
          <w:p w:rsidR="00ED6B45" w:rsidRPr="00F97553" w:rsidRDefault="00ED6B45" w:rsidP="00ED6B4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>АСКОРБІНОВА КИСЛОТА 150 МГ/МЛ КОНЦЕНТРАТ ДЛЯ РОЗЧИНУ ДЛЯ ІН'ЄКЦІЙ / ІНФУЗІЙ /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ASCORBIC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ACID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150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CONCENTRATE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/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INFUSION</w:t>
            </w:r>
          </w:p>
        </w:tc>
        <w:tc>
          <w:tcPr>
            <w:tcW w:w="1701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ін'єкцій / інфузій по 50 мл у флаконі, по 1 флакону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>Паско фармацойтіше Препарате ГмбХ</w:t>
            </w:r>
          </w:p>
        </w:tc>
        <w:tc>
          <w:tcPr>
            <w:tcW w:w="1276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3118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виробництво, первинне пакування, випробування контролю якості (об'єм що витягається):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маркування, вторинне пакування, контроль якості (фізико-хімічний) та випуск серії: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Паско фармацойтіше Препарате ГмбХ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Pr="00162251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маркування, вторинне пакування: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Паско фармацойтіше Препарате ГмбХ, Німеччина; 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відповідальний за розміщення елементів безпеки на упаковках: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Престиж Промоушен Веркауфсфоердерунг та Вербесервіс ГмбХ, Німеччина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або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Престиж Промоушен Веркауфсфоердерунг та Вербесервіс ГмбХ,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або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Престиж Промоушен Веркауфсфоердерунг та Вербесервіс ГмбХ,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випробування контролю якості (арсен):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Бергхоф Аналітик унд Умвельтенжінірінг ГмбХ, Німеччина;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випробування контролю якості (біологічні/мікробіологічні/стерильності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):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Лабор ЛС СЕ та Ко. </w:t>
            </w:r>
            <w:r w:rsidRPr="00162251">
              <w:rPr>
                <w:rFonts w:ascii="Arial" w:hAnsi="Arial" w:cs="Arial"/>
                <w:sz w:val="16"/>
                <w:szCs w:val="16"/>
              </w:rPr>
              <w:t>КГ, Німеччина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1134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ED6B45" w:rsidRPr="00162251" w:rsidRDefault="00ED6B45" w:rsidP="00B33113">
            <w:pPr>
              <w:pStyle w:val="a8"/>
              <w:tabs>
                <w:tab w:val="left" w:pos="12600"/>
              </w:tabs>
              <w:ind w:right="-10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6225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ED6B45" w:rsidRPr="00162251" w:rsidRDefault="00ED6B45" w:rsidP="00B33113">
            <w:pPr>
              <w:pStyle w:val="a8"/>
              <w:tabs>
                <w:tab w:val="left" w:pos="12600"/>
              </w:tabs>
              <w:ind w:right="-110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ED6B45" w:rsidRPr="006823F7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UA/19507/01/01</w:t>
            </w:r>
          </w:p>
        </w:tc>
      </w:tr>
      <w:tr w:rsidR="00ED6B45" w:rsidRPr="00F97553" w:rsidTr="00B33113">
        <w:tc>
          <w:tcPr>
            <w:tcW w:w="567" w:type="dxa"/>
            <w:shd w:val="clear" w:color="auto" w:fill="auto"/>
          </w:tcPr>
          <w:p w:rsidR="00ED6B45" w:rsidRPr="00F97553" w:rsidRDefault="00ED6B45" w:rsidP="00ED6B4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ВІТАМІН С ПАСКО 150 МГ/МЛ КОНЦЕНТРАТ ДЛЯ ПРИГОТУВАННЯ РОЗЧИНУ ДЛЯ ІН'ЄКЦІЙ / ІНФУЗІЙ /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VITAMIN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PASCOE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150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CONCENTRATE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16225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/ </w:t>
            </w:r>
            <w:r w:rsidRPr="00162251">
              <w:rPr>
                <w:rFonts w:ascii="Arial" w:hAnsi="Arial" w:cs="Arial"/>
                <w:b/>
                <w:sz w:val="16"/>
                <w:szCs w:val="16"/>
              </w:rPr>
              <w:t>INFUSION</w:t>
            </w:r>
          </w:p>
        </w:tc>
        <w:tc>
          <w:tcPr>
            <w:tcW w:w="1701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ін'єкцій / інфузій по 50 мл у флаконі; по 1 флакону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>Паско фармацойтіше Препарате ГмбХ</w:t>
            </w:r>
          </w:p>
        </w:tc>
        <w:tc>
          <w:tcPr>
            <w:tcW w:w="1276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3118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Виробництво, первинне пакування, випробування контролю якості (об'єм, що витягається):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Маркування, вторинне пакуваня, контроль якості (фізико-хімічний) та випуск серії: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Паско фармацойтіше Препарате ГмбХ, Німеччина;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Маркування, вторинне пакування: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Паско фармацойтіше Препарате ГмбХ, Німеччина; 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Відповідальний за розміщення елементів безпеки на упаковках: 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Престиж Промоушен Веркауфсфоердерунг та Вербесервіс ГмбХ, Німеччина;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Відповідальний за розміщення елементів безпеки на упаковках: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Престиж Промоушен Веркауфсфоердерунг та Вербесервіс ГмбХ, Німеччина 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Відповідальний за розміщення елементів безпеки на упаковках: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Престиж Промоушен Веркауфсфоердерунг та Вербесервіс ГмбХ,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Випробування контролю якості (арсен):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Бергхоф Аналітик унд Умвельтенжінірінг ГмбХ,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Випробування контролю якості (біологічні/мікробіологічні/стерильності):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Лабор ЛС СЕ та Ко. </w:t>
            </w:r>
            <w:r w:rsidRPr="00162251">
              <w:rPr>
                <w:rFonts w:ascii="Arial" w:hAnsi="Arial" w:cs="Arial"/>
                <w:sz w:val="16"/>
                <w:szCs w:val="16"/>
              </w:rPr>
              <w:t>КГ, Німеччина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134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ED6B45" w:rsidRPr="00162251" w:rsidRDefault="00ED6B45" w:rsidP="00B33113">
            <w:pPr>
              <w:pStyle w:val="a8"/>
              <w:tabs>
                <w:tab w:val="left" w:pos="12600"/>
              </w:tabs>
              <w:ind w:right="-10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62251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851" w:type="dxa"/>
            <w:shd w:val="clear" w:color="auto" w:fill="FFFFFF"/>
          </w:tcPr>
          <w:p w:rsidR="00ED6B45" w:rsidRPr="00162251" w:rsidRDefault="00ED6B45" w:rsidP="00B33113">
            <w:pPr>
              <w:pStyle w:val="a8"/>
              <w:tabs>
                <w:tab w:val="left" w:pos="12600"/>
              </w:tabs>
              <w:ind w:right="-110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ED6B45" w:rsidRPr="006823F7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UA/19508/01/01</w:t>
            </w:r>
          </w:p>
        </w:tc>
      </w:tr>
      <w:tr w:rsidR="00ED6B45" w:rsidRPr="00F97553" w:rsidTr="00B33113">
        <w:tc>
          <w:tcPr>
            <w:tcW w:w="567" w:type="dxa"/>
            <w:shd w:val="clear" w:color="auto" w:fill="auto"/>
          </w:tcPr>
          <w:p w:rsidR="00ED6B45" w:rsidRPr="00F97553" w:rsidRDefault="00ED6B45" w:rsidP="00ED6B4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b/>
                <w:sz w:val="16"/>
                <w:szCs w:val="16"/>
              </w:rPr>
              <w:t>МЕРКАПТОПУРИН-ВІСТА</w:t>
            </w:r>
          </w:p>
        </w:tc>
        <w:tc>
          <w:tcPr>
            <w:tcW w:w="1701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>таблетки по 50 мг у флаконі в пачці</w:t>
            </w:r>
          </w:p>
        </w:tc>
        <w:tc>
          <w:tcPr>
            <w:tcW w:w="1276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276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3118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ІДІФАРМА ДЕЗАРРОЛЛО ФАРМАЦЕВТІКО, С.Л., Іспанiя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ІНФАРМЕЙД, С.Л., Іспанiя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</w:r>
            <w:r w:rsidRPr="00162251">
              <w:rPr>
                <w:rFonts w:ascii="Arial" w:hAnsi="Arial" w:cs="Arial"/>
                <w:sz w:val="16"/>
                <w:szCs w:val="16"/>
              </w:rPr>
              <w:lastRenderedPageBreak/>
              <w:t>ЛАБОРАТОРІ ФУНДАЦІО ДАУ, Іспанiя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ЛАБОРАТОРІЗ ЕНТЕМА, С.Л., Іспанія</w:t>
            </w:r>
          </w:p>
        </w:tc>
        <w:tc>
          <w:tcPr>
            <w:tcW w:w="1418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Іспанія</w:t>
            </w:r>
          </w:p>
        </w:tc>
        <w:tc>
          <w:tcPr>
            <w:tcW w:w="1134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ED6B45" w:rsidRPr="00162251" w:rsidRDefault="00ED6B45" w:rsidP="00B33113">
            <w:pPr>
              <w:pStyle w:val="a8"/>
              <w:tabs>
                <w:tab w:val="left" w:pos="12600"/>
              </w:tabs>
              <w:ind w:right="-10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з</w:t>
            </w:r>
            <w:r w:rsidRPr="00162251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851" w:type="dxa"/>
            <w:shd w:val="clear" w:color="auto" w:fill="FFFFFF"/>
          </w:tcPr>
          <w:p w:rsidR="00ED6B45" w:rsidRPr="00162251" w:rsidRDefault="00ED6B45" w:rsidP="00B33113">
            <w:pPr>
              <w:pStyle w:val="a8"/>
              <w:tabs>
                <w:tab w:val="left" w:pos="12600"/>
              </w:tabs>
              <w:ind w:right="-110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ED6B45" w:rsidRPr="006823F7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UA/19509/01/01</w:t>
            </w:r>
          </w:p>
        </w:tc>
      </w:tr>
      <w:tr w:rsidR="00ED6B45" w:rsidRPr="00F97553" w:rsidTr="00B33113">
        <w:tc>
          <w:tcPr>
            <w:tcW w:w="567" w:type="dxa"/>
            <w:shd w:val="clear" w:color="auto" w:fill="auto"/>
          </w:tcPr>
          <w:p w:rsidR="00ED6B45" w:rsidRPr="00F97553" w:rsidRDefault="00ED6B45" w:rsidP="00ED6B4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b/>
                <w:sz w:val="16"/>
                <w:szCs w:val="16"/>
              </w:rPr>
              <w:t>ТІОТЕПА-ВІСТА</w:t>
            </w:r>
          </w:p>
        </w:tc>
        <w:tc>
          <w:tcPr>
            <w:tcW w:w="1701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 по 100 мг, флакон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276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3118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готової лікарської форми, первинну упаковку та контроль серії (окрім контролю стерильності та бактеріальних ендотоксинів):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Тимоорган Фармаціе ГмбХ,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 за показниками стерильність і бактеріальні ендотоксини: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 за показниками стерильність і бактеріальні ендотоксини:</w:t>
            </w:r>
            <w:r w:rsidRPr="00162251">
              <w:rPr>
                <w:rFonts w:ascii="Arial" w:hAnsi="Arial" w:cs="Arial"/>
                <w:sz w:val="16"/>
                <w:szCs w:val="16"/>
              </w:rPr>
              <w:br/>
              <w:t>Біокем Лабор фюр біологіше унд хіміше Аналітік ГмбХ, Німеччина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ED6B45" w:rsidRPr="00162251" w:rsidRDefault="00ED6B45" w:rsidP="008B5072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t>Виробник, відповідальний за вторинну упаковку та випуск серії:</w:t>
            </w:r>
            <w:r w:rsidRPr="00162251">
              <w:rPr>
                <w:rFonts w:ascii="Arial" w:hAnsi="Arial" w:cs="Arial"/>
                <w:sz w:val="16"/>
                <w:szCs w:val="16"/>
                <w:lang w:val="uk-UA"/>
              </w:rPr>
              <w:br/>
              <w:t>ЕйчДаблЮАй девелопмент ГмбХ, Німеччина</w:t>
            </w:r>
          </w:p>
        </w:tc>
        <w:tc>
          <w:tcPr>
            <w:tcW w:w="1418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134" w:type="dxa"/>
            <w:shd w:val="clear" w:color="auto" w:fill="FFFFFF"/>
          </w:tcPr>
          <w:p w:rsidR="00ED6B45" w:rsidRPr="00162251" w:rsidRDefault="00ED6B45" w:rsidP="008B5072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25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ED6B45" w:rsidRPr="00162251" w:rsidRDefault="00ED6B45" w:rsidP="00B33113">
            <w:pPr>
              <w:pStyle w:val="a8"/>
              <w:tabs>
                <w:tab w:val="left" w:pos="12600"/>
              </w:tabs>
              <w:ind w:right="-10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6225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ED6B45" w:rsidRPr="00162251" w:rsidRDefault="00ED6B45" w:rsidP="00B33113">
            <w:pPr>
              <w:pStyle w:val="a8"/>
              <w:tabs>
                <w:tab w:val="left" w:pos="12600"/>
              </w:tabs>
              <w:ind w:right="-110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6225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ED6B45" w:rsidRPr="00EF4408" w:rsidRDefault="00ED6B45" w:rsidP="008B507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F4408">
              <w:rPr>
                <w:rFonts w:ascii="Arial" w:hAnsi="Arial" w:cs="Arial"/>
                <w:bCs/>
                <w:sz w:val="16"/>
                <w:szCs w:val="16"/>
              </w:rPr>
              <w:t>UA/19510/01/01</w:t>
            </w:r>
          </w:p>
        </w:tc>
      </w:tr>
    </w:tbl>
    <w:p w:rsidR="00ED6B45" w:rsidRDefault="00ED6B45" w:rsidP="00ED6B45"/>
    <w:p w:rsidR="00ED6B45" w:rsidRDefault="00ED6B45" w:rsidP="00ED6B45"/>
    <w:p w:rsidR="00ED6B45" w:rsidRDefault="00ED6B45" w:rsidP="00ED6B45"/>
    <w:p w:rsidR="00ED6B45" w:rsidRDefault="00ED6B45" w:rsidP="00ED6B45"/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D6B45" w:rsidRPr="00EF2F51" w:rsidTr="008B5072">
        <w:tc>
          <w:tcPr>
            <w:tcW w:w="7421" w:type="dxa"/>
          </w:tcPr>
          <w:p w:rsidR="00ED6B45" w:rsidRPr="00EF2F51" w:rsidRDefault="00ED6B45" w:rsidP="008B5072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ED6B45" w:rsidRPr="00EF2F51" w:rsidRDefault="00ED6B45" w:rsidP="008B5072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ED6B45" w:rsidRPr="00EF2F51" w:rsidRDefault="00ED6B45" w:rsidP="008B5072">
            <w:pPr>
              <w:rPr>
                <w:b/>
                <w:bCs/>
                <w:sz w:val="28"/>
                <w:szCs w:val="28"/>
              </w:rPr>
            </w:pPr>
          </w:p>
          <w:p w:rsidR="00ED6B45" w:rsidRPr="00EF2F51" w:rsidRDefault="00ED6B45" w:rsidP="008B5072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ED6B45" w:rsidRPr="00164E43" w:rsidRDefault="00ED6B45" w:rsidP="00ED6B45">
      <w:pPr>
        <w:rPr>
          <w:b/>
          <w:bCs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</w:t>
      </w:r>
    </w:p>
    <w:sectPr w:rsidR="007F3466" w:rsidSect="00B33113">
      <w:pgSz w:w="16838" w:h="11906" w:orient="landscape"/>
      <w:pgMar w:top="1134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72" w:rsidRDefault="008B5072" w:rsidP="00B217C6">
      <w:r>
        <w:separator/>
      </w:r>
    </w:p>
  </w:endnote>
  <w:endnote w:type="continuationSeparator" w:id="0">
    <w:p w:rsidR="008B5072" w:rsidRDefault="008B5072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72" w:rsidRDefault="008B5072" w:rsidP="00B217C6">
      <w:r>
        <w:separator/>
      </w:r>
    </w:p>
  </w:footnote>
  <w:footnote w:type="continuationSeparator" w:id="0">
    <w:p w:rsidR="008B5072" w:rsidRDefault="008B5072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3EE3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94B64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4744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24F7"/>
    <w:rsid w:val="002252BE"/>
    <w:rsid w:val="002266DA"/>
    <w:rsid w:val="00232E05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0D26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21A7"/>
    <w:rsid w:val="00433379"/>
    <w:rsid w:val="00433C52"/>
    <w:rsid w:val="00433EDF"/>
    <w:rsid w:val="004342E4"/>
    <w:rsid w:val="00434CF3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7ADB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35CF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6F5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072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3EE3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376D1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581F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1AE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35CDB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1EC2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311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2E4"/>
    <w:rsid w:val="00D57B28"/>
    <w:rsid w:val="00D60115"/>
    <w:rsid w:val="00D61591"/>
    <w:rsid w:val="00D61981"/>
    <w:rsid w:val="00D61B9F"/>
    <w:rsid w:val="00D63A35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266DC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3BE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D6B45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7A67D1-5AC1-45F1-AF29-DAF6F4AC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a8">
    <w:name w:val="Звичайний"/>
    <w:aliases w:val="Normal"/>
    <w:qFormat/>
    <w:rsid w:val="00ED6B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39DA-1B40-41F9-97D3-CD1D02A2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МІНІСТЕРСТВО ОХОРОНИ ЗДОРОВ’Я УКРАЇНИ</vt:lpstr>
      <vt:lpstr>НАКАЗ</vt:lpstr>
      <vt:lpstr/>
    </vt:vector>
  </TitlesOfParts>
  <Company>Krokoz™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2022-06-30T07:41:00Z</dcterms:created>
  <dcterms:modified xsi:type="dcterms:W3CDTF">2022-06-30T07:41:00Z</dcterms:modified>
</cp:coreProperties>
</file>