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F727F0">
        <w:trPr>
          <w:trHeight w:val="1208"/>
        </w:trPr>
        <w:tc>
          <w:tcPr>
            <w:tcW w:w="3271" w:type="dxa"/>
          </w:tcPr>
          <w:p w:rsidR="003F0D26" w:rsidRDefault="003F0D26" w:rsidP="00A93E77">
            <w:pPr>
              <w:rPr>
                <w:sz w:val="28"/>
                <w:szCs w:val="28"/>
                <w:lang w:val="uk-UA"/>
              </w:rPr>
            </w:pPr>
          </w:p>
          <w:p w:rsidR="002224F7" w:rsidRDefault="00672561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червня 2022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.5.20200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3F0D26" w:rsidRDefault="003F0D2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787ADB" w:rsidRDefault="003F0D2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672561">
              <w:rPr>
                <w:sz w:val="28"/>
                <w:szCs w:val="28"/>
                <w:lang w:val="uk-UA"/>
              </w:rPr>
              <w:t xml:space="preserve">                                       № 1125</w:t>
            </w:r>
            <w:r>
              <w:rPr>
                <w:sz w:val="28"/>
                <w:szCs w:val="28"/>
                <w:lang w:val="uk-UA"/>
              </w:rPr>
              <w:t xml:space="preserve">                                      </w:t>
            </w:r>
          </w:p>
          <w:p w:rsidR="002224F7" w:rsidRDefault="00787ADB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</w:t>
            </w:r>
          </w:p>
          <w:p w:rsidR="00F61F7E" w:rsidRDefault="002224F7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</w:t>
            </w: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  <w:r w:rsidR="002915D3">
        <w:rPr>
          <w:b/>
          <w:sz w:val="28"/>
          <w:szCs w:val="28"/>
          <w:lang w:val="uk-UA"/>
        </w:rPr>
        <w:t xml:space="preserve"> та внесення зміни до додатка до наказу Міністерства охорони здоров’я України від 2</w:t>
      </w:r>
      <w:r w:rsidR="007E3A13">
        <w:rPr>
          <w:b/>
          <w:sz w:val="28"/>
          <w:szCs w:val="28"/>
          <w:lang w:val="uk-UA"/>
        </w:rPr>
        <w:t>8</w:t>
      </w:r>
      <w:r w:rsidR="002915D3">
        <w:rPr>
          <w:b/>
          <w:sz w:val="28"/>
          <w:szCs w:val="28"/>
          <w:lang w:val="uk-UA"/>
        </w:rPr>
        <w:t xml:space="preserve"> квітня 2022 року № 701 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E2C62" w:rsidRPr="0013129D" w:rsidRDefault="00957C7E" w:rsidP="00EE2C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>
        <w:rPr>
          <w:rFonts w:ascii="Times New Roman" w:hAnsi="Times New Roman"/>
          <w:sz w:val="28"/>
          <w:szCs w:val="28"/>
          <w:lang w:val="uk-UA"/>
        </w:rPr>
        <w:t>,</w:t>
      </w:r>
      <w:r w:rsidR="003322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2232" w:rsidRPr="00703BF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31EBC">
        <w:rPr>
          <w:rFonts w:ascii="Times New Roman" w:hAnsi="Times New Roman"/>
          <w:sz w:val="28"/>
          <w:szCs w:val="28"/>
          <w:lang w:val="uk-UA"/>
        </w:rPr>
        <w:t>23</w:t>
      </w:r>
      <w:r w:rsidR="008726F5">
        <w:rPr>
          <w:rFonts w:ascii="Times New Roman" w:hAnsi="Times New Roman"/>
          <w:sz w:val="28"/>
          <w:szCs w:val="28"/>
          <w:lang w:val="uk-UA"/>
        </w:rPr>
        <w:t xml:space="preserve"> червня</w:t>
      </w:r>
      <w:r w:rsidR="00DF0BBF">
        <w:rPr>
          <w:rFonts w:ascii="Times New Roman" w:hAnsi="Times New Roman"/>
          <w:sz w:val="28"/>
          <w:szCs w:val="28"/>
          <w:lang w:val="uk-UA"/>
        </w:rPr>
        <w:t xml:space="preserve"> 2022 року</w:t>
      </w:r>
      <w:r w:rsidR="00703BF0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0BBF">
        <w:rPr>
          <w:rFonts w:ascii="Times New Roman" w:hAnsi="Times New Roman"/>
          <w:sz w:val="28"/>
          <w:szCs w:val="28"/>
          <w:lang w:val="uk-UA"/>
        </w:rPr>
        <w:t>і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рекомендаці</w:t>
      </w:r>
      <w:r w:rsidR="006F547E" w:rsidRPr="00703BF0">
        <w:rPr>
          <w:rFonts w:ascii="Times New Roman" w:hAnsi="Times New Roman"/>
          <w:sz w:val="28"/>
          <w:szCs w:val="28"/>
          <w:lang w:val="uk-UA"/>
        </w:rPr>
        <w:t>й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47E" w:rsidRPr="00703BF0">
        <w:rPr>
          <w:rFonts w:ascii="Times New Roman" w:hAnsi="Times New Roman"/>
          <w:sz w:val="28"/>
          <w:szCs w:val="28"/>
          <w:lang w:val="uk-UA"/>
        </w:rPr>
        <w:t>їх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703BF0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5F59E9">
        <w:rPr>
          <w:rFonts w:ascii="Times New Roman" w:hAnsi="Times New Roman"/>
          <w:sz w:val="28"/>
          <w:szCs w:val="28"/>
          <w:lang w:val="uk-UA"/>
        </w:rPr>
        <w:t>, Службової записки від 24</w:t>
      </w:r>
      <w:r w:rsidR="00EE2C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59E9">
        <w:rPr>
          <w:rFonts w:ascii="Times New Roman" w:hAnsi="Times New Roman"/>
          <w:sz w:val="28"/>
          <w:szCs w:val="28"/>
          <w:lang w:val="uk-UA"/>
        </w:rPr>
        <w:t>червня 2022 року № 229/73-22</w:t>
      </w:r>
    </w:p>
    <w:p w:rsidR="00277C8C" w:rsidRPr="0013129D" w:rsidRDefault="00277C8C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D63A35" w:rsidRPr="00D63A35" w:rsidRDefault="00D63A35" w:rsidP="00672561">
      <w:pPr>
        <w:pStyle w:val="31"/>
        <w:tabs>
          <w:tab w:val="left" w:pos="1418"/>
        </w:tabs>
        <w:ind w:left="0" w:firstLine="851"/>
        <w:rPr>
          <w:b/>
          <w:bCs/>
          <w:lang w:val="uk-UA"/>
        </w:rPr>
      </w:pPr>
    </w:p>
    <w:p w:rsidR="00BE64DF" w:rsidRDefault="00BE64DF" w:rsidP="006A005F">
      <w:pPr>
        <w:numPr>
          <w:ilvl w:val="0"/>
          <w:numId w:val="4"/>
        </w:numPr>
        <w:tabs>
          <w:tab w:val="left" w:pos="720"/>
          <w:tab w:val="left" w:pos="993"/>
          <w:tab w:val="left" w:pos="1418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</w:t>
      </w:r>
      <w:r w:rsidRPr="00BE64DF">
        <w:rPr>
          <w:sz w:val="28"/>
          <w:szCs w:val="28"/>
          <w:lang w:val="uk-UA"/>
        </w:rPr>
        <w:t>у екстреній державній реєстрації та внесенні до Державного реєстру лікарських засобів України лікарськ</w:t>
      </w:r>
      <w:r w:rsidR="008726F5">
        <w:rPr>
          <w:sz w:val="28"/>
          <w:szCs w:val="28"/>
          <w:lang w:val="uk-UA"/>
        </w:rPr>
        <w:t>ого</w:t>
      </w:r>
      <w:r w:rsidRPr="00BE64DF">
        <w:rPr>
          <w:sz w:val="28"/>
          <w:szCs w:val="28"/>
          <w:lang w:val="uk-UA"/>
        </w:rPr>
        <w:t xml:space="preserve"> засоб</w:t>
      </w:r>
      <w:r w:rsidR="008726F5">
        <w:rPr>
          <w:sz w:val="28"/>
          <w:szCs w:val="28"/>
          <w:lang w:val="uk-UA"/>
        </w:rPr>
        <w:t>у</w:t>
      </w:r>
      <w:r w:rsidRPr="00BE64DF">
        <w:rPr>
          <w:sz w:val="28"/>
          <w:szCs w:val="28"/>
          <w:lang w:val="uk-UA"/>
        </w:rPr>
        <w:t xml:space="preserve"> </w:t>
      </w:r>
      <w:r w:rsidRPr="00A35CDB">
        <w:rPr>
          <w:sz w:val="28"/>
          <w:szCs w:val="28"/>
          <w:lang w:val="uk-UA"/>
        </w:rPr>
        <w:t>згідно з переліком (додаток</w:t>
      </w:r>
      <w:r w:rsidR="00C20412">
        <w:rPr>
          <w:sz w:val="28"/>
          <w:szCs w:val="28"/>
          <w:lang w:val="uk-UA"/>
        </w:rPr>
        <w:t xml:space="preserve"> 1</w:t>
      </w:r>
      <w:r w:rsidRPr="00A35CDB">
        <w:rPr>
          <w:sz w:val="28"/>
          <w:szCs w:val="28"/>
          <w:lang w:val="uk-UA"/>
        </w:rPr>
        <w:t>).</w:t>
      </w:r>
    </w:p>
    <w:p w:rsidR="00D12EC2" w:rsidRDefault="00D12EC2" w:rsidP="006A005F">
      <w:pPr>
        <w:tabs>
          <w:tab w:val="left" w:pos="720"/>
          <w:tab w:val="left" w:pos="993"/>
          <w:tab w:val="left" w:pos="1418"/>
        </w:tabs>
        <w:ind w:firstLine="851"/>
        <w:jc w:val="both"/>
        <w:rPr>
          <w:sz w:val="28"/>
          <w:szCs w:val="28"/>
          <w:lang w:val="uk-UA"/>
        </w:rPr>
      </w:pPr>
    </w:p>
    <w:p w:rsidR="00C20412" w:rsidRDefault="00C20412" w:rsidP="006A005F">
      <w:pPr>
        <w:numPr>
          <w:ilvl w:val="0"/>
          <w:numId w:val="4"/>
        </w:numPr>
        <w:tabs>
          <w:tab w:val="left" w:pos="720"/>
          <w:tab w:val="left" w:pos="1418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додатка до наказу Міністерства охорони здоров’я України від 2</w:t>
      </w:r>
      <w:r w:rsidR="001C1C11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 w:rsidR="001C1C11">
        <w:rPr>
          <w:sz w:val="28"/>
          <w:szCs w:val="28"/>
          <w:lang w:val="uk-UA"/>
        </w:rPr>
        <w:t>квітня</w:t>
      </w:r>
      <w:r>
        <w:rPr>
          <w:sz w:val="28"/>
          <w:szCs w:val="28"/>
          <w:lang w:val="uk-UA"/>
        </w:rPr>
        <w:t xml:space="preserve"> 2022 року № </w:t>
      </w:r>
      <w:r w:rsidR="001C1C11">
        <w:rPr>
          <w:sz w:val="28"/>
          <w:szCs w:val="28"/>
          <w:lang w:val="uk-UA"/>
        </w:rPr>
        <w:t>701</w:t>
      </w:r>
      <w:r>
        <w:rPr>
          <w:sz w:val="28"/>
          <w:szCs w:val="28"/>
          <w:lang w:val="uk-UA"/>
        </w:rPr>
        <w:t xml:space="preserve"> «</w:t>
      </w:r>
      <w:r w:rsidR="00191699" w:rsidRPr="00191699">
        <w:rPr>
          <w:sz w:val="28"/>
          <w:szCs w:val="28"/>
          <w:lang w:val="uk-UA"/>
        </w:rPr>
        <w:t xml:space="preserve">Про екстрену державну реєстрацію лікарських засобів, медичних імунобіологічних препаратів, препаратів крові, </w:t>
      </w:r>
      <w:r w:rsidR="00191699" w:rsidRPr="00191699">
        <w:rPr>
          <w:sz w:val="28"/>
          <w:szCs w:val="28"/>
          <w:lang w:val="uk-UA"/>
        </w:rPr>
        <w:lastRenderedPageBreak/>
        <w:t>що постачаються в Україну на період введення воєнного стану, під зобов’язання</w:t>
      </w:r>
      <w:r>
        <w:rPr>
          <w:sz w:val="28"/>
          <w:szCs w:val="28"/>
          <w:lang w:val="uk-UA"/>
        </w:rPr>
        <w:t>», виклавши його у редакції, що додається (додаток 2).</w:t>
      </w:r>
    </w:p>
    <w:p w:rsidR="00C20412" w:rsidRDefault="00C20412" w:rsidP="006A005F">
      <w:pPr>
        <w:tabs>
          <w:tab w:val="left" w:pos="720"/>
          <w:tab w:val="left" w:pos="1418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із цим виключити з </w:t>
      </w:r>
      <w:r w:rsidRPr="00422F7F">
        <w:rPr>
          <w:sz w:val="28"/>
          <w:szCs w:val="28"/>
          <w:lang w:val="uk-UA"/>
        </w:rPr>
        <w:t>Державного реєстру лікарських засобів України</w:t>
      </w:r>
      <w:r>
        <w:rPr>
          <w:sz w:val="28"/>
          <w:szCs w:val="28"/>
          <w:lang w:val="uk-UA"/>
        </w:rPr>
        <w:t xml:space="preserve"> лікарський засіб:</w:t>
      </w:r>
    </w:p>
    <w:p w:rsidR="00C20412" w:rsidRDefault="00C20412" w:rsidP="006A005F">
      <w:pPr>
        <w:tabs>
          <w:tab w:val="left" w:pos="720"/>
          <w:tab w:val="left" w:pos="1418"/>
        </w:tabs>
        <w:ind w:firstLine="851"/>
        <w:jc w:val="both"/>
        <w:rPr>
          <w:sz w:val="28"/>
          <w:szCs w:val="28"/>
          <w:lang w:val="uk-UA"/>
        </w:rPr>
      </w:pPr>
      <w:r w:rsidRPr="00C20412">
        <w:rPr>
          <w:sz w:val="28"/>
          <w:szCs w:val="28"/>
          <w:lang w:val="uk-UA"/>
        </w:rPr>
        <w:t>ІМУНОГЛОБУЛІН АНТИРАБІЧНИЙ ЛЮДИНИ / HUMAN RABIES IMMUNOGLOBULIN</w:t>
      </w:r>
      <w:r>
        <w:rPr>
          <w:sz w:val="28"/>
          <w:szCs w:val="28"/>
          <w:lang w:val="uk-UA"/>
        </w:rPr>
        <w:t xml:space="preserve">, </w:t>
      </w:r>
      <w:r w:rsidRPr="00C20412">
        <w:rPr>
          <w:sz w:val="28"/>
          <w:szCs w:val="28"/>
          <w:lang w:val="uk-UA"/>
        </w:rPr>
        <w:t>розчин для ін'єкцій 100 МО/мл, по 2 мл у флаконі, по 2 флакони в картонній коробці</w:t>
      </w:r>
      <w:r>
        <w:rPr>
          <w:sz w:val="28"/>
          <w:szCs w:val="28"/>
          <w:lang w:val="uk-UA"/>
        </w:rPr>
        <w:t xml:space="preserve">, </w:t>
      </w:r>
      <w:r w:rsidR="001C1C11">
        <w:rPr>
          <w:sz w:val="28"/>
          <w:szCs w:val="28"/>
          <w:lang w:val="uk-UA"/>
        </w:rPr>
        <w:t xml:space="preserve">виробник </w:t>
      </w:r>
      <w:r w:rsidR="001C1C11" w:rsidRPr="001C1C11">
        <w:rPr>
          <w:sz w:val="28"/>
          <w:szCs w:val="28"/>
          <w:lang w:val="uk-UA"/>
        </w:rPr>
        <w:t>Хуален Байолоджікал Енжінірінг, Інк., Китай</w:t>
      </w:r>
      <w:r w:rsidR="001C1C11">
        <w:rPr>
          <w:sz w:val="28"/>
          <w:szCs w:val="28"/>
          <w:lang w:val="uk-UA"/>
        </w:rPr>
        <w:t xml:space="preserve">, заявник </w:t>
      </w:r>
      <w:r w:rsidR="001C1C11" w:rsidRPr="001C1C11">
        <w:rPr>
          <w:sz w:val="28"/>
          <w:szCs w:val="28"/>
          <w:lang w:val="uk-UA"/>
        </w:rPr>
        <w:t>ТОВ ПЮБЕ ГЛОБАЛ, Польща</w:t>
      </w:r>
      <w:r w:rsidR="001C1C11">
        <w:rPr>
          <w:sz w:val="28"/>
          <w:szCs w:val="28"/>
          <w:lang w:val="uk-UA"/>
        </w:rPr>
        <w:t xml:space="preserve">, реєстраційне посвідчення       № </w:t>
      </w:r>
      <w:r w:rsidR="001C1C11" w:rsidRPr="001C1C11">
        <w:rPr>
          <w:sz w:val="28"/>
          <w:szCs w:val="28"/>
          <w:lang w:val="uk-UA"/>
        </w:rPr>
        <w:t>UA/19349/01/01</w:t>
      </w:r>
      <w:r w:rsidR="00672561">
        <w:rPr>
          <w:sz w:val="28"/>
          <w:szCs w:val="28"/>
          <w:lang w:val="uk-UA"/>
        </w:rPr>
        <w:t>.</w:t>
      </w:r>
    </w:p>
    <w:p w:rsidR="00D12EC2" w:rsidRPr="00A35CDB" w:rsidRDefault="00D12EC2" w:rsidP="006A005F">
      <w:pPr>
        <w:tabs>
          <w:tab w:val="left" w:pos="720"/>
          <w:tab w:val="left" w:pos="993"/>
          <w:tab w:val="left" w:pos="1418"/>
        </w:tabs>
        <w:ind w:firstLine="851"/>
        <w:jc w:val="both"/>
        <w:rPr>
          <w:sz w:val="28"/>
          <w:szCs w:val="28"/>
          <w:lang w:val="uk-UA"/>
        </w:rPr>
      </w:pPr>
    </w:p>
    <w:p w:rsidR="00714F05" w:rsidRPr="00E37B30" w:rsidRDefault="00C20412" w:rsidP="006A005F">
      <w:pPr>
        <w:tabs>
          <w:tab w:val="left" w:pos="720"/>
          <w:tab w:val="left" w:pos="1080"/>
          <w:tab w:val="left" w:pos="1418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714F05">
        <w:rPr>
          <w:sz w:val="28"/>
          <w:szCs w:val="28"/>
          <w:lang w:val="uk-UA"/>
        </w:rPr>
        <w:t>покласти на першого заступника Міністра Комаріду О.О</w:t>
      </w:r>
      <w:r w:rsidR="00714F05" w:rsidRPr="005418EE">
        <w:rPr>
          <w:sz w:val="28"/>
          <w:szCs w:val="28"/>
          <w:lang w:val="uk-UA"/>
        </w:rPr>
        <w:t>.</w:t>
      </w:r>
    </w:p>
    <w:p w:rsidR="000D32CE" w:rsidRDefault="000D32CE" w:rsidP="00A35CDB">
      <w:pPr>
        <w:pStyle w:val="31"/>
        <w:spacing w:after="0"/>
        <w:jc w:val="both"/>
        <w:rPr>
          <w:sz w:val="28"/>
          <w:szCs w:val="28"/>
          <w:lang w:val="uk-UA"/>
        </w:rPr>
      </w:pP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14F05" w:rsidRDefault="00714F05" w:rsidP="00714F05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Віктор ЛЯШКО</w:t>
      </w:r>
    </w:p>
    <w:p w:rsidR="004329CB" w:rsidRDefault="004329CB" w:rsidP="000D32CE">
      <w:pPr>
        <w:pStyle w:val="31"/>
        <w:spacing w:after="0"/>
        <w:rPr>
          <w:sz w:val="28"/>
          <w:szCs w:val="28"/>
          <w:lang w:val="uk-UA"/>
        </w:rPr>
        <w:sectPr w:rsidR="004329CB" w:rsidSect="00274F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4329CB" w:rsidRPr="005A3F18" w:rsidTr="00281E76">
        <w:tc>
          <w:tcPr>
            <w:tcW w:w="3825" w:type="dxa"/>
            <w:hideMark/>
          </w:tcPr>
          <w:p w:rsidR="004329CB" w:rsidRPr="004329CB" w:rsidRDefault="004329CB" w:rsidP="007A6C9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4329CB">
              <w:rPr>
                <w:rFonts w:cs="Arial"/>
                <w:sz w:val="18"/>
                <w:szCs w:val="18"/>
                <w:lang w:val="uk-UA"/>
              </w:rPr>
              <w:lastRenderedPageBreak/>
              <w:t>Додаток 1</w:t>
            </w:r>
          </w:p>
          <w:p w:rsidR="004329CB" w:rsidRPr="004329CB" w:rsidRDefault="004329CB" w:rsidP="007A6C9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4329CB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4329CB" w:rsidRPr="004329CB" w:rsidRDefault="004329CB" w:rsidP="007A6C9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4329CB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4329CB" w:rsidRPr="006A1C2C" w:rsidRDefault="004329CB" w:rsidP="007A6C9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6A1C2C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30 червня 2022 року № 1125  </w:t>
            </w:r>
          </w:p>
        </w:tc>
      </w:tr>
    </w:tbl>
    <w:p w:rsidR="004329CB" w:rsidRDefault="004329CB" w:rsidP="004329CB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p w:rsidR="004329CB" w:rsidRPr="005A3F18" w:rsidRDefault="004329CB" w:rsidP="004329CB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4329CB" w:rsidRPr="00604A81" w:rsidRDefault="004329CB" w:rsidP="004329CB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4329CB" w:rsidRPr="005A3F18" w:rsidRDefault="004329CB" w:rsidP="004329CB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0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843"/>
        <w:gridCol w:w="1276"/>
        <w:gridCol w:w="992"/>
        <w:gridCol w:w="1418"/>
        <w:gridCol w:w="1275"/>
        <w:gridCol w:w="1134"/>
        <w:gridCol w:w="992"/>
        <w:gridCol w:w="851"/>
        <w:gridCol w:w="1560"/>
      </w:tblGrid>
      <w:tr w:rsidR="004329CB" w:rsidRPr="00B33F7A" w:rsidTr="007A6C9C">
        <w:trPr>
          <w:tblHeader/>
        </w:trPr>
        <w:tc>
          <w:tcPr>
            <w:tcW w:w="567" w:type="dxa"/>
            <w:shd w:val="clear" w:color="auto" w:fill="D9D9D9"/>
            <w:hideMark/>
          </w:tcPr>
          <w:p w:rsidR="004329CB" w:rsidRPr="00B33F7A" w:rsidRDefault="004329CB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3F7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3119" w:type="dxa"/>
            <w:shd w:val="clear" w:color="auto" w:fill="D9D9D9"/>
          </w:tcPr>
          <w:p w:rsidR="004329CB" w:rsidRPr="00B33F7A" w:rsidRDefault="004329CB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3F7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shd w:val="clear" w:color="auto" w:fill="D9D9D9"/>
          </w:tcPr>
          <w:p w:rsidR="004329CB" w:rsidRPr="00B33F7A" w:rsidRDefault="004329CB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3F7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  <w:p w:rsidR="004329CB" w:rsidRPr="00B33F7A" w:rsidRDefault="004329CB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:rsidR="004329CB" w:rsidRPr="00B33F7A" w:rsidRDefault="004329CB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3F7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shd w:val="clear" w:color="auto" w:fill="D9D9D9"/>
          </w:tcPr>
          <w:p w:rsidR="004329CB" w:rsidRPr="00B33F7A" w:rsidRDefault="004329CB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3F7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shd w:val="clear" w:color="auto" w:fill="D9D9D9"/>
          </w:tcPr>
          <w:p w:rsidR="004329CB" w:rsidRPr="00B33F7A" w:rsidRDefault="004329CB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3F7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5" w:type="dxa"/>
            <w:shd w:val="clear" w:color="auto" w:fill="D9D9D9"/>
          </w:tcPr>
          <w:p w:rsidR="004329CB" w:rsidRPr="00B33F7A" w:rsidRDefault="004329CB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3F7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shd w:val="clear" w:color="auto" w:fill="D9D9D9"/>
          </w:tcPr>
          <w:p w:rsidR="004329CB" w:rsidRPr="00B33F7A" w:rsidRDefault="004329CB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3F7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shd w:val="clear" w:color="auto" w:fill="D9D9D9"/>
          </w:tcPr>
          <w:p w:rsidR="004329CB" w:rsidRPr="00B33F7A" w:rsidRDefault="004329CB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3F7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shd w:val="clear" w:color="auto" w:fill="D9D9D9"/>
          </w:tcPr>
          <w:p w:rsidR="004329CB" w:rsidRPr="00B33F7A" w:rsidRDefault="004329CB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3F7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shd w:val="clear" w:color="auto" w:fill="D9D9D9"/>
          </w:tcPr>
          <w:p w:rsidR="004329CB" w:rsidRPr="00B33F7A" w:rsidRDefault="004329CB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3F7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329CB" w:rsidRPr="00B33F7A" w:rsidTr="007A6C9C">
        <w:tc>
          <w:tcPr>
            <w:tcW w:w="567" w:type="dxa"/>
            <w:shd w:val="clear" w:color="auto" w:fill="auto"/>
          </w:tcPr>
          <w:p w:rsidR="004329CB" w:rsidRPr="00B33F7A" w:rsidRDefault="004329CB" w:rsidP="004329C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/>
          </w:tcPr>
          <w:p w:rsidR="004329CB" w:rsidRPr="00B33F7A" w:rsidRDefault="004329CB" w:rsidP="00281E76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B33F7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ВІНБЛАСТИНУ СУЛЬФАТ ТЕВА 1 МГ/МЛ РОЗЧИН ДЛЯ ІН'ЄКЦІЙ / </w:t>
            </w:r>
            <w:r w:rsidRPr="00B33F7A">
              <w:rPr>
                <w:rFonts w:ascii="Arial" w:hAnsi="Arial" w:cs="Arial"/>
                <w:b/>
                <w:sz w:val="16"/>
                <w:szCs w:val="16"/>
              </w:rPr>
              <w:t>VINBLASTINSULFAT</w:t>
            </w:r>
            <w:r w:rsidRPr="00B33F7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33F7A">
              <w:rPr>
                <w:rFonts w:ascii="Arial" w:hAnsi="Arial" w:cs="Arial"/>
                <w:b/>
                <w:sz w:val="16"/>
                <w:szCs w:val="16"/>
              </w:rPr>
              <w:t>TEVA</w:t>
            </w:r>
            <w:r w:rsidRPr="00B33F7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 </w:t>
            </w:r>
            <w:r w:rsidRPr="00B33F7A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B33F7A">
              <w:rPr>
                <w:rFonts w:ascii="Arial" w:hAnsi="Arial" w:cs="Arial"/>
                <w:b/>
                <w:sz w:val="16"/>
                <w:szCs w:val="16"/>
                <w:lang w:val="uk-UA"/>
              </w:rPr>
              <w:t>/</w:t>
            </w:r>
            <w:r w:rsidRPr="00B33F7A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B33F7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33F7A">
              <w:rPr>
                <w:rFonts w:ascii="Arial" w:hAnsi="Arial" w:cs="Arial"/>
                <w:b/>
                <w:sz w:val="16"/>
                <w:szCs w:val="16"/>
              </w:rPr>
              <w:t>INJEKTIONSL</w:t>
            </w:r>
            <w:r w:rsidRPr="00B33F7A">
              <w:rPr>
                <w:rFonts w:ascii="Arial" w:hAnsi="Arial" w:cs="Arial"/>
                <w:b/>
                <w:sz w:val="16"/>
                <w:szCs w:val="16"/>
                <w:lang w:val="uk-UA"/>
              </w:rPr>
              <w:t>Ö</w:t>
            </w:r>
            <w:r w:rsidRPr="00B33F7A">
              <w:rPr>
                <w:rFonts w:ascii="Arial" w:hAnsi="Arial" w:cs="Arial"/>
                <w:b/>
                <w:sz w:val="16"/>
                <w:szCs w:val="16"/>
              </w:rPr>
              <w:t>SUNG</w:t>
            </w:r>
          </w:p>
        </w:tc>
        <w:tc>
          <w:tcPr>
            <w:tcW w:w="1843" w:type="dxa"/>
            <w:shd w:val="clear" w:color="auto" w:fill="FFFFFF"/>
          </w:tcPr>
          <w:p w:rsidR="004329CB" w:rsidRPr="00B33F7A" w:rsidRDefault="004329CB" w:rsidP="00281E76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33F7A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 по 10 мл у флаконі, по 1 флакону у коробці</w:t>
            </w:r>
          </w:p>
        </w:tc>
        <w:tc>
          <w:tcPr>
            <w:tcW w:w="1276" w:type="dxa"/>
            <w:shd w:val="clear" w:color="auto" w:fill="FFFFFF"/>
          </w:tcPr>
          <w:p w:rsidR="004329CB" w:rsidRPr="00B33F7A" w:rsidRDefault="004329CB" w:rsidP="00281E76">
            <w:pPr>
              <w:pStyle w:val="a8"/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33F7A">
              <w:rPr>
                <w:rFonts w:ascii="Arial" w:hAnsi="Arial" w:cs="Arial"/>
                <w:sz w:val="16"/>
                <w:szCs w:val="16"/>
                <w:lang w:val="ru-RU"/>
              </w:rPr>
              <w:t>ТОВ «Тева Україна»</w:t>
            </w:r>
          </w:p>
        </w:tc>
        <w:tc>
          <w:tcPr>
            <w:tcW w:w="992" w:type="dxa"/>
            <w:shd w:val="clear" w:color="auto" w:fill="FFFFFF"/>
          </w:tcPr>
          <w:p w:rsidR="004329CB" w:rsidRPr="00B33F7A" w:rsidRDefault="004329CB" w:rsidP="00281E76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F7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FFFFFF"/>
          </w:tcPr>
          <w:p w:rsidR="004329CB" w:rsidRPr="00B33F7A" w:rsidRDefault="004329CB" w:rsidP="00281E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F7A">
              <w:rPr>
                <w:rFonts w:ascii="Arial" w:hAnsi="Arial" w:cs="Arial"/>
                <w:sz w:val="16"/>
                <w:szCs w:val="16"/>
              </w:rPr>
              <w:t>Фармахемі Б.В.</w:t>
            </w:r>
          </w:p>
        </w:tc>
        <w:tc>
          <w:tcPr>
            <w:tcW w:w="1275" w:type="dxa"/>
            <w:shd w:val="clear" w:color="auto" w:fill="FFFFFF"/>
          </w:tcPr>
          <w:p w:rsidR="004329CB" w:rsidRPr="00B33F7A" w:rsidRDefault="004329CB" w:rsidP="00281E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33F7A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134" w:type="dxa"/>
            <w:shd w:val="clear" w:color="auto" w:fill="FFFFFF"/>
          </w:tcPr>
          <w:p w:rsidR="004329CB" w:rsidRPr="00B33F7A" w:rsidRDefault="004329CB" w:rsidP="00281E7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F7A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4329CB" w:rsidRPr="00B33F7A" w:rsidRDefault="004329CB" w:rsidP="00281E76">
            <w:pPr>
              <w:pStyle w:val="a8"/>
              <w:tabs>
                <w:tab w:val="left" w:pos="12600"/>
              </w:tabs>
              <w:ind w:left="-103" w:right="-109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33F7A"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4329CB" w:rsidRPr="00B33F7A" w:rsidRDefault="004329CB" w:rsidP="00281E76">
            <w:pPr>
              <w:pStyle w:val="a8"/>
              <w:tabs>
                <w:tab w:val="left" w:pos="12600"/>
              </w:tabs>
              <w:ind w:left="-103" w:right="-109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33F7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851" w:type="dxa"/>
            <w:shd w:val="clear" w:color="auto" w:fill="FFFFFF"/>
          </w:tcPr>
          <w:p w:rsidR="004329CB" w:rsidRPr="00B33F7A" w:rsidRDefault="004329CB" w:rsidP="00281E76">
            <w:pPr>
              <w:pStyle w:val="a8"/>
              <w:tabs>
                <w:tab w:val="left" w:pos="12600"/>
              </w:tabs>
              <w:ind w:left="-107" w:right="-110"/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33F7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4329CB" w:rsidRPr="00B33F7A" w:rsidRDefault="004329CB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3F7A">
              <w:rPr>
                <w:rFonts w:ascii="Arial" w:hAnsi="Arial" w:cs="Arial"/>
                <w:bCs/>
                <w:sz w:val="16"/>
                <w:szCs w:val="16"/>
              </w:rPr>
              <w:t>UA/19514/01/01</w:t>
            </w:r>
          </w:p>
        </w:tc>
      </w:tr>
    </w:tbl>
    <w:p w:rsidR="004329CB" w:rsidRDefault="004329CB" w:rsidP="004329CB"/>
    <w:p w:rsidR="004329CB" w:rsidRDefault="004329CB" w:rsidP="004329CB"/>
    <w:p w:rsidR="004329CB" w:rsidRDefault="004329CB" w:rsidP="004329CB"/>
    <w:p w:rsidR="004329CB" w:rsidRDefault="004329CB" w:rsidP="004329CB"/>
    <w:tbl>
      <w:tblPr>
        <w:tblW w:w="0" w:type="auto"/>
        <w:tblLook w:val="04A0" w:firstRow="1" w:lastRow="0" w:firstColumn="1" w:lastColumn="0" w:noHBand="0" w:noVBand="1"/>
      </w:tblPr>
      <w:tblGrid>
        <w:gridCol w:w="6921"/>
        <w:gridCol w:w="6867"/>
      </w:tblGrid>
      <w:tr w:rsidR="004329CB" w:rsidRPr="00EF2F51" w:rsidTr="00281E76">
        <w:tc>
          <w:tcPr>
            <w:tcW w:w="7421" w:type="dxa"/>
          </w:tcPr>
          <w:p w:rsidR="004329CB" w:rsidRPr="00EF2F51" w:rsidRDefault="004329CB" w:rsidP="00281E76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4329CB" w:rsidRPr="00EF2F51" w:rsidRDefault="004329CB" w:rsidP="00281E76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4329CB" w:rsidRPr="00EF2F51" w:rsidRDefault="004329CB" w:rsidP="00281E76">
            <w:pPr>
              <w:rPr>
                <w:b/>
                <w:bCs/>
                <w:sz w:val="28"/>
                <w:szCs w:val="28"/>
              </w:rPr>
            </w:pPr>
          </w:p>
          <w:p w:rsidR="004329CB" w:rsidRPr="00EF2F51" w:rsidRDefault="004329CB" w:rsidP="00281E76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4329CB" w:rsidRPr="00164E43" w:rsidRDefault="004329CB" w:rsidP="004329CB">
      <w:pPr>
        <w:rPr>
          <w:b/>
          <w:bCs/>
        </w:rPr>
      </w:pPr>
    </w:p>
    <w:p w:rsidR="004329CB" w:rsidRDefault="004329CB" w:rsidP="000D32CE">
      <w:pPr>
        <w:pStyle w:val="31"/>
        <w:spacing w:after="0"/>
        <w:rPr>
          <w:sz w:val="28"/>
          <w:szCs w:val="28"/>
          <w:lang w:val="uk-UA"/>
        </w:rPr>
        <w:sectPr w:rsidR="004329CB" w:rsidSect="00281E76">
          <w:headerReference w:type="default" r:id="rId13"/>
          <w:pgSz w:w="15840" w:h="12240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61" w:type="dxa"/>
        <w:tblInd w:w="10456" w:type="dxa"/>
        <w:tblLayout w:type="fixed"/>
        <w:tblLook w:val="04A0" w:firstRow="1" w:lastRow="0" w:firstColumn="1" w:lastColumn="0" w:noHBand="0" w:noVBand="1"/>
      </w:tblPr>
      <w:tblGrid>
        <w:gridCol w:w="4961"/>
      </w:tblGrid>
      <w:tr w:rsidR="007A6C9C" w:rsidRPr="007E524B" w:rsidTr="00281E76">
        <w:tc>
          <w:tcPr>
            <w:tcW w:w="4961" w:type="dxa"/>
            <w:hideMark/>
          </w:tcPr>
          <w:p w:rsidR="007A6C9C" w:rsidRPr="007A6C9C" w:rsidRDefault="007A6C9C" w:rsidP="007A6C9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A6C9C">
              <w:rPr>
                <w:rFonts w:cs="Arial"/>
                <w:sz w:val="18"/>
                <w:szCs w:val="18"/>
                <w:lang w:val="uk-UA"/>
              </w:rPr>
              <w:lastRenderedPageBreak/>
              <w:t>Додаток 2</w:t>
            </w:r>
          </w:p>
          <w:p w:rsidR="007A6C9C" w:rsidRPr="007A6C9C" w:rsidRDefault="007A6C9C" w:rsidP="007A6C9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bCs w:val="0"/>
                <w:sz w:val="18"/>
                <w:szCs w:val="18"/>
                <w:lang w:val="uk-UA"/>
              </w:rPr>
            </w:pPr>
            <w:r w:rsidRPr="007A6C9C">
              <w:rPr>
                <w:rFonts w:cs="Arial"/>
                <w:bCs w:val="0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7A6C9C" w:rsidRPr="007A6C9C" w:rsidRDefault="007A6C9C" w:rsidP="007A6C9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bCs w:val="0"/>
                <w:sz w:val="18"/>
                <w:szCs w:val="18"/>
                <w:lang w:val="uk-UA"/>
              </w:rPr>
            </w:pPr>
            <w:r w:rsidRPr="007A6C9C">
              <w:rPr>
                <w:rFonts w:cs="Arial"/>
                <w:bCs w:val="0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 та внесення зміни до додатка до наказу Міністерства охорони здоров’я України від 28 квітня 2022 року № 701»</w:t>
            </w:r>
          </w:p>
          <w:p w:rsidR="007A6C9C" w:rsidRPr="00A31A02" w:rsidRDefault="007A6C9C" w:rsidP="007A6C9C">
            <w:pPr>
              <w:pStyle w:val="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1A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«Додаток </w:t>
            </w:r>
          </w:p>
          <w:p w:rsidR="007A6C9C" w:rsidRPr="007A6C9C" w:rsidRDefault="007A6C9C" w:rsidP="007A6C9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bCs w:val="0"/>
                <w:iCs/>
                <w:sz w:val="18"/>
                <w:szCs w:val="18"/>
                <w:lang w:val="uk-UA"/>
              </w:rPr>
            </w:pPr>
            <w:r w:rsidRPr="007A6C9C">
              <w:rPr>
                <w:rFonts w:cs="Arial"/>
                <w:bCs w:val="0"/>
                <w:sz w:val="18"/>
                <w:szCs w:val="18"/>
                <w:lang w:val="uk-UA"/>
              </w:rPr>
              <w:t xml:space="preserve">до наказу Міністерства охорони здоров’я України Про екстрену державну реєстрацію лікарських засобів, медичних імунобіологічних препаратів, препаратів крові, що постачаються в Україну на період введення воєнного стану, під зобов’язання» від 22 квітня 2022 року № 701 </w:t>
            </w:r>
            <w:r w:rsidRPr="007A6C9C">
              <w:rPr>
                <w:rFonts w:cs="Arial"/>
                <w:bCs w:val="0"/>
                <w:iCs/>
                <w:sz w:val="18"/>
                <w:szCs w:val="18"/>
                <w:lang w:val="uk-UA"/>
              </w:rPr>
              <w:t xml:space="preserve"> (в редакції </w:t>
            </w:r>
            <w:r w:rsidRPr="007A6C9C">
              <w:rPr>
                <w:rFonts w:cs="Arial"/>
                <w:bCs w:val="0"/>
                <w:sz w:val="18"/>
                <w:szCs w:val="18"/>
                <w:lang w:val="uk-UA"/>
              </w:rPr>
              <w:t>наказу Міністерства охорони здоров’я України</w:t>
            </w:r>
            <w:r w:rsidRPr="007A6C9C">
              <w:rPr>
                <w:rFonts w:cs="Arial"/>
                <w:bCs w:val="0"/>
                <w:iCs/>
                <w:sz w:val="18"/>
                <w:szCs w:val="18"/>
                <w:lang w:val="uk-UA"/>
              </w:rPr>
              <w:t xml:space="preserve"> </w:t>
            </w:r>
          </w:p>
          <w:p w:rsidR="007A6C9C" w:rsidRPr="007E524B" w:rsidRDefault="007A6C9C" w:rsidP="007A6C9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F30E2F">
              <w:rPr>
                <w:rFonts w:cs="Arial"/>
                <w:bCs w:val="0"/>
                <w:iCs/>
                <w:sz w:val="18"/>
                <w:szCs w:val="18"/>
                <w:u w:val="single"/>
              </w:rPr>
              <w:t>від 30 червня 2022 року № 1125)</w:t>
            </w:r>
            <w:r w:rsidRPr="00A31A02">
              <w:rPr>
                <w:rFonts w:cs="Arial"/>
                <w:bCs w:val="0"/>
                <w:iCs/>
                <w:sz w:val="18"/>
                <w:szCs w:val="18"/>
              </w:rPr>
              <w:t xml:space="preserve">»   </w:t>
            </w:r>
          </w:p>
        </w:tc>
      </w:tr>
    </w:tbl>
    <w:p w:rsidR="007A6C9C" w:rsidRPr="007E524B" w:rsidRDefault="007A6C9C" w:rsidP="007A6C9C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7A6C9C" w:rsidRPr="00EF2F51" w:rsidRDefault="007A6C9C" w:rsidP="007A6C9C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7A6C9C" w:rsidRPr="00604A81" w:rsidRDefault="007A6C9C" w:rsidP="007A6C9C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7A6C9C" w:rsidRPr="00604A81" w:rsidRDefault="007A6C9C" w:rsidP="007A6C9C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3261"/>
        <w:gridCol w:w="1417"/>
        <w:gridCol w:w="992"/>
        <w:gridCol w:w="1560"/>
        <w:gridCol w:w="1134"/>
        <w:gridCol w:w="1134"/>
        <w:gridCol w:w="992"/>
        <w:gridCol w:w="991"/>
        <w:gridCol w:w="1560"/>
      </w:tblGrid>
      <w:tr w:rsidR="007A6C9C" w:rsidRPr="00EF2F51" w:rsidTr="007A6C9C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7A6C9C" w:rsidRPr="007A6C9C" w:rsidRDefault="007A6C9C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C9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7A6C9C" w:rsidRPr="007A6C9C" w:rsidRDefault="007A6C9C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C9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D9D9D9"/>
          </w:tcPr>
          <w:p w:rsidR="007A6C9C" w:rsidRPr="007A6C9C" w:rsidRDefault="007A6C9C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C9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7A6C9C" w:rsidRPr="007A6C9C" w:rsidRDefault="007A6C9C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C9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A6C9C" w:rsidRPr="007A6C9C" w:rsidRDefault="007A6C9C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C9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7A6C9C" w:rsidRPr="007A6C9C" w:rsidRDefault="007A6C9C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C9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A6C9C" w:rsidRPr="007A6C9C" w:rsidRDefault="007A6C9C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C9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A6C9C" w:rsidRPr="007A6C9C" w:rsidRDefault="007A6C9C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C9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A6C9C" w:rsidRPr="007A6C9C" w:rsidRDefault="007A6C9C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C9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1" w:type="dxa"/>
            <w:tcBorders>
              <w:top w:val="single" w:sz="4" w:space="0" w:color="000000"/>
            </w:tcBorders>
            <w:shd w:val="clear" w:color="auto" w:fill="D9D9D9"/>
          </w:tcPr>
          <w:p w:rsidR="007A6C9C" w:rsidRPr="007A6C9C" w:rsidRDefault="007A6C9C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C9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7A6C9C" w:rsidRPr="007A6C9C" w:rsidRDefault="007A6C9C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A6C9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A6C9C" w:rsidRPr="00B87415" w:rsidTr="007A6C9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6C9C" w:rsidRPr="007A6C9C" w:rsidRDefault="007A6C9C" w:rsidP="007A6C9C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9C" w:rsidRPr="007A6C9C" w:rsidRDefault="007A6C9C" w:rsidP="00281E76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A6C9C">
              <w:rPr>
                <w:rFonts w:ascii="Arial" w:hAnsi="Arial" w:cs="Arial"/>
                <w:b/>
                <w:sz w:val="16"/>
                <w:szCs w:val="16"/>
              </w:rPr>
              <w:t>ТРІАКСОН 1 Г В/В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6C9C" w:rsidRPr="007A6C9C" w:rsidRDefault="007A6C9C" w:rsidP="00281E76">
            <w:pPr>
              <w:rPr>
                <w:rFonts w:ascii="Arial" w:hAnsi="Arial" w:cs="Arial"/>
                <w:sz w:val="16"/>
                <w:szCs w:val="16"/>
              </w:rPr>
            </w:pPr>
            <w:r w:rsidRPr="007A6C9C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 та розчинник; 1 флакон з порошком для розчину для ін'єкцій у комплекті з розчинником (стерильна вода для ін'єкцій) по 10 мл в ампулі в картонній коробці; 1 флакон з порошком для розчину для ін'єкцій у комплекті з розчинником (стерильна вода для ін'єкцій) по 10 мл в ампулі та набором для амбулаторної парентеральної антибіотикотерапії в пластиковому контейнері; по 1 пластиковому контейнеру в картонній коробці</w:t>
            </w:r>
          </w:p>
          <w:p w:rsidR="007A6C9C" w:rsidRPr="007A6C9C" w:rsidRDefault="007A6C9C" w:rsidP="00281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6C9C" w:rsidRPr="007A6C9C" w:rsidRDefault="007A6C9C" w:rsidP="00281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C9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 Лайф"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6C9C" w:rsidRPr="007A6C9C" w:rsidRDefault="007A6C9C" w:rsidP="00281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C9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6C9C" w:rsidRPr="007A6C9C" w:rsidRDefault="007A6C9C" w:rsidP="00281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C9C">
              <w:rPr>
                <w:rFonts w:ascii="Arial" w:hAnsi="Arial" w:cs="Arial"/>
                <w:sz w:val="16"/>
                <w:szCs w:val="16"/>
              </w:rPr>
              <w:t xml:space="preserve">Галф Фармасьютікал Індастріз - Джульфар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6C9C" w:rsidRPr="007A6C9C" w:rsidRDefault="007A6C9C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C9C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6C9C" w:rsidRPr="007A6C9C" w:rsidRDefault="007A6C9C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C9C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6C9C" w:rsidRPr="007A6C9C" w:rsidRDefault="007A6C9C" w:rsidP="00281E76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C9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6C9C" w:rsidRPr="007A6C9C" w:rsidRDefault="007A6C9C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C9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6C9C" w:rsidRPr="007A6C9C" w:rsidRDefault="007A6C9C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C9C">
              <w:rPr>
                <w:rFonts w:ascii="Arial" w:hAnsi="Arial" w:cs="Arial"/>
                <w:sz w:val="16"/>
                <w:szCs w:val="16"/>
              </w:rPr>
              <w:t>UA/19350/01/01</w:t>
            </w:r>
          </w:p>
        </w:tc>
      </w:tr>
      <w:tr w:rsidR="007A6C9C" w:rsidRPr="00B87415" w:rsidTr="007A6C9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6C9C" w:rsidRPr="007A6C9C" w:rsidRDefault="007A6C9C" w:rsidP="007A6C9C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9C" w:rsidRPr="007A6C9C" w:rsidRDefault="007A6C9C" w:rsidP="00281E76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A6C9C">
              <w:rPr>
                <w:rFonts w:ascii="Arial" w:hAnsi="Arial" w:cs="Arial"/>
                <w:b/>
                <w:sz w:val="16"/>
                <w:szCs w:val="16"/>
              </w:rPr>
              <w:t xml:space="preserve">ТРІАКСОН 1 Г В/М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6C9C" w:rsidRPr="007A6C9C" w:rsidRDefault="007A6C9C" w:rsidP="00281E76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A6C9C">
              <w:rPr>
                <w:rFonts w:ascii="Arial" w:hAnsi="Arial" w:cs="Arial"/>
                <w:sz w:val="16"/>
                <w:szCs w:val="16"/>
              </w:rPr>
              <w:t>порошок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для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розчину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для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ін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>'</w:t>
            </w:r>
            <w:r w:rsidRPr="007A6C9C">
              <w:rPr>
                <w:rFonts w:ascii="Arial" w:hAnsi="Arial" w:cs="Arial"/>
                <w:sz w:val="16"/>
                <w:szCs w:val="16"/>
              </w:rPr>
              <w:t>єкцій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по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1 </w:t>
            </w:r>
            <w:r w:rsidRPr="007A6C9C">
              <w:rPr>
                <w:rFonts w:ascii="Arial" w:hAnsi="Arial" w:cs="Arial"/>
                <w:sz w:val="16"/>
                <w:szCs w:val="16"/>
              </w:rPr>
              <w:t>г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та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розчинник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; 1 </w:t>
            </w:r>
            <w:r w:rsidRPr="007A6C9C">
              <w:rPr>
                <w:rFonts w:ascii="Arial" w:hAnsi="Arial" w:cs="Arial"/>
                <w:sz w:val="16"/>
                <w:szCs w:val="16"/>
              </w:rPr>
              <w:t>флакон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з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порошком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для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розчину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для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ін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>'</w:t>
            </w:r>
            <w:r w:rsidRPr="007A6C9C">
              <w:rPr>
                <w:rFonts w:ascii="Arial" w:hAnsi="Arial" w:cs="Arial"/>
                <w:sz w:val="16"/>
                <w:szCs w:val="16"/>
              </w:rPr>
              <w:t>єкцій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у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комплекті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з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розчинником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7A6C9C">
              <w:rPr>
                <w:rFonts w:ascii="Arial" w:hAnsi="Arial" w:cs="Arial"/>
                <w:sz w:val="16"/>
                <w:szCs w:val="16"/>
              </w:rPr>
              <w:t>лідокаїну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гідрохлориду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розчин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для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ін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>'</w:t>
            </w:r>
            <w:r w:rsidRPr="007A6C9C">
              <w:rPr>
                <w:rFonts w:ascii="Arial" w:hAnsi="Arial" w:cs="Arial"/>
                <w:sz w:val="16"/>
                <w:szCs w:val="16"/>
              </w:rPr>
              <w:t>єкцій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1%) </w:t>
            </w:r>
            <w:r w:rsidRPr="007A6C9C">
              <w:rPr>
                <w:rFonts w:ascii="Arial" w:hAnsi="Arial" w:cs="Arial"/>
                <w:sz w:val="16"/>
                <w:szCs w:val="16"/>
              </w:rPr>
              <w:t>по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3,5 </w:t>
            </w:r>
            <w:r w:rsidRPr="007A6C9C">
              <w:rPr>
                <w:rFonts w:ascii="Arial" w:hAnsi="Arial" w:cs="Arial"/>
                <w:sz w:val="16"/>
                <w:szCs w:val="16"/>
              </w:rPr>
              <w:t>мл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в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ампулі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в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картонній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коробці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; 1 </w:t>
            </w:r>
            <w:r w:rsidRPr="007A6C9C">
              <w:rPr>
                <w:rFonts w:ascii="Arial" w:hAnsi="Arial" w:cs="Arial"/>
                <w:sz w:val="16"/>
                <w:szCs w:val="16"/>
              </w:rPr>
              <w:t>флакон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з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порошком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для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розчину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для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ін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>'</w:t>
            </w:r>
            <w:r w:rsidRPr="007A6C9C">
              <w:rPr>
                <w:rFonts w:ascii="Arial" w:hAnsi="Arial" w:cs="Arial"/>
                <w:sz w:val="16"/>
                <w:szCs w:val="16"/>
              </w:rPr>
              <w:t>єкцій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у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комплекті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з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розчинником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7A6C9C">
              <w:rPr>
                <w:rFonts w:ascii="Arial" w:hAnsi="Arial" w:cs="Arial"/>
                <w:sz w:val="16"/>
                <w:szCs w:val="16"/>
              </w:rPr>
              <w:t>лідокаїну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lastRenderedPageBreak/>
              <w:t>гідрохлориду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розчин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для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ін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>'</w:t>
            </w:r>
            <w:r w:rsidRPr="007A6C9C">
              <w:rPr>
                <w:rFonts w:ascii="Arial" w:hAnsi="Arial" w:cs="Arial"/>
                <w:sz w:val="16"/>
                <w:szCs w:val="16"/>
              </w:rPr>
              <w:t>єкцій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1%) </w:t>
            </w:r>
            <w:r w:rsidRPr="007A6C9C">
              <w:rPr>
                <w:rFonts w:ascii="Arial" w:hAnsi="Arial" w:cs="Arial"/>
                <w:sz w:val="16"/>
                <w:szCs w:val="16"/>
              </w:rPr>
              <w:t>по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3,5 </w:t>
            </w:r>
            <w:r w:rsidRPr="007A6C9C">
              <w:rPr>
                <w:rFonts w:ascii="Arial" w:hAnsi="Arial" w:cs="Arial"/>
                <w:sz w:val="16"/>
                <w:szCs w:val="16"/>
              </w:rPr>
              <w:t>мл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в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ампулі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та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набором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для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амбулаторної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парентеральної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антибіотикотерапії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в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пластиковому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контейнері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; </w:t>
            </w:r>
            <w:r w:rsidRPr="007A6C9C">
              <w:rPr>
                <w:rFonts w:ascii="Arial" w:hAnsi="Arial" w:cs="Arial"/>
                <w:sz w:val="16"/>
                <w:szCs w:val="16"/>
              </w:rPr>
              <w:t>по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1 </w:t>
            </w:r>
            <w:r w:rsidRPr="007A6C9C">
              <w:rPr>
                <w:rFonts w:ascii="Arial" w:hAnsi="Arial" w:cs="Arial"/>
                <w:sz w:val="16"/>
                <w:szCs w:val="16"/>
              </w:rPr>
              <w:t>пластиковому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контейнеру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в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картонній</w:t>
            </w:r>
            <w:r w:rsidRPr="007A6C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A6C9C">
              <w:rPr>
                <w:rFonts w:ascii="Arial" w:hAnsi="Arial" w:cs="Arial"/>
                <w:sz w:val="16"/>
                <w:szCs w:val="16"/>
              </w:rPr>
              <w:t>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6C9C" w:rsidRPr="007A6C9C" w:rsidRDefault="007A6C9C" w:rsidP="00281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C9C">
              <w:rPr>
                <w:rFonts w:ascii="Arial" w:hAnsi="Arial" w:cs="Arial"/>
                <w:sz w:val="16"/>
                <w:szCs w:val="16"/>
              </w:rPr>
              <w:lastRenderedPageBreak/>
              <w:t>Товариство з обмеженою відповідальністю "Фарма Лайф"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6C9C" w:rsidRPr="007A6C9C" w:rsidRDefault="007A6C9C" w:rsidP="00281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C9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6C9C" w:rsidRPr="007A6C9C" w:rsidRDefault="007A6C9C" w:rsidP="00281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C9C">
              <w:rPr>
                <w:rFonts w:ascii="Arial" w:hAnsi="Arial" w:cs="Arial"/>
                <w:sz w:val="16"/>
                <w:szCs w:val="16"/>
              </w:rPr>
              <w:t xml:space="preserve">Галф Фармасьютікал Індастріз - Джульфар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6C9C" w:rsidRPr="007A6C9C" w:rsidRDefault="007A6C9C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C9C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6C9C" w:rsidRPr="007A6C9C" w:rsidRDefault="007A6C9C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6C9C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6C9C" w:rsidRPr="007A6C9C" w:rsidRDefault="007A6C9C" w:rsidP="00281E76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C9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6C9C" w:rsidRPr="007A6C9C" w:rsidRDefault="007A6C9C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6C9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6C9C" w:rsidRPr="007A6C9C" w:rsidRDefault="007A6C9C" w:rsidP="00281E76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6C9C">
              <w:rPr>
                <w:rFonts w:ascii="Arial" w:hAnsi="Arial" w:cs="Arial"/>
                <w:bCs/>
                <w:sz w:val="16"/>
                <w:szCs w:val="16"/>
              </w:rPr>
              <w:t>UA/19351/01/01</w:t>
            </w:r>
          </w:p>
        </w:tc>
      </w:tr>
    </w:tbl>
    <w:p w:rsidR="007A6C9C" w:rsidRDefault="007A6C9C" w:rsidP="007A6C9C">
      <w:pPr>
        <w:ind w:right="20"/>
        <w:rPr>
          <w:b/>
          <w:bCs/>
          <w:sz w:val="26"/>
          <w:szCs w:val="26"/>
        </w:rPr>
      </w:pPr>
    </w:p>
    <w:p w:rsidR="007A6C9C" w:rsidRDefault="007A6C9C" w:rsidP="007A6C9C">
      <w:pPr>
        <w:ind w:right="20"/>
        <w:rPr>
          <w:b/>
          <w:bCs/>
          <w:sz w:val="26"/>
          <w:szCs w:val="26"/>
        </w:rPr>
      </w:pPr>
    </w:p>
    <w:p w:rsidR="007A6C9C" w:rsidRPr="00EF2F51" w:rsidRDefault="007A6C9C" w:rsidP="007A6C9C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7A6C9C" w:rsidRPr="00EF2F51" w:rsidTr="00281E76">
        <w:tc>
          <w:tcPr>
            <w:tcW w:w="7421" w:type="dxa"/>
          </w:tcPr>
          <w:p w:rsidR="007A6C9C" w:rsidRPr="00EF2F51" w:rsidRDefault="007A6C9C" w:rsidP="00281E76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7A6C9C" w:rsidRPr="00EF2F51" w:rsidRDefault="007A6C9C" w:rsidP="00281E76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7A6C9C" w:rsidRPr="00EF2F51" w:rsidRDefault="007A6C9C" w:rsidP="00281E76">
            <w:pPr>
              <w:rPr>
                <w:b/>
                <w:bCs/>
                <w:sz w:val="28"/>
                <w:szCs w:val="28"/>
              </w:rPr>
            </w:pPr>
          </w:p>
          <w:p w:rsidR="007A6C9C" w:rsidRPr="00EF2F51" w:rsidRDefault="007A6C9C" w:rsidP="00281E76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7A6C9C" w:rsidRPr="007E524B" w:rsidRDefault="007A6C9C" w:rsidP="007A6C9C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714F05" w:rsidRDefault="00714F05" w:rsidP="000D32CE">
      <w:pPr>
        <w:pStyle w:val="31"/>
        <w:spacing w:after="0"/>
        <w:rPr>
          <w:sz w:val="28"/>
          <w:szCs w:val="28"/>
          <w:lang w:val="uk-UA"/>
        </w:rPr>
      </w:pPr>
    </w:p>
    <w:sectPr w:rsidR="00714F05" w:rsidSect="00281E76">
      <w:headerReference w:type="default" r:id="rId14"/>
      <w:footerReference w:type="default" r:id="rId15"/>
      <w:pgSz w:w="16838" w:h="11906" w:orient="landscape"/>
      <w:pgMar w:top="993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E76" w:rsidRDefault="00281E76" w:rsidP="00B217C6">
      <w:r>
        <w:separator/>
      </w:r>
    </w:p>
  </w:endnote>
  <w:endnote w:type="continuationSeparator" w:id="0">
    <w:p w:rsidR="00281E76" w:rsidRDefault="00281E76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76" w:rsidRDefault="00281E76">
    <w:pPr>
      <w:pStyle w:val="a5"/>
      <w:jc w:val="center"/>
    </w:pPr>
  </w:p>
  <w:p w:rsidR="00281E76" w:rsidRDefault="0028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E76" w:rsidRDefault="00281E76" w:rsidP="00B217C6">
      <w:r>
        <w:separator/>
      </w:r>
    </w:p>
  </w:footnote>
  <w:footnote w:type="continuationSeparator" w:id="0">
    <w:p w:rsidR="00281E76" w:rsidRDefault="00281E76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583D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76" w:rsidRDefault="00281E76" w:rsidP="00281E76">
    <w:pPr>
      <w:pStyle w:val="a3"/>
      <w:tabs>
        <w:tab w:val="center" w:pos="6786"/>
        <w:tab w:val="left" w:pos="11076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ab/>
    </w:r>
    <w:r>
      <w:tab/>
      <w:t>Продовження додатка</w:t>
    </w:r>
  </w:p>
  <w:p w:rsidR="00281E76" w:rsidRDefault="00281E7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76" w:rsidRDefault="00281E76" w:rsidP="00281E76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FE71C9">
      <w:rPr>
        <w:noProof/>
      </w:rPr>
      <w:t>5</w:t>
    </w:r>
    <w:r>
      <w:fldChar w:fldCharType="end"/>
    </w:r>
    <w:r>
      <w:tab/>
    </w:r>
    <w:r>
      <w:tab/>
      <w:t xml:space="preserve">             </w:t>
    </w:r>
  </w:p>
  <w:p w:rsidR="00281E76" w:rsidRDefault="00281E76" w:rsidP="00281E76">
    <w:pPr>
      <w:pStyle w:val="a3"/>
      <w:tabs>
        <w:tab w:val="center" w:pos="7569"/>
        <w:tab w:val="left" w:pos="119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F489D"/>
    <w:multiLevelType w:val="multilevel"/>
    <w:tmpl w:val="F83E046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04F2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94B64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83D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1699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C1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24F7"/>
    <w:rsid w:val="002252BE"/>
    <w:rsid w:val="002266DA"/>
    <w:rsid w:val="00232E05"/>
    <w:rsid w:val="00234ACF"/>
    <w:rsid w:val="002353DB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1E76"/>
    <w:rsid w:val="00286920"/>
    <w:rsid w:val="002877E1"/>
    <w:rsid w:val="002914DF"/>
    <w:rsid w:val="002915D3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0A08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0D26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29CB"/>
    <w:rsid w:val="00433379"/>
    <w:rsid w:val="00433C52"/>
    <w:rsid w:val="00433EDF"/>
    <w:rsid w:val="004342E4"/>
    <w:rsid w:val="00434CF3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24C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0FA2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2968"/>
    <w:rsid w:val="005D3CBD"/>
    <w:rsid w:val="005E19AB"/>
    <w:rsid w:val="005E32B1"/>
    <w:rsid w:val="005E4062"/>
    <w:rsid w:val="005E45C7"/>
    <w:rsid w:val="005E7323"/>
    <w:rsid w:val="005F1774"/>
    <w:rsid w:val="005F4B55"/>
    <w:rsid w:val="005F59E9"/>
    <w:rsid w:val="005F65C3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2561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05F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B60"/>
    <w:rsid w:val="006D0A8F"/>
    <w:rsid w:val="006D15D4"/>
    <w:rsid w:val="006D4113"/>
    <w:rsid w:val="006D6930"/>
    <w:rsid w:val="006E10FF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4F05"/>
    <w:rsid w:val="00717C06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7ADB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6C9C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3A13"/>
    <w:rsid w:val="007E46B9"/>
    <w:rsid w:val="007F10B9"/>
    <w:rsid w:val="007F3466"/>
    <w:rsid w:val="0080300D"/>
    <w:rsid w:val="008035CF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1E9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6F5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492"/>
    <w:rsid w:val="008933A1"/>
    <w:rsid w:val="00894414"/>
    <w:rsid w:val="00894B8F"/>
    <w:rsid w:val="00897410"/>
    <w:rsid w:val="008A041B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EBC"/>
    <w:rsid w:val="00931F7B"/>
    <w:rsid w:val="00932F84"/>
    <w:rsid w:val="00934A38"/>
    <w:rsid w:val="00937336"/>
    <w:rsid w:val="00937512"/>
    <w:rsid w:val="009376D1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581F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6DC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1AE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57D2"/>
    <w:rsid w:val="00A35CDB"/>
    <w:rsid w:val="00A40123"/>
    <w:rsid w:val="00A402C4"/>
    <w:rsid w:val="00A4170F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0412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12EC2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2E4"/>
    <w:rsid w:val="00D57B28"/>
    <w:rsid w:val="00D60115"/>
    <w:rsid w:val="00D61591"/>
    <w:rsid w:val="00D61981"/>
    <w:rsid w:val="00D61B9F"/>
    <w:rsid w:val="00D63A35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266DC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3BE"/>
    <w:rsid w:val="00E5042D"/>
    <w:rsid w:val="00E51868"/>
    <w:rsid w:val="00E51972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378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7F0"/>
    <w:rsid w:val="00F72AB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A7A65"/>
    <w:rsid w:val="00FB2252"/>
    <w:rsid w:val="00FB41D0"/>
    <w:rsid w:val="00FC0B87"/>
    <w:rsid w:val="00FC1E60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1C9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C7523E1-1B10-4313-9615-4FB8339C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a8">
    <w:name w:val="Звичайний"/>
    <w:aliases w:val="Normal,Обычный11"/>
    <w:qFormat/>
    <w:rsid w:val="004329CB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basedOn w:val="a"/>
    <w:qFormat/>
    <w:rsid w:val="007A6C9C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B1107-595E-4312-ABE3-8D907AEB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983</Words>
  <Characters>5605</Characters>
  <Application>Microsoft Office Word</Application>
  <DocSecurity>0</DocSecurity>
  <Lines>46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МІНІСТЕРСТВО ОХОРОНИ ЗДОРОВ’Я УКРАЇНИ</vt:lpstr>
      <vt:lpstr>НАКАЗ</vt:lpstr>
      <vt:lpstr>    ПЕРЕЛІК</vt:lpstr>
      <vt:lpstr/>
    </vt:vector>
  </TitlesOfParts>
  <Company>Krokoz™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2022-07-04T06:59:00Z</dcterms:created>
  <dcterms:modified xsi:type="dcterms:W3CDTF">2022-07-04T06:59:00Z</dcterms:modified>
</cp:coreProperties>
</file>