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5227ED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5227ED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5227ED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5227ED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5227ED" w:rsidRDefault="00674BA1" w:rsidP="00674BA1">
      <w:pPr>
        <w:rPr>
          <w:lang w:val="uk-UA"/>
        </w:rPr>
      </w:pPr>
    </w:p>
    <w:p w:rsidR="008C4BFD" w:rsidRPr="005227ED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5227ED">
        <w:rPr>
          <w:b/>
          <w:spacing w:val="60"/>
          <w:sz w:val="30"/>
          <w:szCs w:val="30"/>
          <w:lang w:val="uk-UA"/>
        </w:rPr>
        <w:t>НАКАЗ</w:t>
      </w:r>
    </w:p>
    <w:p w:rsidR="008C4BFD" w:rsidRPr="005227ED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5227ED" w:rsidTr="008C0879">
        <w:tc>
          <w:tcPr>
            <w:tcW w:w="3271" w:type="dxa"/>
          </w:tcPr>
          <w:p w:rsidR="008C0879" w:rsidRPr="005227ED" w:rsidRDefault="008C0879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5227ED" w:rsidRDefault="008C0879" w:rsidP="00A93E77">
            <w:pPr>
              <w:rPr>
                <w:sz w:val="28"/>
                <w:szCs w:val="28"/>
                <w:lang w:val="uk-UA"/>
              </w:rPr>
            </w:pPr>
            <w:r w:rsidRPr="005227ED">
              <w:rPr>
                <w:sz w:val="28"/>
                <w:szCs w:val="28"/>
                <w:lang w:val="uk-UA"/>
              </w:rPr>
              <w:t>08 грудня 2022 рок</w:t>
            </w:r>
            <w:r w:rsidR="005227ED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2129" w:type="dxa"/>
          </w:tcPr>
          <w:p w:rsidR="008C4BFD" w:rsidRPr="005227ED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5227ED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5227ED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C0879" w:rsidRPr="005227ED" w:rsidRDefault="008C0879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5227ED" w:rsidRDefault="008C0879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227ED">
              <w:rPr>
                <w:sz w:val="28"/>
                <w:szCs w:val="28"/>
                <w:lang w:val="uk-UA"/>
              </w:rPr>
              <w:t xml:space="preserve">                                            № 2220</w:t>
            </w:r>
          </w:p>
          <w:p w:rsidR="00F61F7E" w:rsidRPr="005227ED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227ED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5227ED" w:rsidRDefault="00F61F7E" w:rsidP="005227ED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5227ED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5227ED" w:rsidRDefault="00FF071A" w:rsidP="00FF071A">
      <w:pPr>
        <w:jc w:val="both"/>
        <w:rPr>
          <w:b/>
          <w:sz w:val="28"/>
          <w:szCs w:val="28"/>
          <w:lang w:val="uk-UA"/>
        </w:rPr>
      </w:pPr>
      <w:r w:rsidRPr="005227ED">
        <w:rPr>
          <w:b/>
          <w:sz w:val="28"/>
          <w:szCs w:val="28"/>
          <w:lang w:val="uk-UA"/>
        </w:rPr>
        <w:t xml:space="preserve">Про </w:t>
      </w:r>
      <w:r w:rsidR="00BA1EB2" w:rsidRPr="005227ED">
        <w:rPr>
          <w:b/>
          <w:sz w:val="28"/>
          <w:szCs w:val="28"/>
          <w:lang w:val="uk-UA"/>
        </w:rPr>
        <w:t xml:space="preserve">екстрену </w:t>
      </w:r>
      <w:r w:rsidRPr="005227ED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5227ED">
        <w:rPr>
          <w:b/>
          <w:sz w:val="28"/>
          <w:szCs w:val="28"/>
          <w:lang w:val="uk-UA"/>
        </w:rPr>
        <w:t>,</w:t>
      </w:r>
      <w:r w:rsidRPr="005227ED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5227ED">
        <w:rPr>
          <w:b/>
          <w:sz w:val="28"/>
          <w:szCs w:val="28"/>
          <w:lang w:val="uk-UA"/>
        </w:rPr>
        <w:t xml:space="preserve">, </w:t>
      </w:r>
      <w:r w:rsidR="00A25AAF" w:rsidRPr="005227ED">
        <w:rPr>
          <w:b/>
          <w:sz w:val="28"/>
          <w:szCs w:val="28"/>
          <w:lang w:val="uk-UA"/>
        </w:rPr>
        <w:t xml:space="preserve">препаратів крові, </w:t>
      </w:r>
      <w:r w:rsidR="00BA1EB2" w:rsidRPr="005227ED">
        <w:rPr>
          <w:b/>
          <w:sz w:val="28"/>
          <w:szCs w:val="28"/>
          <w:lang w:val="uk-UA"/>
        </w:rPr>
        <w:t xml:space="preserve">що </w:t>
      </w:r>
      <w:r w:rsidR="00A357D2" w:rsidRPr="005227ED">
        <w:rPr>
          <w:b/>
          <w:sz w:val="28"/>
          <w:szCs w:val="28"/>
          <w:lang w:val="uk-UA"/>
        </w:rPr>
        <w:t xml:space="preserve">виробляються або </w:t>
      </w:r>
      <w:r w:rsidR="00BA1EB2" w:rsidRPr="005227ED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5227ED">
        <w:rPr>
          <w:b/>
          <w:sz w:val="28"/>
          <w:szCs w:val="28"/>
          <w:lang w:val="uk-UA"/>
        </w:rPr>
        <w:t>протягом</w:t>
      </w:r>
      <w:r w:rsidR="00BA1EB2" w:rsidRPr="005227ED">
        <w:rPr>
          <w:b/>
          <w:sz w:val="28"/>
          <w:szCs w:val="28"/>
          <w:lang w:val="uk-UA"/>
        </w:rPr>
        <w:t xml:space="preserve"> період</w:t>
      </w:r>
      <w:r w:rsidR="00A357D2" w:rsidRPr="005227ED">
        <w:rPr>
          <w:b/>
          <w:sz w:val="28"/>
          <w:szCs w:val="28"/>
          <w:lang w:val="uk-UA"/>
        </w:rPr>
        <w:t>у дії</w:t>
      </w:r>
      <w:r w:rsidR="00BA1EB2" w:rsidRPr="005227ED">
        <w:rPr>
          <w:b/>
          <w:sz w:val="28"/>
          <w:szCs w:val="28"/>
          <w:lang w:val="uk-UA"/>
        </w:rPr>
        <w:t xml:space="preserve"> воєнного стану</w:t>
      </w:r>
      <w:r w:rsidR="00A25AAF" w:rsidRPr="005227ED">
        <w:rPr>
          <w:b/>
          <w:sz w:val="28"/>
          <w:szCs w:val="28"/>
          <w:lang w:val="uk-UA"/>
        </w:rPr>
        <w:t>,</w:t>
      </w:r>
      <w:r w:rsidR="00A25AAF" w:rsidRPr="005227ED">
        <w:rPr>
          <w:lang w:val="uk-UA"/>
        </w:rPr>
        <w:t xml:space="preserve"> </w:t>
      </w:r>
      <w:r w:rsidR="00A25AAF" w:rsidRPr="005227ED">
        <w:rPr>
          <w:b/>
          <w:sz w:val="28"/>
          <w:szCs w:val="28"/>
          <w:lang w:val="uk-UA"/>
        </w:rPr>
        <w:t>під зобов’язання</w:t>
      </w:r>
    </w:p>
    <w:p w:rsidR="00917598" w:rsidRPr="005227ED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5227ED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5227ED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5227ED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5227ED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5227ED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5227ED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5227ED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5227ED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5227ED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F753C3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від</w:t>
      </w:r>
      <w:r w:rsidR="00332232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B190D" w:rsidRPr="005227ED">
        <w:rPr>
          <w:rFonts w:ascii="Times New Roman" w:hAnsi="Times New Roman"/>
          <w:color w:val="auto"/>
          <w:sz w:val="28"/>
          <w:szCs w:val="28"/>
          <w:lang w:val="uk-UA"/>
        </w:rPr>
        <w:t>18</w:t>
      </w:r>
      <w:r w:rsidR="00692C82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листопада 2022 року,</w:t>
      </w:r>
      <w:r w:rsidR="00332232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B190D" w:rsidRPr="005227ED">
        <w:rPr>
          <w:rFonts w:ascii="Times New Roman" w:hAnsi="Times New Roman"/>
          <w:color w:val="auto"/>
          <w:sz w:val="28"/>
          <w:szCs w:val="28"/>
          <w:lang w:val="uk-UA"/>
        </w:rPr>
        <w:t>23</w:t>
      </w:r>
      <w:r w:rsidR="00F753C3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листопада 2022 року та</w:t>
      </w:r>
      <w:r w:rsidR="004F4794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EE2C62" w:rsidRPr="005227ED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5227ED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E2C62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5227ED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5227ED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5227E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5227ED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5227ED">
        <w:rPr>
          <w:b/>
          <w:bCs/>
          <w:sz w:val="28"/>
          <w:szCs w:val="28"/>
          <w:lang w:val="uk-UA"/>
        </w:rPr>
        <w:t>НАКАЗУЮ:</w:t>
      </w:r>
    </w:p>
    <w:p w:rsidR="00CB6908" w:rsidRPr="005227ED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27ED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5227ED">
        <w:rPr>
          <w:sz w:val="28"/>
          <w:szCs w:val="28"/>
          <w:lang w:val="uk-UA"/>
        </w:rPr>
        <w:t>і</w:t>
      </w:r>
      <w:r w:rsidRPr="005227ED">
        <w:rPr>
          <w:sz w:val="28"/>
          <w:szCs w:val="28"/>
          <w:lang w:val="uk-UA"/>
        </w:rPr>
        <w:t xml:space="preserve"> зас</w:t>
      </w:r>
      <w:r w:rsidR="00A420E9" w:rsidRPr="005227ED">
        <w:rPr>
          <w:sz w:val="28"/>
          <w:szCs w:val="28"/>
          <w:lang w:val="uk-UA"/>
        </w:rPr>
        <w:t>о</w:t>
      </w:r>
      <w:r w:rsidRPr="005227ED">
        <w:rPr>
          <w:sz w:val="28"/>
          <w:szCs w:val="28"/>
          <w:lang w:val="uk-UA"/>
        </w:rPr>
        <w:t>б</w:t>
      </w:r>
      <w:r w:rsidR="00A420E9" w:rsidRPr="005227ED">
        <w:rPr>
          <w:sz w:val="28"/>
          <w:szCs w:val="28"/>
          <w:lang w:val="uk-UA"/>
        </w:rPr>
        <w:t>и</w:t>
      </w:r>
      <w:r w:rsidR="00A34430" w:rsidRPr="005227ED">
        <w:rPr>
          <w:sz w:val="28"/>
          <w:szCs w:val="28"/>
          <w:lang w:val="uk-UA"/>
        </w:rPr>
        <w:t>,</w:t>
      </w:r>
      <w:r w:rsidRPr="005227ED">
        <w:rPr>
          <w:sz w:val="28"/>
          <w:szCs w:val="28"/>
          <w:lang w:val="uk-UA"/>
        </w:rPr>
        <w:t xml:space="preserve"> </w:t>
      </w:r>
      <w:r w:rsidR="00A34430" w:rsidRPr="005227ED">
        <w:rPr>
          <w:sz w:val="28"/>
          <w:szCs w:val="28"/>
          <w:lang w:val="uk-UA"/>
        </w:rPr>
        <w:t>медичні імунобіологічні препарати, препарати крові</w:t>
      </w:r>
      <w:r w:rsidR="00B22D29" w:rsidRPr="005227ED">
        <w:rPr>
          <w:sz w:val="28"/>
          <w:szCs w:val="28"/>
          <w:lang w:val="uk-UA"/>
        </w:rPr>
        <w:t xml:space="preserve"> </w:t>
      </w:r>
      <w:r w:rsidRPr="005227ED">
        <w:rPr>
          <w:sz w:val="28"/>
          <w:szCs w:val="28"/>
          <w:lang w:val="uk-UA"/>
        </w:rPr>
        <w:t>згідно з додатк</w:t>
      </w:r>
      <w:r w:rsidR="00061BA2" w:rsidRPr="005227ED">
        <w:rPr>
          <w:sz w:val="28"/>
          <w:szCs w:val="28"/>
          <w:lang w:val="uk-UA"/>
        </w:rPr>
        <w:t>ом</w:t>
      </w:r>
      <w:r w:rsidR="00BE64DF" w:rsidRPr="005227ED">
        <w:rPr>
          <w:sz w:val="28"/>
          <w:szCs w:val="28"/>
          <w:lang w:val="uk-UA"/>
        </w:rPr>
        <w:t xml:space="preserve"> 1</w:t>
      </w:r>
      <w:r w:rsidR="00CB6908" w:rsidRPr="005227ED">
        <w:rPr>
          <w:sz w:val="28"/>
          <w:szCs w:val="28"/>
          <w:lang w:val="uk-UA"/>
        </w:rPr>
        <w:t>.</w:t>
      </w:r>
    </w:p>
    <w:p w:rsidR="00BE64DF" w:rsidRPr="005227ED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5227ED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227ED">
        <w:rPr>
          <w:sz w:val="28"/>
          <w:szCs w:val="28"/>
          <w:lang w:val="uk-UA"/>
        </w:rPr>
        <w:t>Відмовити у екстреній державній реєстрації та внесенні до Державного реєстру лікарських засобів України лікарських засобів</w:t>
      </w:r>
      <w:r w:rsidR="00B22D29" w:rsidRPr="005227ED">
        <w:rPr>
          <w:sz w:val="28"/>
          <w:szCs w:val="28"/>
          <w:lang w:val="uk-UA"/>
        </w:rPr>
        <w:t>,</w:t>
      </w:r>
      <w:r w:rsidR="00B22D29" w:rsidRPr="005227ED">
        <w:rPr>
          <w:lang w:val="uk-UA"/>
        </w:rPr>
        <w:t xml:space="preserve"> </w:t>
      </w:r>
      <w:r w:rsidR="00B22D29" w:rsidRPr="005227ED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5227ED">
        <w:rPr>
          <w:sz w:val="28"/>
          <w:szCs w:val="28"/>
          <w:lang w:val="uk-UA"/>
        </w:rPr>
        <w:t xml:space="preserve"> згідно з додатк</w:t>
      </w:r>
      <w:r w:rsidR="00901B4F" w:rsidRPr="005227ED">
        <w:rPr>
          <w:sz w:val="28"/>
          <w:szCs w:val="28"/>
          <w:lang w:val="uk-UA"/>
        </w:rPr>
        <w:t>ом</w:t>
      </w:r>
      <w:r w:rsidRPr="005227ED">
        <w:rPr>
          <w:sz w:val="28"/>
          <w:szCs w:val="28"/>
          <w:lang w:val="uk-UA"/>
        </w:rPr>
        <w:t xml:space="preserve"> 2.</w:t>
      </w:r>
    </w:p>
    <w:p w:rsidR="00927311" w:rsidRPr="005227ED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5227ED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5227ED">
        <w:rPr>
          <w:sz w:val="28"/>
          <w:szCs w:val="28"/>
          <w:lang w:val="uk-UA"/>
        </w:rPr>
        <w:t>3</w:t>
      </w:r>
      <w:r w:rsidR="000D32CE" w:rsidRPr="005227ED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F906F4" w:rsidRPr="005227ED">
        <w:rPr>
          <w:sz w:val="28"/>
          <w:szCs w:val="28"/>
          <w:lang w:val="uk-UA"/>
        </w:rPr>
        <w:t xml:space="preserve">Олександра </w:t>
      </w:r>
      <w:r w:rsidR="000D32CE" w:rsidRPr="005227ED">
        <w:rPr>
          <w:sz w:val="28"/>
          <w:szCs w:val="28"/>
          <w:lang w:val="uk-UA"/>
        </w:rPr>
        <w:t>Комаріду.</w:t>
      </w:r>
    </w:p>
    <w:p w:rsidR="000D32CE" w:rsidRPr="005227ED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5227ED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5227ED" w:rsidRDefault="005227ED" w:rsidP="00BE64DF">
      <w:pPr>
        <w:rPr>
          <w:b/>
          <w:sz w:val="28"/>
          <w:szCs w:val="28"/>
          <w:lang w:val="uk-UA"/>
        </w:rPr>
        <w:sectPr w:rsidR="005227ED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27ED" w:rsidRPr="007E524B" w:rsidTr="00E1725C">
        <w:tc>
          <w:tcPr>
            <w:tcW w:w="3825" w:type="dxa"/>
            <w:hideMark/>
          </w:tcPr>
          <w:p w:rsidR="005227ED" w:rsidRPr="005227ED" w:rsidRDefault="005227ED" w:rsidP="00432EF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227ED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5227ED" w:rsidRPr="005227ED" w:rsidRDefault="005227ED" w:rsidP="00432EF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227ED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5227ED" w:rsidRPr="005227ED" w:rsidRDefault="005227ED" w:rsidP="00432EF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5227ED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5227ED" w:rsidRPr="00910DA1" w:rsidRDefault="005227ED" w:rsidP="00432EF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08 грудня 2022 року 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2220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5227ED" w:rsidRDefault="005227ED" w:rsidP="005227E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5227ED" w:rsidRPr="00EF2F51" w:rsidRDefault="005227ED" w:rsidP="005227E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5227ED" w:rsidRPr="00604A81" w:rsidRDefault="005227ED" w:rsidP="005227ED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5227ED" w:rsidRPr="005D7AC1" w:rsidRDefault="005227ED" w:rsidP="005227E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992"/>
        <w:gridCol w:w="993"/>
        <w:gridCol w:w="4252"/>
        <w:gridCol w:w="1134"/>
        <w:gridCol w:w="1135"/>
        <w:gridCol w:w="992"/>
        <w:gridCol w:w="851"/>
        <w:gridCol w:w="1558"/>
      </w:tblGrid>
      <w:tr w:rsidR="005227ED" w:rsidRPr="004262C1" w:rsidTr="00432EF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4252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</w:tcBorders>
            <w:shd w:val="clear" w:color="auto" w:fill="D9D9D9"/>
          </w:tcPr>
          <w:p w:rsidR="005227ED" w:rsidRPr="004262C1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227ED" w:rsidRPr="006C7F51" w:rsidTr="00432EF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27ED" w:rsidRPr="003D4E87" w:rsidRDefault="005227ED" w:rsidP="005227E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7ED" w:rsidRPr="000476CE" w:rsidRDefault="005227E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 xml:space="preserve">БОЗЕНТАН АККОРД 125 МГ ТАБЛЕТКИ, ВКРИТІ ПЛІВКОВОЮ ОБОЛОНКОЮ BOSENTAN ACCORD 125 MG FILM-COATED TABLETS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14 таблеток, вкритих плівковою оболонкою, у блістері, по 4 блістери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o.o.,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ФУНДАСІО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ДАУ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Продлекпол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Престіж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Промоушн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Веркауфсфурдерунг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Вербесервіс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2D4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Лтд, Велика Британія;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Лімітед, Угорщина;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 Аналізіс с.р.л., Італія;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якості: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Мізом Лабс Лтд.,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UA/19783/01/02</w:t>
            </w:r>
          </w:p>
        </w:tc>
      </w:tr>
      <w:tr w:rsidR="005227ED" w:rsidRPr="006C7F51" w:rsidTr="00432EF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27ED" w:rsidRPr="003D4E87" w:rsidRDefault="005227ED" w:rsidP="005227E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7ED" w:rsidRPr="000476CE" w:rsidRDefault="005227E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 xml:space="preserve">БОЗЕНТАН АККОРД 62,5 МГ ТАБЛЕТКИ, ВКРИТІ ПЛІВКОВОЮ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lastRenderedPageBreak/>
              <w:t>ОБОЛОНКОЮ BOSENTAN ACCORD 62,5 MG FILM-COATED TABLETS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таблетки, вкриті плівковою оболонкою, по 14 таблеток, вкритих плівковою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оболонкою, у блістері, по 4 блістери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Аккорд Хелскеа Полска Сп. з.о.о.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Б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Полска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o.o.,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Інтас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Фармасьютікалс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ЛАБОРАТОРІ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ФУНДАСІО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ДАУ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Продлекпол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Сп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додаткове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Престіж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Промоушн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Веркауфсфурдерунг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Вербесервіс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A2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Аккорд-ЮКЕЙ Лтд, Велика Британія;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Фармавалід Лімітед, Угорщина;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 Аналізіс с.р.л., Італія;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якості: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Мізом Лабс Лтд.,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Британія/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5227ED" w:rsidRPr="005D49D3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UA/19783/01/01</w:t>
            </w:r>
          </w:p>
        </w:tc>
      </w:tr>
      <w:tr w:rsidR="005227ED" w:rsidRPr="006C7F51" w:rsidTr="00432EF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27ED" w:rsidRPr="003D4E87" w:rsidRDefault="005227ED" w:rsidP="005227E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7ED" w:rsidRPr="000476CE" w:rsidRDefault="005227E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sz w:val="16"/>
                <w:szCs w:val="16"/>
              </w:rPr>
              <w:t>КАПЕЦИТАБІН АККОРД/CAPECITABINE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150 мг, по 10 таблеток у блістері, по 6 блістерів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br/>
              <w:t>Аккорд Хелскеа Полска Сп. з о.о., Польща</w:t>
            </w:r>
            <w:r w:rsidRPr="00B21902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Інтас Фармасьютікалc Лімітед, Індія;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первинне та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Аккорд Хелскеа Лтд., Велика Британія;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ДЧЛ Саплі Чейн (Італія), Італія;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контроль якості</w:t>
            </w:r>
            <w:r w:rsidRPr="00B21902">
              <w:rPr>
                <w:rFonts w:ascii="Arial" w:hAnsi="Arial" w:cs="Arial"/>
                <w:sz w:val="16"/>
                <w:szCs w:val="16"/>
              </w:rPr>
              <w:t>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1C3652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3652">
              <w:rPr>
                <w:rFonts w:ascii="Arial" w:hAnsi="Arial" w:cs="Arial"/>
                <w:bCs/>
                <w:sz w:val="16"/>
                <w:szCs w:val="16"/>
              </w:rPr>
              <w:t>UA/19788/01/01</w:t>
            </w:r>
          </w:p>
        </w:tc>
      </w:tr>
      <w:tr w:rsidR="005227ED" w:rsidRPr="006C7F51" w:rsidTr="00432EF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27ED" w:rsidRPr="003D4E87" w:rsidRDefault="005227ED" w:rsidP="005227E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7ED" w:rsidRPr="000476CE" w:rsidRDefault="005227E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1902">
              <w:rPr>
                <w:rFonts w:ascii="Arial" w:hAnsi="Arial" w:cs="Arial"/>
                <w:b/>
                <w:sz w:val="16"/>
                <w:szCs w:val="16"/>
              </w:rPr>
              <w:t>КАПЕЦИТАБІН АККОРД/CAPECITABINE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500 мг, по 10 таблеток у блістері, по 12 блістерів у пачці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  <w:r w:rsidRPr="00B21902">
              <w:rPr>
                <w:rFonts w:ascii="Arial" w:hAnsi="Arial" w:cs="Arial"/>
                <w:sz w:val="16"/>
                <w:szCs w:val="16"/>
                <w:lang w:val="ru-RU"/>
              </w:rPr>
              <w:br/>
              <w:t>Аккорд Хелскеа Полска Сп. з о.о., Польща</w:t>
            </w:r>
            <w:r w:rsidRPr="00B21902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Аккорд Хелскеа Б.В., Нідерланди;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</w:r>
            <w:r w:rsidRPr="00B21902">
              <w:rPr>
                <w:rFonts w:ascii="Arial" w:hAnsi="Arial" w:cs="Arial"/>
                <w:sz w:val="16"/>
                <w:szCs w:val="16"/>
              </w:rPr>
              <w:lastRenderedPageBreak/>
              <w:t>Інтас Фармасьютікалc Лімітед, Індія;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первинне та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Аккорд Хелскеа Лтд., Велика Британія;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ДЧЛ Саплі Чейн (Італія), Італія;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СК Фарма Логістікс ГмбХ, Німеччина;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контроль якості</w:t>
            </w:r>
            <w:r w:rsidRPr="00B21902">
              <w:rPr>
                <w:rFonts w:ascii="Arial" w:hAnsi="Arial" w:cs="Arial"/>
                <w:sz w:val="16"/>
                <w:szCs w:val="16"/>
              </w:rPr>
              <w:t>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B21902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lastRenderedPageBreak/>
              <w:t>Польща/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lastRenderedPageBreak/>
              <w:t>Італія/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227ED" w:rsidRPr="00B21902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5227ED" w:rsidRPr="000476CE" w:rsidRDefault="005227E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1902">
              <w:rPr>
                <w:rFonts w:ascii="Arial" w:hAnsi="Arial" w:cs="Arial"/>
                <w:sz w:val="16"/>
                <w:szCs w:val="16"/>
              </w:rPr>
              <w:lastRenderedPageBreak/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0476CE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2190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27ED" w:rsidRPr="001C3652" w:rsidRDefault="005227E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3652">
              <w:rPr>
                <w:rFonts w:ascii="Arial" w:hAnsi="Arial" w:cs="Arial"/>
                <w:bCs/>
                <w:sz w:val="16"/>
                <w:szCs w:val="16"/>
              </w:rPr>
              <w:t>UA/19788/01/02</w:t>
            </w:r>
          </w:p>
        </w:tc>
      </w:tr>
    </w:tbl>
    <w:p w:rsidR="005227ED" w:rsidRDefault="005227ED" w:rsidP="005227ED">
      <w:pPr>
        <w:ind w:right="20"/>
        <w:rPr>
          <w:b/>
          <w:bCs/>
          <w:sz w:val="26"/>
          <w:szCs w:val="26"/>
        </w:rPr>
      </w:pPr>
    </w:p>
    <w:p w:rsidR="005227ED" w:rsidRDefault="005227ED" w:rsidP="005227ED">
      <w:pPr>
        <w:ind w:right="20"/>
        <w:rPr>
          <w:b/>
          <w:bCs/>
          <w:sz w:val="26"/>
          <w:szCs w:val="26"/>
        </w:rPr>
      </w:pPr>
    </w:p>
    <w:p w:rsidR="008F6624" w:rsidRDefault="008F6624" w:rsidP="005227ED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227ED" w:rsidRPr="00EF2F51" w:rsidTr="00E1725C">
        <w:tc>
          <w:tcPr>
            <w:tcW w:w="7421" w:type="dxa"/>
          </w:tcPr>
          <w:p w:rsidR="005227ED" w:rsidRDefault="005227ED" w:rsidP="00E1725C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5227ED" w:rsidRPr="00EF2F51" w:rsidRDefault="005227ED" w:rsidP="00E1725C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5227ED" w:rsidRPr="00EF2F51" w:rsidRDefault="005227ED" w:rsidP="00E1725C">
            <w:pPr>
              <w:rPr>
                <w:b/>
                <w:bCs/>
                <w:sz w:val="28"/>
                <w:szCs w:val="28"/>
              </w:rPr>
            </w:pPr>
          </w:p>
          <w:p w:rsidR="005227ED" w:rsidRPr="00EF2F51" w:rsidRDefault="005227ED" w:rsidP="00E1725C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5227ED" w:rsidRPr="007E524B" w:rsidRDefault="005227ED" w:rsidP="005227ED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5227ED" w:rsidRDefault="005227ED" w:rsidP="00BE64DF">
      <w:pPr>
        <w:rPr>
          <w:b/>
          <w:sz w:val="28"/>
          <w:szCs w:val="28"/>
          <w:lang w:val="uk-UA"/>
        </w:rPr>
        <w:sectPr w:rsidR="005227ED" w:rsidSect="00E1725C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1364D" w:rsidRPr="005A3F18" w:rsidTr="00E1725C">
        <w:tc>
          <w:tcPr>
            <w:tcW w:w="3825" w:type="dxa"/>
            <w:hideMark/>
          </w:tcPr>
          <w:p w:rsidR="0071364D" w:rsidRPr="0071364D" w:rsidRDefault="0071364D" w:rsidP="009A71D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1364D">
              <w:rPr>
                <w:rFonts w:cs="Arial"/>
                <w:sz w:val="18"/>
                <w:szCs w:val="18"/>
                <w:lang w:val="uk-UA"/>
              </w:rPr>
              <w:t>Додаток 2</w:t>
            </w:r>
          </w:p>
          <w:p w:rsidR="0071364D" w:rsidRPr="0071364D" w:rsidRDefault="0071364D" w:rsidP="009A71D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1364D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1364D" w:rsidRPr="0071364D" w:rsidRDefault="0071364D" w:rsidP="009A71D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1364D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71364D" w:rsidRPr="000C044A" w:rsidRDefault="0071364D" w:rsidP="009A71D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0C044A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08 грудня 2022 року № 2220  </w:t>
            </w:r>
          </w:p>
        </w:tc>
      </w:tr>
    </w:tbl>
    <w:p w:rsidR="0071364D" w:rsidRDefault="0071364D" w:rsidP="007136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71364D" w:rsidRDefault="0071364D" w:rsidP="007136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71364D" w:rsidRPr="005A3F18" w:rsidRDefault="0071364D" w:rsidP="007136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71364D" w:rsidRPr="00604A81" w:rsidRDefault="0071364D" w:rsidP="0071364D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71364D" w:rsidRPr="005A3F18" w:rsidRDefault="0071364D" w:rsidP="0071364D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5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977"/>
        <w:gridCol w:w="1417"/>
        <w:gridCol w:w="1134"/>
        <w:gridCol w:w="1276"/>
        <w:gridCol w:w="1133"/>
        <w:gridCol w:w="1135"/>
        <w:gridCol w:w="992"/>
        <w:gridCol w:w="850"/>
        <w:gridCol w:w="1557"/>
      </w:tblGrid>
      <w:tr w:rsidR="0071364D" w:rsidRPr="00F97553" w:rsidTr="009A71D5">
        <w:trPr>
          <w:tblHeader/>
        </w:trPr>
        <w:tc>
          <w:tcPr>
            <w:tcW w:w="568" w:type="dxa"/>
            <w:shd w:val="clear" w:color="auto" w:fill="D9D9D9"/>
            <w:hideMark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977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6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71364D" w:rsidRPr="00F97553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1364D" w:rsidRPr="001D2802" w:rsidTr="009A71D5">
        <w:tc>
          <w:tcPr>
            <w:tcW w:w="568" w:type="dxa"/>
            <w:shd w:val="clear" w:color="auto" w:fill="auto"/>
          </w:tcPr>
          <w:p w:rsidR="0071364D" w:rsidRPr="001D2802" w:rsidRDefault="0071364D" w:rsidP="007136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>ЕСЕЛАН</w:t>
            </w:r>
          </w:p>
        </w:tc>
        <w:tc>
          <w:tcPr>
            <w:tcW w:w="2977" w:type="dxa"/>
            <w:shd w:val="clear" w:color="auto" w:fill="FFFFFF"/>
          </w:tcPr>
          <w:p w:rsidR="0071364D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ін'єкцій 40 мг/флакон, 1 флакон з порошком та 1 ампула з розчинником 10 мл у пачці</w:t>
            </w:r>
          </w:p>
          <w:p w:rsidR="0071364D" w:rsidRPr="000476CE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1134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276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С.А.</w:t>
            </w:r>
          </w:p>
        </w:tc>
        <w:tc>
          <w:tcPr>
            <w:tcW w:w="1133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135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з</w:t>
            </w:r>
            <w:r w:rsidRPr="005D49D3">
              <w:rPr>
                <w:rFonts w:ascii="Arial" w:hAnsi="Arial" w:cs="Arial"/>
                <w:i/>
                <w:sz w:val="16"/>
                <w:szCs w:val="16"/>
              </w:rPr>
              <w:t>а рецептом</w:t>
            </w:r>
          </w:p>
        </w:tc>
        <w:tc>
          <w:tcPr>
            <w:tcW w:w="850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364D" w:rsidRPr="000476CE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UA/19784/01/01</w:t>
            </w:r>
          </w:p>
        </w:tc>
      </w:tr>
      <w:tr w:rsidR="0071364D" w:rsidRPr="001D2802" w:rsidTr="009A71D5">
        <w:tc>
          <w:tcPr>
            <w:tcW w:w="568" w:type="dxa"/>
            <w:shd w:val="clear" w:color="auto" w:fill="auto"/>
          </w:tcPr>
          <w:p w:rsidR="0071364D" w:rsidRPr="001D2802" w:rsidRDefault="0071364D" w:rsidP="007136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>УНІФОЛІН 100 / UNIFOLIN 100</w:t>
            </w:r>
          </w:p>
        </w:tc>
        <w:tc>
          <w:tcPr>
            <w:tcW w:w="2977" w:type="dxa"/>
            <w:shd w:val="clear" w:color="auto" w:fill="FFFFFF"/>
          </w:tcPr>
          <w:p w:rsidR="0071364D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ін'єкцій, 100 мг/10 мл, по 1 флакону в картонній коробці, по 10 коробок у картонній коробці</w:t>
            </w:r>
          </w:p>
          <w:p w:rsidR="0071364D" w:rsidRPr="000476CE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134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ЮНІТЕД БІОТЕЧ (П) Лтд.</w:t>
            </w:r>
          </w:p>
        </w:tc>
        <w:tc>
          <w:tcPr>
            <w:tcW w:w="1133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135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364D" w:rsidRPr="000476CE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UA/19785/01/01</w:t>
            </w:r>
          </w:p>
        </w:tc>
      </w:tr>
      <w:tr w:rsidR="0071364D" w:rsidRPr="001D2802" w:rsidTr="009A71D5">
        <w:tc>
          <w:tcPr>
            <w:tcW w:w="568" w:type="dxa"/>
            <w:shd w:val="clear" w:color="auto" w:fill="auto"/>
          </w:tcPr>
          <w:p w:rsidR="0071364D" w:rsidRPr="001D2802" w:rsidRDefault="0071364D" w:rsidP="007136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 xml:space="preserve">ХУТОКС HUTOX </w:t>
            </w:r>
          </w:p>
        </w:tc>
        <w:tc>
          <w:tcPr>
            <w:tcW w:w="2977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ліофілізований порошок для ін'єкцій, по 100 одиниць/флакон, по 1 флакону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Хуонс БіоФарма Ко., Лтд.</w:t>
            </w:r>
          </w:p>
        </w:tc>
        <w:tc>
          <w:tcPr>
            <w:tcW w:w="1134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 </w:t>
            </w:r>
          </w:p>
        </w:tc>
        <w:tc>
          <w:tcPr>
            <w:tcW w:w="1276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Хуонс БіоФарма Ко., Лтд.</w:t>
            </w:r>
          </w:p>
        </w:tc>
        <w:tc>
          <w:tcPr>
            <w:tcW w:w="1133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</w:t>
            </w:r>
          </w:p>
        </w:tc>
        <w:tc>
          <w:tcPr>
            <w:tcW w:w="1135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71364D" w:rsidRPr="000476CE" w:rsidRDefault="0071364D" w:rsidP="00E1725C">
            <w:pPr>
              <w:pStyle w:val="11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364D" w:rsidRPr="000476CE" w:rsidRDefault="0071364D" w:rsidP="00E172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UA/19786/01/01</w:t>
            </w:r>
          </w:p>
        </w:tc>
      </w:tr>
    </w:tbl>
    <w:p w:rsidR="0071364D" w:rsidRDefault="0071364D" w:rsidP="0071364D"/>
    <w:p w:rsidR="0071364D" w:rsidRDefault="0071364D" w:rsidP="0071364D"/>
    <w:p w:rsidR="0071364D" w:rsidRDefault="0071364D" w:rsidP="0071364D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71364D" w:rsidRPr="00EF2F51" w:rsidTr="00E1725C">
        <w:tc>
          <w:tcPr>
            <w:tcW w:w="7421" w:type="dxa"/>
          </w:tcPr>
          <w:p w:rsidR="0071364D" w:rsidRDefault="0071364D" w:rsidP="00E1725C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71364D" w:rsidRPr="00EF2F51" w:rsidRDefault="0071364D" w:rsidP="00E1725C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директорату</w:t>
            </w:r>
          </w:p>
        </w:tc>
        <w:tc>
          <w:tcPr>
            <w:tcW w:w="7422" w:type="dxa"/>
          </w:tcPr>
          <w:p w:rsidR="0071364D" w:rsidRPr="00EF2F51" w:rsidRDefault="0071364D" w:rsidP="00E1725C">
            <w:pPr>
              <w:rPr>
                <w:b/>
                <w:bCs/>
                <w:sz w:val="28"/>
                <w:szCs w:val="28"/>
              </w:rPr>
            </w:pPr>
          </w:p>
          <w:p w:rsidR="0071364D" w:rsidRPr="00EF2F51" w:rsidRDefault="0071364D" w:rsidP="00E1725C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71364D" w:rsidRPr="00164E43" w:rsidRDefault="0071364D" w:rsidP="0071364D">
      <w:pPr>
        <w:rPr>
          <w:b/>
          <w:bCs/>
        </w:rPr>
      </w:pPr>
    </w:p>
    <w:p w:rsidR="005227ED" w:rsidRPr="005227ED" w:rsidRDefault="005227ED" w:rsidP="00BE64DF">
      <w:pPr>
        <w:rPr>
          <w:b/>
          <w:sz w:val="28"/>
          <w:szCs w:val="28"/>
          <w:lang w:val="uk-UA"/>
        </w:rPr>
      </w:pPr>
    </w:p>
    <w:sectPr w:rsidR="005227ED" w:rsidRPr="005227ED" w:rsidSect="00E1725C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5C" w:rsidRDefault="00E1725C" w:rsidP="00B217C6">
      <w:r>
        <w:separator/>
      </w:r>
    </w:p>
  </w:endnote>
  <w:endnote w:type="continuationSeparator" w:id="0">
    <w:p w:rsidR="00E1725C" w:rsidRDefault="00E1725C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5C" w:rsidRDefault="00E1725C">
    <w:pPr>
      <w:pStyle w:val="a5"/>
      <w:jc w:val="center"/>
    </w:pPr>
  </w:p>
  <w:p w:rsidR="00E1725C" w:rsidRDefault="00E172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5C" w:rsidRDefault="00E1725C" w:rsidP="00B217C6">
      <w:r>
        <w:separator/>
      </w:r>
    </w:p>
  </w:footnote>
  <w:footnote w:type="continuationSeparator" w:id="0">
    <w:p w:rsidR="00E1725C" w:rsidRDefault="00E1725C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5C" w:rsidRDefault="00E1725C" w:rsidP="00E1725C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F2CC9">
      <w:rPr>
        <w:noProof/>
      </w:rPr>
      <w:t>3</w:t>
    </w:r>
    <w:r>
      <w:fldChar w:fldCharType="end"/>
    </w:r>
    <w:r>
      <w:tab/>
    </w:r>
    <w:r>
      <w:tab/>
      <w:t xml:space="preserve">            Продовження додатка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5C" w:rsidRDefault="00E1725C" w:rsidP="00E1725C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>Продовження додатка 2</w:t>
    </w:r>
  </w:p>
  <w:p w:rsidR="00E1725C" w:rsidRDefault="00E172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2056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3E45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2EF1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27ED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2CC9"/>
    <w:rsid w:val="006F547E"/>
    <w:rsid w:val="006F75D2"/>
    <w:rsid w:val="007029B6"/>
    <w:rsid w:val="00702CBF"/>
    <w:rsid w:val="00703BF0"/>
    <w:rsid w:val="00706EAA"/>
    <w:rsid w:val="0071364D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0879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624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1D5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1725C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2E66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A42D7D5-D0CB-4B73-B8DE-74C58754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5227ED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65D1-20D8-483C-A894-F0805AF2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2022-12-14T09:23:00Z</dcterms:created>
  <dcterms:modified xsi:type="dcterms:W3CDTF">2022-12-14T09:23:00Z</dcterms:modified>
</cp:coreProperties>
</file>