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FA8" w:rsidRPr="00DC2088" w:rsidRDefault="00AE127C" w:rsidP="00C31FA8">
      <w:pPr>
        <w:spacing w:after="0" w:line="240" w:lineRule="auto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AE127C">
        <w:rPr>
          <w:rFonts w:ascii="Times New Roman" w:hAnsi="Times New Roman"/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0.6pt;height:46.2pt;visibility:visible">
            <v:imagedata r:id="rId7" o:title=""/>
          </v:shape>
        </w:pict>
      </w:r>
    </w:p>
    <w:p w:rsidR="00C31FA8" w:rsidRPr="00DC2088" w:rsidRDefault="00C31FA8" w:rsidP="00C31F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31FA8" w:rsidRPr="00DC2088" w:rsidRDefault="00C31FA8" w:rsidP="00C31FA8">
      <w:pPr>
        <w:pStyle w:val="1"/>
        <w:jc w:val="center"/>
        <w:rPr>
          <w:rFonts w:eastAsia="Calibri"/>
          <w:sz w:val="28"/>
          <w:szCs w:val="28"/>
        </w:rPr>
      </w:pPr>
      <w:r w:rsidRPr="00DC2088">
        <w:rPr>
          <w:rFonts w:eastAsia="Calibri"/>
          <w:sz w:val="28"/>
          <w:szCs w:val="28"/>
        </w:rPr>
        <w:t>МІНІСТЕРСТВО ОХОРОНИ ЗДОРОВ’Я УКРАЇНИ</w:t>
      </w:r>
    </w:p>
    <w:p w:rsidR="00C31FA8" w:rsidRPr="00DC2088" w:rsidRDefault="00C31FA8" w:rsidP="00C31FA8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C31FA8" w:rsidRPr="00DC2088" w:rsidRDefault="00C31FA8" w:rsidP="00C31FA8">
      <w:pPr>
        <w:pStyle w:val="3"/>
        <w:spacing w:before="0" w:after="0"/>
        <w:jc w:val="center"/>
        <w:rPr>
          <w:rFonts w:ascii="Times New Roman" w:eastAsia="Calibri" w:hAnsi="Times New Roman"/>
          <w:sz w:val="30"/>
          <w:szCs w:val="30"/>
          <w:lang w:val="uk-UA"/>
        </w:rPr>
      </w:pPr>
      <w:r w:rsidRPr="00DC2088">
        <w:rPr>
          <w:rFonts w:ascii="Times New Roman" w:eastAsia="Calibri" w:hAnsi="Times New Roman"/>
          <w:sz w:val="30"/>
          <w:szCs w:val="30"/>
        </w:rPr>
        <w:t>Н А К А З</w:t>
      </w:r>
    </w:p>
    <w:p w:rsidR="00C31FA8" w:rsidRPr="00630D57" w:rsidRDefault="00C31FA8" w:rsidP="00C31FA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1484" w:type="dxa"/>
        <w:tblInd w:w="-72" w:type="dxa"/>
        <w:tblLook w:val="01E0" w:firstRow="1" w:lastRow="1" w:firstColumn="1" w:lastColumn="1" w:noHBand="0" w:noVBand="0"/>
      </w:tblPr>
      <w:tblGrid>
        <w:gridCol w:w="4149"/>
        <w:gridCol w:w="2552"/>
        <w:gridCol w:w="4783"/>
      </w:tblGrid>
      <w:tr w:rsidR="00C31FA8" w:rsidRPr="008F66C5" w:rsidTr="00144634">
        <w:trPr>
          <w:trHeight w:val="361"/>
        </w:trPr>
        <w:tc>
          <w:tcPr>
            <w:tcW w:w="4149" w:type="dxa"/>
          </w:tcPr>
          <w:p w:rsidR="00C31FA8" w:rsidRPr="002E1B0D" w:rsidRDefault="00C31FA8" w:rsidP="00144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1FA8" w:rsidRPr="002E1B0D" w:rsidRDefault="002E1B0D" w:rsidP="00144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18.03.</w:t>
            </w:r>
            <w:r w:rsidRPr="002E1B0D">
              <w:rPr>
                <w:rFonts w:ascii="Times New Roman" w:hAnsi="Times New Roman"/>
                <w:sz w:val="28"/>
                <w:szCs w:val="28"/>
              </w:rPr>
              <w:t>2022</w:t>
            </w:r>
          </w:p>
          <w:p w:rsidR="00C31FA8" w:rsidRPr="002E1B0D" w:rsidRDefault="00C31FA8" w:rsidP="0014463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E1B0D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  <w:p w:rsidR="00C31FA8" w:rsidRPr="00630D57" w:rsidRDefault="00C31FA8" w:rsidP="00144634">
            <w:pPr>
              <w:spacing w:after="0" w:line="240" w:lineRule="auto"/>
              <w:rPr>
                <w:rFonts w:ascii="Times New Roman" w:hAnsi="Times New Roman"/>
                <w:color w:val="FFFFFF"/>
                <w:sz w:val="16"/>
                <w:szCs w:val="16"/>
              </w:rPr>
            </w:pPr>
          </w:p>
        </w:tc>
        <w:tc>
          <w:tcPr>
            <w:tcW w:w="2552" w:type="dxa"/>
          </w:tcPr>
          <w:p w:rsidR="00C31FA8" w:rsidRPr="009B5913" w:rsidRDefault="00C31FA8" w:rsidP="0014463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B5913">
              <w:rPr>
                <w:rFonts w:ascii="Times New Roman" w:hAnsi="Times New Roman"/>
                <w:sz w:val="24"/>
                <w:szCs w:val="24"/>
              </w:rPr>
              <w:t>Київ</w:t>
            </w:r>
          </w:p>
        </w:tc>
        <w:tc>
          <w:tcPr>
            <w:tcW w:w="4783" w:type="dxa"/>
          </w:tcPr>
          <w:p w:rsidR="00C31FA8" w:rsidRPr="009B5913" w:rsidRDefault="00C31FA8" w:rsidP="00144634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31FA8" w:rsidRPr="009B5913" w:rsidRDefault="00C31FA8" w:rsidP="00144634">
            <w:pPr>
              <w:spacing w:after="0" w:line="240" w:lineRule="auto"/>
              <w:ind w:firstLine="7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B5913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2E1B0D">
              <w:rPr>
                <w:rFonts w:ascii="Times New Roman" w:hAnsi="Times New Roman"/>
                <w:sz w:val="28"/>
                <w:szCs w:val="28"/>
              </w:rPr>
              <w:t xml:space="preserve">               499</w:t>
            </w:r>
            <w:r w:rsidRPr="009B5913">
              <w:rPr>
                <w:rFonts w:ascii="Times New Roman" w:hAnsi="Times New Roman"/>
                <w:sz w:val="28"/>
                <w:szCs w:val="28"/>
              </w:rPr>
              <w:t xml:space="preserve">                   </w:t>
            </w:r>
          </w:p>
        </w:tc>
      </w:tr>
    </w:tbl>
    <w:p w:rsidR="00C31FA8" w:rsidRDefault="00C31FA8" w:rsidP="00C31FA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D6F31">
        <w:rPr>
          <w:rFonts w:ascii="Times New Roman" w:hAnsi="Times New Roman"/>
          <w:b/>
          <w:sz w:val="28"/>
          <w:szCs w:val="28"/>
        </w:rPr>
        <w:t xml:space="preserve">Про державну реєстрацію лікарських засобів, які підлягають закупівлі особою, уповноваженою на здійснення </w:t>
      </w:r>
      <w:proofErr w:type="spellStart"/>
      <w:r w:rsidRPr="006D6F31">
        <w:rPr>
          <w:rFonts w:ascii="Times New Roman" w:hAnsi="Times New Roman"/>
          <w:b/>
          <w:sz w:val="28"/>
          <w:szCs w:val="28"/>
        </w:rPr>
        <w:t>закупівель</w:t>
      </w:r>
      <w:proofErr w:type="spellEnd"/>
      <w:r w:rsidRPr="006D6F31">
        <w:rPr>
          <w:rFonts w:ascii="Times New Roman" w:hAnsi="Times New Roman"/>
          <w:b/>
          <w:sz w:val="28"/>
          <w:szCs w:val="28"/>
        </w:rPr>
        <w:t xml:space="preserve"> у сфері охорони здоров’я, або спеціалізованою організацією</w:t>
      </w:r>
    </w:p>
    <w:p w:rsidR="00C31FA8" w:rsidRDefault="00C31FA8" w:rsidP="00C31FA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  <w:r w:rsidRPr="006D6F31">
        <w:rPr>
          <w:rFonts w:ascii="Times New Roman" w:hAnsi="Times New Roman"/>
          <w:b/>
          <w:sz w:val="28"/>
          <w:szCs w:val="28"/>
        </w:rPr>
        <w:t xml:space="preserve"> </w:t>
      </w:r>
    </w:p>
    <w:p w:rsidR="00C31FA8" w:rsidRPr="00630D57" w:rsidRDefault="00C31FA8" w:rsidP="00C31FA8">
      <w:pPr>
        <w:spacing w:after="0" w:line="240" w:lineRule="auto"/>
        <w:ind w:right="-1"/>
        <w:jc w:val="both"/>
        <w:rPr>
          <w:rFonts w:ascii="Times New Roman" w:hAnsi="Times New Roman"/>
          <w:b/>
          <w:sz w:val="28"/>
          <w:szCs w:val="28"/>
        </w:rPr>
      </w:pPr>
    </w:p>
    <w:p w:rsidR="00C31FA8" w:rsidRPr="00DC2088" w:rsidRDefault="00C31FA8" w:rsidP="00C31FA8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C2088">
        <w:rPr>
          <w:rFonts w:ascii="Times New Roman" w:hAnsi="Times New Roman"/>
          <w:sz w:val="28"/>
          <w:szCs w:val="28"/>
          <w:lang w:val="uk-UA"/>
        </w:rPr>
        <w:t>Відповідно до статт</w:t>
      </w:r>
      <w:r>
        <w:rPr>
          <w:rFonts w:ascii="Times New Roman" w:hAnsi="Times New Roman"/>
          <w:sz w:val="28"/>
          <w:szCs w:val="28"/>
          <w:lang w:val="uk-UA"/>
        </w:rPr>
        <w:t>і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9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C2088">
        <w:rPr>
          <w:rFonts w:ascii="Times New Roman" w:hAnsi="Times New Roman"/>
          <w:sz w:val="28"/>
          <w:szCs w:val="28"/>
          <w:lang w:val="uk-UA"/>
        </w:rPr>
        <w:t>Закону України «П</w:t>
      </w:r>
      <w:r>
        <w:rPr>
          <w:rFonts w:ascii="Times New Roman" w:hAnsi="Times New Roman"/>
          <w:sz w:val="28"/>
          <w:szCs w:val="28"/>
          <w:lang w:val="uk-UA"/>
        </w:rPr>
        <w:t xml:space="preserve">ро лікарські засоби», </w:t>
      </w:r>
      <w:r>
        <w:rPr>
          <w:rFonts w:ascii="Times New Roman" w:hAnsi="Times New Roman"/>
          <w:sz w:val="28"/>
          <w:szCs w:val="28"/>
          <w:lang w:val="uk-UA"/>
        </w:rPr>
        <w:br/>
        <w:t>пункту 5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Порядку державної реєстрації (перереєстрації) лікарських засобів, затвердженого постановою Кабінету Міністрів України від 26 травня 2005 року № 376, абзацу двадцять сьомого підпункту 12 пункту 4 Положення про Міністерство охорони здоров’я України, затвердженого постановою Кабінету Міністрів України від 25 березня 2015 року № 267 (в редакції постанови Кабінету Міністрів України від 24 січня 2020 року № 90), пункту 4 розділу І Порядку проведення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’я, або спеціалізованою організацією, затвердженого наказом Міністерства охорони здоров’я України від 15 червня </w:t>
      </w:r>
      <w:r>
        <w:rPr>
          <w:rFonts w:ascii="Times New Roman" w:hAnsi="Times New Roman"/>
          <w:sz w:val="28"/>
          <w:szCs w:val="28"/>
          <w:lang w:val="uk-UA"/>
        </w:rPr>
        <w:t xml:space="preserve">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№ 1391, зареєстрованого в Міністерстві юстиції України 14 липня </w:t>
      </w:r>
      <w:r>
        <w:rPr>
          <w:rFonts w:ascii="Times New Roman" w:hAnsi="Times New Roman"/>
          <w:sz w:val="28"/>
          <w:szCs w:val="28"/>
          <w:lang w:val="uk-UA"/>
        </w:rPr>
        <w:t xml:space="preserve">         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2020 року за № </w:t>
      </w:r>
      <w:r w:rsidRPr="00D612E1">
        <w:rPr>
          <w:rFonts w:ascii="Times New Roman" w:hAnsi="Times New Roman"/>
          <w:sz w:val="28"/>
          <w:szCs w:val="28"/>
          <w:lang w:val="uk-UA"/>
        </w:rPr>
        <w:t>659/34942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, на підставі результатів перевірки реєстраційних матеріалів, доданих до заяви про державну реєстрацію лікарського засобу, який підлягає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</w:t>
      </w:r>
      <w:r>
        <w:rPr>
          <w:rFonts w:ascii="Times New Roman" w:hAnsi="Times New Roman"/>
          <w:sz w:val="28"/>
          <w:szCs w:val="28"/>
          <w:lang w:val="uk-UA"/>
        </w:rPr>
        <w:t>купівель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 сфері охорони здоров</w:t>
      </w:r>
      <w:r w:rsidRPr="00DC2088">
        <w:rPr>
          <w:rFonts w:ascii="Times New Roman" w:hAnsi="Times New Roman"/>
          <w:sz w:val="28"/>
          <w:szCs w:val="28"/>
          <w:lang w:val="uk-UA"/>
        </w:rPr>
        <w:t>’я, або спеціалізо</w:t>
      </w:r>
      <w:r>
        <w:rPr>
          <w:rFonts w:ascii="Times New Roman" w:hAnsi="Times New Roman"/>
          <w:sz w:val="28"/>
          <w:szCs w:val="28"/>
          <w:lang w:val="uk-UA"/>
        </w:rPr>
        <w:t>ваною організацією, проведеної Д</w:t>
      </w:r>
      <w:r w:rsidRPr="00DC2088">
        <w:rPr>
          <w:rFonts w:ascii="Times New Roman" w:hAnsi="Times New Roman"/>
          <w:sz w:val="28"/>
          <w:szCs w:val="28"/>
          <w:lang w:val="uk-UA"/>
        </w:rPr>
        <w:t>ержавним підприємством «Державний експертний центр Міністерства охорони здоров’я України», висновк</w:t>
      </w:r>
      <w:r>
        <w:rPr>
          <w:rFonts w:ascii="Times New Roman" w:hAnsi="Times New Roman"/>
          <w:sz w:val="28"/>
          <w:szCs w:val="28"/>
          <w:lang w:val="uk-UA"/>
        </w:rPr>
        <w:t>ів</w:t>
      </w:r>
      <w:r w:rsidRPr="00DC2088">
        <w:rPr>
          <w:rFonts w:ascii="Times New Roman" w:hAnsi="Times New Roman"/>
          <w:sz w:val="28"/>
          <w:szCs w:val="28"/>
          <w:lang w:val="uk-UA"/>
        </w:rPr>
        <w:t xml:space="preserve"> за результатами перевірки реєстраційних матеріалів на їх автентичність на лікарський засіб, який подається на державну реєстрацію з метою його закупівлі 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  <w:lang w:val="uk-UA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  <w:lang w:val="uk-UA"/>
        </w:rPr>
        <w:t xml:space="preserve"> у сфері охорони здоров’я, або спеціаліз</w:t>
      </w:r>
      <w:r>
        <w:rPr>
          <w:rFonts w:ascii="Times New Roman" w:hAnsi="Times New Roman"/>
          <w:sz w:val="28"/>
          <w:szCs w:val="28"/>
          <w:lang w:val="uk-UA"/>
        </w:rPr>
        <w:t>ованою організацією</w:t>
      </w:r>
    </w:p>
    <w:p w:rsidR="00C31FA8" w:rsidRPr="00630D57" w:rsidRDefault="00C31FA8" w:rsidP="00C31FA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31FA8" w:rsidRPr="00DC2088" w:rsidRDefault="00C31FA8" w:rsidP="00C31FA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 w:rsidRPr="00DC2088">
        <w:rPr>
          <w:b/>
          <w:bCs/>
          <w:sz w:val="28"/>
          <w:szCs w:val="28"/>
          <w:lang w:val="uk-UA"/>
        </w:rPr>
        <w:t>НАКАЗУЮ:</w:t>
      </w:r>
    </w:p>
    <w:p w:rsidR="00C31FA8" w:rsidRPr="00630D57" w:rsidRDefault="00C31FA8" w:rsidP="00C31FA8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C31FA8" w:rsidRDefault="00C31FA8" w:rsidP="00C31FA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0D57">
        <w:rPr>
          <w:rFonts w:ascii="Times New Roman" w:hAnsi="Times New Roman"/>
          <w:sz w:val="28"/>
          <w:szCs w:val="28"/>
        </w:rPr>
        <w:t xml:space="preserve">Зареєструвати та </w:t>
      </w:r>
      <w:proofErr w:type="spellStart"/>
      <w:r w:rsidRPr="00630D57">
        <w:rPr>
          <w:rFonts w:ascii="Times New Roman" w:hAnsi="Times New Roman"/>
          <w:sz w:val="28"/>
          <w:szCs w:val="28"/>
        </w:rPr>
        <w:t>внести</w:t>
      </w:r>
      <w:proofErr w:type="spellEnd"/>
      <w:r w:rsidRPr="00630D57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Pr="00630D57">
        <w:rPr>
          <w:rFonts w:ascii="Times New Roman" w:hAnsi="Times New Roman"/>
          <w:noProof/>
          <w:sz w:val="28"/>
          <w:szCs w:val="28"/>
        </w:rPr>
        <w:t xml:space="preserve">лікарські засоби, </w:t>
      </w:r>
      <w:r w:rsidRPr="00630D57">
        <w:rPr>
          <w:rFonts w:ascii="Times New Roman" w:hAnsi="Times New Roman"/>
          <w:sz w:val="28"/>
          <w:szCs w:val="28"/>
        </w:rPr>
        <w:t>які підлягаю закупівлі спеціалізованою організацією, згідно з переліком (додаток</w:t>
      </w:r>
      <w:r>
        <w:rPr>
          <w:rFonts w:ascii="Times New Roman" w:hAnsi="Times New Roman"/>
          <w:sz w:val="28"/>
          <w:szCs w:val="28"/>
        </w:rPr>
        <w:t xml:space="preserve"> 1</w:t>
      </w:r>
      <w:r w:rsidRPr="00630D57">
        <w:rPr>
          <w:rFonts w:ascii="Times New Roman" w:hAnsi="Times New Roman"/>
          <w:sz w:val="28"/>
          <w:szCs w:val="28"/>
        </w:rPr>
        <w:t>).</w:t>
      </w:r>
    </w:p>
    <w:p w:rsidR="00C31FA8" w:rsidRPr="00630D57" w:rsidRDefault="00C31FA8" w:rsidP="00C31FA8">
      <w:pPr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30D57">
        <w:rPr>
          <w:rFonts w:ascii="Times New Roman" w:hAnsi="Times New Roman"/>
          <w:sz w:val="28"/>
          <w:szCs w:val="28"/>
        </w:rPr>
        <w:lastRenderedPageBreak/>
        <w:t xml:space="preserve">Зареєструвати та </w:t>
      </w:r>
      <w:proofErr w:type="spellStart"/>
      <w:r w:rsidRPr="00630D57">
        <w:rPr>
          <w:rFonts w:ascii="Times New Roman" w:hAnsi="Times New Roman"/>
          <w:sz w:val="28"/>
          <w:szCs w:val="28"/>
        </w:rPr>
        <w:t>внести</w:t>
      </w:r>
      <w:proofErr w:type="spellEnd"/>
      <w:r w:rsidRPr="00630D57">
        <w:rPr>
          <w:rFonts w:ascii="Times New Roman" w:hAnsi="Times New Roman"/>
          <w:sz w:val="28"/>
          <w:szCs w:val="28"/>
        </w:rPr>
        <w:t xml:space="preserve"> до Державного реєстру лікарських засобів України </w:t>
      </w:r>
      <w:r w:rsidRPr="00630D57">
        <w:rPr>
          <w:rFonts w:ascii="Times New Roman" w:hAnsi="Times New Roman"/>
          <w:noProof/>
          <w:sz w:val="28"/>
          <w:szCs w:val="28"/>
        </w:rPr>
        <w:t xml:space="preserve">лікарські засоби, </w:t>
      </w:r>
      <w:r w:rsidRPr="00630D57">
        <w:rPr>
          <w:rFonts w:ascii="Times New Roman" w:hAnsi="Times New Roman"/>
          <w:sz w:val="28"/>
          <w:szCs w:val="28"/>
        </w:rPr>
        <w:t xml:space="preserve">які підлягаю закупівлі </w:t>
      </w:r>
      <w:r w:rsidRPr="00DC2088">
        <w:rPr>
          <w:rFonts w:ascii="Times New Roman" w:hAnsi="Times New Roman"/>
          <w:sz w:val="28"/>
          <w:szCs w:val="28"/>
        </w:rPr>
        <w:t xml:space="preserve">особою, уповноваженою на здійснення </w:t>
      </w:r>
      <w:proofErr w:type="spellStart"/>
      <w:r w:rsidRPr="00DC2088">
        <w:rPr>
          <w:rFonts w:ascii="Times New Roman" w:hAnsi="Times New Roman"/>
          <w:sz w:val="28"/>
          <w:szCs w:val="28"/>
        </w:rPr>
        <w:t>закупівель</w:t>
      </w:r>
      <w:proofErr w:type="spellEnd"/>
      <w:r w:rsidRPr="00DC2088">
        <w:rPr>
          <w:rFonts w:ascii="Times New Roman" w:hAnsi="Times New Roman"/>
          <w:sz w:val="28"/>
          <w:szCs w:val="28"/>
        </w:rPr>
        <w:t xml:space="preserve"> у сфері охорони здоров’я</w:t>
      </w:r>
      <w:r w:rsidRPr="00630D57">
        <w:rPr>
          <w:rFonts w:ascii="Times New Roman" w:hAnsi="Times New Roman"/>
          <w:sz w:val="28"/>
          <w:szCs w:val="28"/>
        </w:rPr>
        <w:t>, згідно з переліком (додаток</w:t>
      </w:r>
      <w:r>
        <w:rPr>
          <w:rFonts w:ascii="Times New Roman" w:hAnsi="Times New Roman"/>
          <w:sz w:val="28"/>
          <w:szCs w:val="28"/>
        </w:rPr>
        <w:t xml:space="preserve"> 2</w:t>
      </w:r>
      <w:r w:rsidRPr="00630D57">
        <w:rPr>
          <w:rFonts w:ascii="Times New Roman" w:hAnsi="Times New Roman"/>
          <w:sz w:val="28"/>
          <w:szCs w:val="28"/>
        </w:rPr>
        <w:t>).</w:t>
      </w:r>
    </w:p>
    <w:p w:rsidR="00C31FA8" w:rsidRPr="00630D57" w:rsidRDefault="00C31FA8" w:rsidP="00C31FA8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31FA8" w:rsidRPr="00B72D9C" w:rsidRDefault="00C31FA8" w:rsidP="00C31FA8">
      <w:pPr>
        <w:pStyle w:val="4"/>
        <w:framePr w:hSpace="180" w:wrap="around" w:vAnchor="text" w:hAnchor="page" w:x="12546" w:y="-207"/>
        <w:tabs>
          <w:tab w:val="left" w:pos="12600"/>
        </w:tabs>
        <w:ind w:firstLine="567"/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C31FA8" w:rsidRPr="00B72D9C" w:rsidRDefault="00C31FA8" w:rsidP="00C31FA8">
      <w:pPr>
        <w:pStyle w:val="4"/>
        <w:framePr w:hSpace="180" w:wrap="around" w:vAnchor="text" w:hAnchor="page" w:x="12546" w:y="-207"/>
        <w:tabs>
          <w:tab w:val="left" w:pos="12600"/>
        </w:tabs>
        <w:ind w:firstLine="567"/>
        <w:jc w:val="both"/>
        <w:rPr>
          <w:rFonts w:ascii="Times New Roman" w:hAnsi="Times New Roman"/>
          <w:b w:val="0"/>
          <w:bCs w:val="0"/>
          <w:i/>
          <w:iCs/>
          <w:sz w:val="18"/>
          <w:szCs w:val="18"/>
        </w:rPr>
      </w:pP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наказу Міністерства охорони здоров’я України «</w:t>
      </w:r>
      <w:r w:rsidRPr="000A65BD">
        <w:rPr>
          <w:rFonts w:ascii="Times New Roman" w:hAnsi="Times New Roman"/>
          <w:b w:val="0"/>
          <w:bCs w:val="0"/>
          <w:i/>
          <w:iCs/>
          <w:sz w:val="18"/>
          <w:szCs w:val="18"/>
        </w:rPr>
        <w:t>Про державну реєстрацію лікарських засобів, які підлягають закупівл</w:t>
      </w:r>
      <w:r>
        <w:rPr>
          <w:rFonts w:ascii="Times New Roman" w:hAnsi="Times New Roman"/>
          <w:b w:val="0"/>
          <w:bCs w:val="0"/>
          <w:i/>
          <w:iCs/>
          <w:sz w:val="18"/>
          <w:szCs w:val="18"/>
        </w:rPr>
        <w:t>і спеціалізованою організацією</w:t>
      </w:r>
      <w:r w:rsidRPr="00B72D9C">
        <w:rPr>
          <w:rFonts w:ascii="Times New Roman" w:hAnsi="Times New Roman"/>
          <w:b w:val="0"/>
          <w:bCs w:val="0"/>
          <w:i/>
          <w:iCs/>
          <w:sz w:val="18"/>
          <w:szCs w:val="18"/>
        </w:rPr>
        <w:t>»</w:t>
      </w:r>
    </w:p>
    <w:p w:rsidR="00C31FA8" w:rsidRPr="000947FC" w:rsidRDefault="00C31FA8" w:rsidP="00C31FA8">
      <w:pPr>
        <w:numPr>
          <w:ilvl w:val="0"/>
          <w:numId w:val="1"/>
        </w:numPr>
        <w:tabs>
          <w:tab w:val="left" w:pos="1134"/>
        </w:tabs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0947FC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цього наказу покласти на першого заступника Міністра </w:t>
      </w:r>
      <w:proofErr w:type="spellStart"/>
      <w:r w:rsidRPr="000947FC">
        <w:rPr>
          <w:rFonts w:ascii="Times New Roman" w:hAnsi="Times New Roman"/>
          <w:sz w:val="28"/>
          <w:szCs w:val="28"/>
          <w:lang w:eastAsia="ru-RU"/>
        </w:rPr>
        <w:t>Комаріду</w:t>
      </w:r>
      <w:proofErr w:type="spellEnd"/>
      <w:r w:rsidRPr="000947FC">
        <w:rPr>
          <w:rFonts w:ascii="Times New Roman" w:hAnsi="Times New Roman"/>
          <w:sz w:val="28"/>
          <w:szCs w:val="28"/>
          <w:lang w:eastAsia="ru-RU"/>
        </w:rPr>
        <w:t xml:space="preserve"> О.О.</w:t>
      </w:r>
    </w:p>
    <w:p w:rsidR="00C31FA8" w:rsidRDefault="00C31FA8" w:rsidP="00C31FA8">
      <w:pPr>
        <w:pStyle w:val="31"/>
        <w:tabs>
          <w:tab w:val="left" w:pos="0"/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C31FA8" w:rsidRPr="00566144" w:rsidRDefault="00C31FA8" w:rsidP="00C31FA8">
      <w:pPr>
        <w:pStyle w:val="31"/>
        <w:tabs>
          <w:tab w:val="left" w:pos="0"/>
          <w:tab w:val="left" w:pos="1134"/>
        </w:tabs>
        <w:spacing w:after="0"/>
        <w:ind w:left="0" w:firstLine="567"/>
        <w:jc w:val="both"/>
        <w:rPr>
          <w:sz w:val="28"/>
          <w:szCs w:val="28"/>
          <w:lang w:val="uk-UA"/>
        </w:rPr>
      </w:pPr>
    </w:p>
    <w:p w:rsidR="006974CE" w:rsidRDefault="00C31FA8" w:rsidP="00C31FA8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DC2088">
        <w:rPr>
          <w:rFonts w:ascii="Times New Roman" w:hAnsi="Times New Roman"/>
          <w:b/>
          <w:sz w:val="28"/>
          <w:szCs w:val="28"/>
        </w:rPr>
        <w:t>Міністр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Віктор ЛЯШКО  </w:t>
      </w:r>
    </w:p>
    <w:p w:rsidR="006974CE" w:rsidRDefault="006974CE" w:rsidP="00C31F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974CE" w:rsidSect="00144634">
          <w:headerReference w:type="even" r:id="rId8"/>
          <w:headerReference w:type="default" r:id="rId9"/>
          <w:footerReference w:type="even" r:id="rId10"/>
          <w:headerReference w:type="first" r:id="rId11"/>
          <w:pgSz w:w="11906" w:h="16838"/>
          <w:pgMar w:top="284" w:right="567" w:bottom="1418" w:left="993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6974CE" w:rsidRPr="00EA7761" w:rsidTr="00144634">
        <w:trPr>
          <w:trHeight w:val="1558"/>
        </w:trPr>
        <w:tc>
          <w:tcPr>
            <w:tcW w:w="3827" w:type="dxa"/>
            <w:shd w:val="clear" w:color="auto" w:fill="auto"/>
          </w:tcPr>
          <w:p w:rsidR="006974CE" w:rsidRPr="00EB2425" w:rsidRDefault="006974CE" w:rsidP="00EB2425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</w:pPr>
            <w:bookmarkStart w:id="1" w:name="_Hlk64454507"/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lastRenderedPageBreak/>
              <w:t>Додаток 1</w:t>
            </w:r>
          </w:p>
          <w:p w:rsidR="006974CE" w:rsidRPr="00EB2425" w:rsidRDefault="006974CE" w:rsidP="00EB2425">
            <w:pPr>
              <w:pStyle w:val="4"/>
              <w:tabs>
                <w:tab w:val="left" w:pos="12600"/>
              </w:tabs>
              <w:spacing w:before="0" w:after="0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</w:pPr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>закупівель</w:t>
            </w:r>
            <w:proofErr w:type="spellEnd"/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 xml:space="preserve"> у сфері охорони здоров’я, або спеціалізованою організацією»</w:t>
            </w:r>
          </w:p>
          <w:p w:rsidR="006974CE" w:rsidRPr="00747B3A" w:rsidRDefault="006974CE" w:rsidP="00EB2425">
            <w:pPr>
              <w:pStyle w:val="Normal"/>
              <w:jc w:val="both"/>
              <w:rPr>
                <w:rFonts w:cs="Calibri"/>
              </w:rPr>
            </w:pPr>
            <w:r w:rsidRPr="00EB2425">
              <w:rPr>
                <w:b/>
                <w:sz w:val="18"/>
                <w:szCs w:val="18"/>
              </w:rPr>
              <w:t>від 18.03.2022 року № 499</w:t>
            </w:r>
          </w:p>
        </w:tc>
      </w:tr>
    </w:tbl>
    <w:bookmarkEnd w:id="1"/>
    <w:p w:rsidR="006974CE" w:rsidRDefault="006974CE" w:rsidP="006974C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6974CE" w:rsidRDefault="006974CE" w:rsidP="006974C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6974CE" w:rsidRDefault="006974CE" w:rsidP="006974C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6974CE" w:rsidRDefault="006974CE" w:rsidP="006974CE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6974CE" w:rsidRPr="008553C4" w:rsidRDefault="006974CE" w:rsidP="006974CE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EB2425" w:rsidRDefault="00EB2425" w:rsidP="00EB2425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</w:rPr>
      </w:pPr>
    </w:p>
    <w:p w:rsidR="006974CE" w:rsidRPr="00EB2425" w:rsidRDefault="006974CE" w:rsidP="00EB2425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EB2425">
        <w:rPr>
          <w:rFonts w:ascii="Times New Roman" w:hAnsi="Times New Roman"/>
          <w:i w:val="0"/>
        </w:rPr>
        <w:t>ПЕРЕЛІК</w:t>
      </w:r>
    </w:p>
    <w:p w:rsidR="006974CE" w:rsidRPr="00EB2425" w:rsidRDefault="006974CE" w:rsidP="00EB2425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EB2425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6974CE" w:rsidRPr="00EB2425" w:rsidRDefault="006974CE" w:rsidP="00EB2425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  <w:lang w:val="uk-UA"/>
        </w:rPr>
      </w:pPr>
      <w:r w:rsidRPr="00EB2425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EB2425">
        <w:rPr>
          <w:rFonts w:ascii="Times New Roman" w:hAnsi="Times New Roman"/>
        </w:rPr>
        <w:t xml:space="preserve"> </w:t>
      </w:r>
      <w:r w:rsidRPr="00EB2425">
        <w:rPr>
          <w:rFonts w:ascii="Times New Roman" w:hAnsi="Times New Roman"/>
          <w:caps/>
        </w:rPr>
        <w:t>З МЕТОЮ ЇХ закупівлі спеціалізованою організацією</w:t>
      </w:r>
    </w:p>
    <w:p w:rsidR="006974CE" w:rsidRPr="00EB2425" w:rsidRDefault="006974CE" w:rsidP="00EB2425">
      <w:pPr>
        <w:pStyle w:val="Normal"/>
        <w:jc w:val="center"/>
        <w:rPr>
          <w:sz w:val="16"/>
          <w:szCs w:val="16"/>
        </w:rPr>
      </w:pPr>
    </w:p>
    <w:tbl>
      <w:tblPr>
        <w:tblW w:w="15877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701"/>
        <w:gridCol w:w="1276"/>
        <w:gridCol w:w="992"/>
        <w:gridCol w:w="2693"/>
        <w:gridCol w:w="1418"/>
        <w:gridCol w:w="1701"/>
        <w:gridCol w:w="1134"/>
        <w:gridCol w:w="992"/>
        <w:gridCol w:w="1843"/>
      </w:tblGrid>
      <w:tr w:rsidR="006974CE" w:rsidRPr="00841C44" w:rsidTr="00EB24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6974CE" w:rsidRPr="00841C44" w:rsidRDefault="006974CE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6974CE" w:rsidRPr="00703560" w:rsidTr="00EB2425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CE" w:rsidRPr="00703560" w:rsidRDefault="006974CE" w:rsidP="00EB2425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b/>
                <w:sz w:val="16"/>
                <w:szCs w:val="16"/>
              </w:rPr>
              <w:t>ХАЙРІМОЗ 20 МГ (HYRIMOZ® 20 MG)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розчин для ін'єкцій, 20 мг/ 0,4 мл по 0,4 мл розчину у попередньо наповненому шприці; по 2 попередньо наповнених шприца з захисним пристроєм для запобігання пошкодженню голкою у картонній коробці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>контроль серії (хімічний/фізичний):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Єврофінс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ФАСТ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ГмбХ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>, Німеччина;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>вторинне пакування, контроль/випробування серії (хімічний/фізичний, мікробіологічний-стерильний, мікробіологічний-нестерильний):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Каталент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Індіана, ЛЛС, США;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>контроль/випробування серії (біологічний):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 xml:space="preserve">Лек Фармацевтична компанія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д.д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., підрозділ Виробництва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Менгеш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>, Словенія;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>контроль/випробування серії (хімічний/фізичний, мікробіологічний-стерильний, мікробіологічний-нестерильний):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Майлан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Лабораторіз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Лімітед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>, Індія;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контроль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серії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біологічний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Новартіс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Фарма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АГ,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Швейцарія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контроль (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хімічний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/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фізичний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Новартіс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Фарма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Штайн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АГ,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Швейцарія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контроль/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випробування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серії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хімічний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/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фізичний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біологічний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ППД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Девелопмент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, Л.П., США;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 xml:space="preserve">випуск серії, виробництво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in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bulk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>, контроль/випробування серії (хімічний/фізичний), первинне та вторинне пакування: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Сандоз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ГмбХ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- Виробнича дільниця Асептичні Лікарські Засоби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</w:rPr>
              <w:t>Шафтенау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</w:rPr>
              <w:t xml:space="preserve"> (Асептичні ЛЗШ), Австрія;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контроль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серії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(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мікробіологічний-стерильний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мікробіологічний-нестерильний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Сандоз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ГмбХ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-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Виробнича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дільниця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Біотехнологічні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Лікарські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Субстанції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Кундль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(БТ ЛСК),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Австрія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контроль (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хімічний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/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фізичний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  <w:lang w:val="ru-RU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СГС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Інститут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Фрезеніус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ГмбХ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(СГС),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Німеччина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;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</w:rPr>
              <w:t>контроль серії (біологічний):</w:t>
            </w:r>
          </w:p>
          <w:p w:rsidR="006974CE" w:rsidRPr="001074F4" w:rsidRDefault="006974CE" w:rsidP="00EB2425">
            <w:pPr>
              <w:spacing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СИНЛАБ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Аналітикс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енд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Сервісис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Швейцарія</w:t>
            </w:r>
            <w:proofErr w:type="spellEnd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 xml:space="preserve"> АГ, </w:t>
            </w:r>
            <w:proofErr w:type="spellStart"/>
            <w:r w:rsidRPr="001074F4">
              <w:rPr>
                <w:rFonts w:ascii="Arial" w:hAnsi="Arial" w:cs="Arial"/>
                <w:sz w:val="14"/>
                <w:szCs w:val="14"/>
                <w:lang w:val="ru-RU"/>
              </w:rPr>
              <w:t>Швейцарія</w:t>
            </w:r>
            <w:proofErr w:type="spellEnd"/>
          </w:p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Австрія/</w:t>
            </w:r>
          </w:p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Індія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CE4B01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CE4B01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CE4B01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974CE" w:rsidRPr="001074F4" w:rsidRDefault="006974CE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074F4">
              <w:rPr>
                <w:rFonts w:ascii="Arial" w:hAnsi="Arial" w:cs="Arial"/>
                <w:b/>
                <w:sz w:val="16"/>
                <w:szCs w:val="16"/>
              </w:rPr>
              <w:t>UA/19182/01/01</w:t>
            </w:r>
          </w:p>
        </w:tc>
      </w:tr>
    </w:tbl>
    <w:p w:rsidR="006974CE" w:rsidRPr="00EB2425" w:rsidRDefault="006974CE" w:rsidP="006974CE">
      <w:pPr>
        <w:pStyle w:val="Normal"/>
        <w:rPr>
          <w:rFonts w:ascii="Arial" w:hAnsi="Arial" w:cs="Arial"/>
          <w:sz w:val="16"/>
          <w:szCs w:val="16"/>
        </w:rPr>
      </w:pPr>
    </w:p>
    <w:p w:rsidR="006974CE" w:rsidRPr="00EB2425" w:rsidRDefault="006974CE" w:rsidP="00EB2425">
      <w:pPr>
        <w:pStyle w:val="Normal"/>
        <w:rPr>
          <w:sz w:val="16"/>
          <w:szCs w:val="16"/>
        </w:rPr>
      </w:pPr>
    </w:p>
    <w:p w:rsidR="00EB2425" w:rsidRPr="00EB2425" w:rsidRDefault="00EB2425" w:rsidP="00EB2425">
      <w:pPr>
        <w:pStyle w:val="Normal"/>
        <w:rPr>
          <w:sz w:val="16"/>
          <w:szCs w:val="16"/>
        </w:rPr>
      </w:pPr>
    </w:p>
    <w:p w:rsidR="006974CE" w:rsidRPr="00EB2425" w:rsidRDefault="006974CE" w:rsidP="00EB2425">
      <w:pPr>
        <w:spacing w:after="0"/>
        <w:ind w:firstLine="284"/>
        <w:rPr>
          <w:rFonts w:ascii="Times New Roman" w:hAnsi="Times New Roman"/>
          <w:b/>
          <w:sz w:val="28"/>
          <w:szCs w:val="28"/>
        </w:rPr>
      </w:pPr>
      <w:r w:rsidRPr="00EB2425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6974CE" w:rsidRPr="00EB2425" w:rsidRDefault="006974CE" w:rsidP="00EB2425">
      <w:pPr>
        <w:spacing w:after="0"/>
        <w:ind w:left="284"/>
        <w:rPr>
          <w:rFonts w:ascii="Times New Roman" w:hAnsi="Times New Roman"/>
          <w:b/>
        </w:rPr>
      </w:pPr>
      <w:r w:rsidRPr="00EB2425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EB242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B2425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</w:t>
      </w:r>
      <w:r w:rsidRPr="00EB2425">
        <w:rPr>
          <w:rFonts w:ascii="Times New Roman" w:hAnsi="Times New Roman"/>
          <w:b/>
          <w:sz w:val="28"/>
          <w:szCs w:val="28"/>
        </w:rPr>
        <w:t>Іван ЗАДВОРНИХ</w:t>
      </w:r>
    </w:p>
    <w:p w:rsidR="006974CE" w:rsidRDefault="006974CE" w:rsidP="006974CE"/>
    <w:p w:rsidR="006974CE" w:rsidRDefault="006974CE" w:rsidP="00C31FA8">
      <w:pPr>
        <w:spacing w:after="0" w:line="240" w:lineRule="auto"/>
        <w:rPr>
          <w:rFonts w:ascii="Times New Roman" w:hAnsi="Times New Roman"/>
          <w:b/>
          <w:sz w:val="28"/>
          <w:szCs w:val="28"/>
        </w:rPr>
        <w:sectPr w:rsidR="006974CE" w:rsidSect="006974CE">
          <w:pgSz w:w="16838" w:h="11906" w:orient="landscape"/>
          <w:pgMar w:top="993" w:right="284" w:bottom="567" w:left="1418" w:header="709" w:footer="709" w:gutter="0"/>
          <w:cols w:space="708"/>
          <w:titlePg/>
          <w:docGrid w:linePitch="360"/>
        </w:sectPr>
      </w:pPr>
    </w:p>
    <w:tbl>
      <w:tblPr>
        <w:tblpPr w:leftFromText="180" w:rightFromText="180" w:vertAnchor="text" w:horzAnchor="page" w:tblpX="12546" w:tblpY="-207"/>
        <w:tblW w:w="0" w:type="auto"/>
        <w:tblLook w:val="04A0" w:firstRow="1" w:lastRow="0" w:firstColumn="1" w:lastColumn="0" w:noHBand="0" w:noVBand="1"/>
      </w:tblPr>
      <w:tblGrid>
        <w:gridCol w:w="3827"/>
      </w:tblGrid>
      <w:tr w:rsidR="00BA27DB" w:rsidRPr="00EA7761" w:rsidTr="00144634">
        <w:tc>
          <w:tcPr>
            <w:tcW w:w="3827" w:type="dxa"/>
            <w:shd w:val="clear" w:color="auto" w:fill="auto"/>
          </w:tcPr>
          <w:p w:rsidR="00BA27DB" w:rsidRPr="00EB2425" w:rsidRDefault="00BA27DB" w:rsidP="00EB2425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</w:pPr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>Додаток 2</w:t>
            </w:r>
          </w:p>
          <w:p w:rsidR="00BA27DB" w:rsidRPr="00EB2425" w:rsidRDefault="00BA27DB" w:rsidP="00EB2425">
            <w:pPr>
              <w:pStyle w:val="4"/>
              <w:tabs>
                <w:tab w:val="left" w:pos="12600"/>
              </w:tabs>
              <w:spacing w:before="0" w:after="0" w:line="240" w:lineRule="auto"/>
              <w:jc w:val="both"/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</w:pPr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 xml:space="preserve">до наказу Міністерства охорони здоров’я України «Про державну реєстрацію лікарських засобів, які підлягають закупівлі особою, уповноваженою на здійснення </w:t>
            </w:r>
            <w:proofErr w:type="spellStart"/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>закупівель</w:t>
            </w:r>
            <w:proofErr w:type="spellEnd"/>
            <w:r w:rsidRPr="00EB2425">
              <w:rPr>
                <w:rFonts w:ascii="Times New Roman" w:hAnsi="Times New Roman"/>
                <w:bCs w:val="0"/>
                <w:iCs/>
                <w:sz w:val="18"/>
                <w:szCs w:val="18"/>
                <w:lang w:val="uk-UA" w:eastAsia="uk-UA"/>
              </w:rPr>
              <w:t xml:space="preserve"> у сфері охорони здоров’я, або спеціалізованою організацією»</w:t>
            </w:r>
          </w:p>
          <w:p w:rsidR="00BA27DB" w:rsidRPr="00747B3A" w:rsidRDefault="00BA27DB" w:rsidP="00EB2425">
            <w:pPr>
              <w:pStyle w:val="Normal"/>
              <w:jc w:val="both"/>
              <w:rPr>
                <w:rFonts w:cs="Calibri"/>
              </w:rPr>
            </w:pPr>
            <w:r w:rsidRPr="00EB2425">
              <w:rPr>
                <w:b/>
                <w:sz w:val="18"/>
                <w:szCs w:val="18"/>
              </w:rPr>
              <w:t>від 18.03.2022 року № 499</w:t>
            </w:r>
          </w:p>
        </w:tc>
      </w:tr>
    </w:tbl>
    <w:p w:rsidR="00BA27DB" w:rsidRDefault="00BA27DB" w:rsidP="00BA27DB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  <w:r w:rsidRPr="00052485">
        <w:rPr>
          <w:rFonts w:cs="Arial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</w:t>
      </w:r>
      <w:r w:rsidRPr="00052485">
        <w:rPr>
          <w:rFonts w:ascii="Times New Roman" w:hAnsi="Times New Roman"/>
          <w:b w:val="0"/>
          <w:bCs w:val="0"/>
          <w:sz w:val="18"/>
          <w:szCs w:val="18"/>
        </w:rPr>
        <w:t xml:space="preserve">            </w:t>
      </w:r>
    </w:p>
    <w:p w:rsidR="00BA27DB" w:rsidRDefault="00BA27DB" w:rsidP="00BA27DB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BA27DB" w:rsidRDefault="00BA27DB" w:rsidP="00BA27DB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BA27DB" w:rsidRDefault="00BA27DB" w:rsidP="00BA27DB">
      <w:pPr>
        <w:pStyle w:val="4"/>
        <w:tabs>
          <w:tab w:val="left" w:pos="12600"/>
        </w:tabs>
        <w:rPr>
          <w:rFonts w:ascii="Times New Roman" w:hAnsi="Times New Roman"/>
          <w:b w:val="0"/>
          <w:bCs w:val="0"/>
          <w:sz w:val="18"/>
          <w:szCs w:val="18"/>
        </w:rPr>
      </w:pPr>
    </w:p>
    <w:p w:rsidR="00BA27DB" w:rsidRPr="008553C4" w:rsidRDefault="00BA27DB" w:rsidP="00BA27DB">
      <w:pPr>
        <w:tabs>
          <w:tab w:val="left" w:pos="12600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</w:t>
      </w:r>
      <w:r w:rsidRPr="008553C4">
        <w:rPr>
          <w:sz w:val="18"/>
          <w:szCs w:val="18"/>
        </w:rPr>
        <w:t xml:space="preserve">                                                                                                                                                     </w:t>
      </w:r>
    </w:p>
    <w:p w:rsidR="00BA27DB" w:rsidRPr="00EB2425" w:rsidRDefault="00BA27DB" w:rsidP="00EB2425">
      <w:pPr>
        <w:pStyle w:val="2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i w:val="0"/>
          <w:caps/>
        </w:rPr>
      </w:pPr>
      <w:r w:rsidRPr="00EB2425">
        <w:rPr>
          <w:rFonts w:ascii="Times New Roman" w:hAnsi="Times New Roman"/>
          <w:i w:val="0"/>
        </w:rPr>
        <w:t>ПЕРЕЛІК</w:t>
      </w:r>
    </w:p>
    <w:p w:rsidR="00BA27DB" w:rsidRPr="00EB2425" w:rsidRDefault="00BA27DB" w:rsidP="00EB2425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</w:rPr>
      </w:pPr>
      <w:r w:rsidRPr="00EB2425">
        <w:rPr>
          <w:rFonts w:ascii="Times New Roman" w:hAnsi="Times New Roman"/>
          <w:caps/>
        </w:rPr>
        <w:t>зареєстрованих ЛІКАРСЬКИХ ЗАСОБІВ (медичних імунобіологічних препаратів),</w:t>
      </w:r>
    </w:p>
    <w:p w:rsidR="00BA27DB" w:rsidRPr="00EB2425" w:rsidRDefault="00BA27DB" w:rsidP="00EB2425">
      <w:pPr>
        <w:pStyle w:val="4"/>
        <w:tabs>
          <w:tab w:val="left" w:pos="12600"/>
        </w:tabs>
        <w:spacing w:before="0" w:after="0" w:line="240" w:lineRule="auto"/>
        <w:jc w:val="center"/>
        <w:rPr>
          <w:rFonts w:ascii="Times New Roman" w:hAnsi="Times New Roman"/>
          <w:caps/>
          <w:lang w:val="uk-UA"/>
        </w:rPr>
      </w:pPr>
      <w:r w:rsidRPr="00EB2425">
        <w:rPr>
          <w:rFonts w:ascii="Times New Roman" w:hAnsi="Times New Roman"/>
          <w:caps/>
        </w:rPr>
        <w:t>які вносяться до державного реєстру лікарських засобів УКРАЇНи</w:t>
      </w:r>
      <w:r w:rsidRPr="00EB2425">
        <w:rPr>
          <w:rFonts w:ascii="Times New Roman" w:hAnsi="Times New Roman"/>
        </w:rPr>
        <w:t xml:space="preserve"> </w:t>
      </w:r>
      <w:r w:rsidRPr="00EB2425">
        <w:rPr>
          <w:rFonts w:ascii="Times New Roman" w:hAnsi="Times New Roman"/>
          <w:caps/>
        </w:rPr>
        <w:t>З МЕТОЮ ЇХ закупівлі особою, уповноваженою на здійснення закупівель у сфері охорони здоров’я</w:t>
      </w:r>
    </w:p>
    <w:p w:rsidR="00BA27DB" w:rsidRDefault="00BA27DB" w:rsidP="00EB2425">
      <w:pPr>
        <w:pStyle w:val="Normal"/>
        <w:jc w:val="center"/>
        <w:rPr>
          <w:sz w:val="16"/>
          <w:szCs w:val="16"/>
        </w:rPr>
      </w:pPr>
    </w:p>
    <w:p w:rsidR="00EB2425" w:rsidRPr="00EB2425" w:rsidRDefault="00EB2425" w:rsidP="00EB2425">
      <w:pPr>
        <w:pStyle w:val="Normal"/>
        <w:jc w:val="center"/>
        <w:rPr>
          <w:sz w:val="16"/>
          <w:szCs w:val="16"/>
        </w:rPr>
      </w:pPr>
    </w:p>
    <w:tbl>
      <w:tblPr>
        <w:tblW w:w="16019" w:type="dxa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419"/>
        <w:gridCol w:w="1842"/>
        <w:gridCol w:w="1276"/>
        <w:gridCol w:w="1134"/>
        <w:gridCol w:w="2835"/>
        <w:gridCol w:w="1559"/>
        <w:gridCol w:w="1418"/>
        <w:gridCol w:w="1134"/>
        <w:gridCol w:w="992"/>
        <w:gridCol w:w="1843"/>
      </w:tblGrid>
      <w:tr w:rsidR="00BA27DB" w:rsidRPr="00841C44" w:rsidTr="00EB2425">
        <w:trPr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ind w:left="-110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ind w:left="-108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BA27DB" w:rsidRPr="00841C44" w:rsidRDefault="00BA27DB" w:rsidP="00EB2425">
            <w:pPr>
              <w:tabs>
                <w:tab w:val="left" w:pos="12600"/>
              </w:tabs>
              <w:spacing w:line="240" w:lineRule="aut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1C44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BA27DB" w:rsidRPr="00703560" w:rsidTr="00EB2425">
        <w:trPr>
          <w:trHeight w:val="786"/>
        </w:trPr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DB" w:rsidRPr="00703560" w:rsidRDefault="00BA27DB" w:rsidP="00EB2425">
            <w:pPr>
              <w:pStyle w:val="msolistparagraph0"/>
              <w:numPr>
                <w:ilvl w:val="0"/>
                <w:numId w:val="2"/>
              </w:numPr>
              <w:tabs>
                <w:tab w:val="left" w:pos="12600"/>
              </w:tabs>
              <w:ind w:left="360"/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A27DB" w:rsidRDefault="00BA27DB" w:rsidP="00EB242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sz w:val="16"/>
                <w:szCs w:val="16"/>
              </w:rPr>
              <w:t>ХАЙРІМОЗ 20 МГ</w:t>
            </w:r>
          </w:p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b/>
                <w:sz w:val="16"/>
                <w:szCs w:val="16"/>
              </w:rPr>
              <w:t>(HYRIMOZ® 20 MG)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ін'єкцій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, 20 мг/ 0,4 мл по 0,4 мл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розчину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наповненому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шприці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; по 2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попередньо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наповнених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шприца з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захисним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пристроєм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для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запобігання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пошкодженню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голкою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у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картонній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коробці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</w:pP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Сандоз</w:t>
            </w:r>
            <w:proofErr w:type="spellEnd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F000B3">
              <w:rPr>
                <w:rFonts w:ascii="Arial" w:hAnsi="Arial" w:cs="Arial"/>
                <w:color w:val="000000"/>
                <w:sz w:val="16"/>
                <w:szCs w:val="16"/>
                <w:lang w:val="ru-RU"/>
              </w:rPr>
              <w:t>ГмбХ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(хімічний/фізичний):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Єврофінс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ФАСТ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, Німеччина;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вторинне пакування, контроль/випробування серії (хімічний/фізичний, мікробіологічний-стерильний, мікробіологічний-нестерильний):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Каталент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Індіана, ЛЛС, США;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 (біологічний):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Лек Фармацевтична компанія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д.д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., підрозділ Виробництва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Менгеш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, Словенія;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 (хімічний/фізичний, мікробіологічний-стерильний, мікробіологічний-нестерильний):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Майлан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Лабораторіз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Лімітед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, Індія;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(біологічний):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 (хімічний/фізичний):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Новартіс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Фарма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Штайн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АГ, Швейцарія;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контроль/випробування серії (хімічний/фізичний, біологічний):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ППД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Девелопмент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, Л.П. США;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випуск серії, виробництво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in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bulk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, контроль/випробування серії (хімічний/фізичний), первинне та вторинне пакування: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Виробнича дільниця Асептичні Лікарські Засоби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Шафтенау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(Асептичні ЛЗШ), Австрія;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(мікробіологічний-стерильний, мікробіологічний-нестерильний):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Сандоз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- Виробнича дільниця Біотехнологічні Лікарські Субстанції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Кундль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(БТ ЛСК), Австрія;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 (хімічний/фізичний):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СГС Інститут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Фрезеніус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ГмбХ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(СГС), Німеччина;</w:t>
            </w:r>
          </w:p>
          <w:p w:rsidR="00BA27DB" w:rsidRPr="003E1D39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контроль серії (біологічний):</w:t>
            </w:r>
          </w:p>
          <w:p w:rsidR="00BA27DB" w:rsidRPr="00F000B3" w:rsidRDefault="00BA27DB" w:rsidP="00EB2425">
            <w:pPr>
              <w:spacing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СИНЛАБ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Аналітикс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енд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>Сервісис</w:t>
            </w:r>
            <w:proofErr w:type="spellEnd"/>
            <w:r w:rsidRPr="003E1D39">
              <w:rPr>
                <w:rFonts w:ascii="Arial" w:hAnsi="Arial" w:cs="Arial"/>
                <w:color w:val="000000"/>
                <w:sz w:val="16"/>
                <w:szCs w:val="16"/>
              </w:rPr>
              <w:t xml:space="preserve"> Швейцарія АГ, 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Німеччина/</w:t>
            </w:r>
          </w:p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США/</w:t>
            </w:r>
          </w:p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Індія/</w:t>
            </w:r>
          </w:p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Швейцарія/</w:t>
            </w:r>
          </w:p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Словенія/</w:t>
            </w:r>
          </w:p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Австрія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color w:val="000000"/>
                <w:sz w:val="16"/>
                <w:szCs w:val="16"/>
              </w:rPr>
              <w:t>реєстрація до 31 березня 2022 року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color w:val="000000"/>
                <w:sz w:val="16"/>
                <w:szCs w:val="16"/>
              </w:rPr>
            </w:pPr>
            <w:r w:rsidRPr="00F000B3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F000B3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F000B3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A27DB" w:rsidRPr="003E1D39" w:rsidRDefault="00BA27DB" w:rsidP="00EB2425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1D39">
              <w:rPr>
                <w:rFonts w:ascii="Arial" w:hAnsi="Arial" w:cs="Arial"/>
                <w:b/>
                <w:sz w:val="16"/>
                <w:szCs w:val="16"/>
              </w:rPr>
              <w:t>UA/19181/01/01</w:t>
            </w:r>
          </w:p>
        </w:tc>
      </w:tr>
    </w:tbl>
    <w:p w:rsidR="00BA27DB" w:rsidRPr="00EB2425" w:rsidRDefault="00BA27DB" w:rsidP="00EB2425">
      <w:pPr>
        <w:pStyle w:val="Normal"/>
        <w:rPr>
          <w:sz w:val="16"/>
          <w:szCs w:val="16"/>
        </w:rPr>
      </w:pPr>
    </w:p>
    <w:p w:rsidR="00BA27DB" w:rsidRPr="00EB2425" w:rsidRDefault="00BA27DB" w:rsidP="00EB2425">
      <w:pPr>
        <w:pStyle w:val="Normal"/>
        <w:rPr>
          <w:sz w:val="16"/>
          <w:szCs w:val="16"/>
        </w:rPr>
      </w:pPr>
    </w:p>
    <w:p w:rsidR="00BA27DB" w:rsidRPr="00EB2425" w:rsidRDefault="00BA27DB" w:rsidP="00EB2425">
      <w:pPr>
        <w:pStyle w:val="Normal"/>
        <w:rPr>
          <w:sz w:val="16"/>
          <w:szCs w:val="16"/>
        </w:rPr>
      </w:pPr>
    </w:p>
    <w:p w:rsidR="00BA27DB" w:rsidRPr="00EB2425" w:rsidRDefault="00BA27DB" w:rsidP="00EB2425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EB2425">
        <w:rPr>
          <w:rFonts w:ascii="Times New Roman" w:hAnsi="Times New Roman"/>
          <w:b/>
          <w:sz w:val="28"/>
          <w:szCs w:val="28"/>
        </w:rPr>
        <w:t xml:space="preserve">В.о. Генерального директора </w:t>
      </w:r>
    </w:p>
    <w:p w:rsidR="00BA27DB" w:rsidRPr="00EB2425" w:rsidRDefault="00BA27DB" w:rsidP="00EB2425">
      <w:pPr>
        <w:spacing w:after="0" w:line="240" w:lineRule="auto"/>
        <w:ind w:left="284"/>
        <w:rPr>
          <w:rFonts w:ascii="Times New Roman" w:hAnsi="Times New Roman"/>
          <w:b/>
        </w:rPr>
      </w:pPr>
      <w:r w:rsidRPr="00EB2425">
        <w:rPr>
          <w:rFonts w:ascii="Times New Roman" w:hAnsi="Times New Roman"/>
          <w:b/>
          <w:sz w:val="28"/>
          <w:szCs w:val="28"/>
        </w:rPr>
        <w:t>Директорату фармацевтичного забезпечення</w:t>
      </w:r>
      <w:r w:rsidRPr="00EB242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B2425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</w:t>
      </w:r>
      <w:r w:rsidRPr="00EB2425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EB2425">
        <w:rPr>
          <w:rFonts w:ascii="Times New Roman" w:hAnsi="Times New Roman"/>
          <w:b/>
          <w:sz w:val="28"/>
          <w:szCs w:val="28"/>
          <w:lang w:eastAsia="ru-RU"/>
        </w:rPr>
        <w:tab/>
        <w:t xml:space="preserve">                                                     </w:t>
      </w:r>
      <w:r w:rsidRPr="00EB2425">
        <w:rPr>
          <w:rFonts w:ascii="Times New Roman" w:hAnsi="Times New Roman"/>
          <w:b/>
          <w:sz w:val="28"/>
          <w:szCs w:val="28"/>
        </w:rPr>
        <w:t>Іван ЗАДВОРНИХ</w:t>
      </w:r>
    </w:p>
    <w:p w:rsidR="00612784" w:rsidRPr="00EB2425" w:rsidRDefault="00612784" w:rsidP="00EB242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sectPr w:rsidR="00612784" w:rsidRPr="00EB2425" w:rsidSect="006974CE">
      <w:pgSz w:w="16838" w:h="11906" w:orient="landscape"/>
      <w:pgMar w:top="993" w:right="284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4634" w:rsidRDefault="00144634">
      <w:pPr>
        <w:spacing w:after="0" w:line="240" w:lineRule="auto"/>
      </w:pPr>
      <w:r>
        <w:separator/>
      </w:r>
    </w:p>
  </w:endnote>
  <w:endnote w:type="continuationSeparator" w:id="0">
    <w:p w:rsidR="00144634" w:rsidRDefault="001446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4" w:rsidRDefault="00C31FA8" w:rsidP="0014463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4634" w:rsidRDefault="0014463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4634" w:rsidRDefault="00144634">
      <w:pPr>
        <w:spacing w:after="0" w:line="240" w:lineRule="auto"/>
      </w:pPr>
      <w:r>
        <w:separator/>
      </w:r>
    </w:p>
  </w:footnote>
  <w:footnote w:type="continuationSeparator" w:id="0">
    <w:p w:rsidR="00144634" w:rsidRDefault="001446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4" w:rsidRDefault="00C31FA8" w:rsidP="0014463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44634" w:rsidRDefault="0014463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4" w:rsidRDefault="00144634" w:rsidP="00144634">
    <w:pPr>
      <w:pStyle w:val="a3"/>
      <w:rPr>
        <w:rStyle w:val="a7"/>
      </w:rPr>
    </w:pPr>
  </w:p>
  <w:p w:rsidR="00144634" w:rsidRPr="00A93A6A" w:rsidRDefault="00144634" w:rsidP="00144634">
    <w:pPr>
      <w:pStyle w:val="a3"/>
      <w:rPr>
        <w:rStyle w:val="a7"/>
        <w:lang w:val="uk-UA"/>
      </w:rPr>
    </w:pPr>
  </w:p>
  <w:p w:rsidR="00144634" w:rsidRPr="00163210" w:rsidRDefault="00144634" w:rsidP="00144634">
    <w:pPr>
      <w:pStyle w:val="a3"/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634" w:rsidRPr="00DC2158" w:rsidRDefault="00C31FA8" w:rsidP="00144634">
    <w:pPr>
      <w:pStyle w:val="a3"/>
      <w:tabs>
        <w:tab w:val="clear" w:pos="4819"/>
        <w:tab w:val="clear" w:pos="9639"/>
        <w:tab w:val="left" w:pos="4110"/>
      </w:tabs>
      <w:rPr>
        <w:lang w:val="uk-UA"/>
      </w:rPr>
    </w:pPr>
    <w:r>
      <w:tab/>
    </w:r>
    <w:r>
      <w:rPr>
        <w:lang w:val="uk-UA"/>
      </w:rPr>
      <w:t xml:space="preserve">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1362D9"/>
    <w:multiLevelType w:val="hybridMultilevel"/>
    <w:tmpl w:val="EB0E1B96"/>
    <w:lvl w:ilvl="0" w:tplc="B93269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9" w:hanging="360"/>
      </w:pPr>
    </w:lvl>
    <w:lvl w:ilvl="2" w:tplc="0422001B" w:tentative="1">
      <w:start w:val="1"/>
      <w:numFmt w:val="lowerRoman"/>
      <w:lvlText w:val="%3."/>
      <w:lvlJc w:val="right"/>
      <w:pPr>
        <w:ind w:left="2389" w:hanging="180"/>
      </w:pPr>
    </w:lvl>
    <w:lvl w:ilvl="3" w:tplc="0422000F" w:tentative="1">
      <w:start w:val="1"/>
      <w:numFmt w:val="decimal"/>
      <w:lvlText w:val="%4."/>
      <w:lvlJc w:val="left"/>
      <w:pPr>
        <w:ind w:left="3109" w:hanging="360"/>
      </w:pPr>
    </w:lvl>
    <w:lvl w:ilvl="4" w:tplc="04220019" w:tentative="1">
      <w:start w:val="1"/>
      <w:numFmt w:val="lowerLetter"/>
      <w:lvlText w:val="%5."/>
      <w:lvlJc w:val="left"/>
      <w:pPr>
        <w:ind w:left="3829" w:hanging="360"/>
      </w:pPr>
    </w:lvl>
    <w:lvl w:ilvl="5" w:tplc="0422001B" w:tentative="1">
      <w:start w:val="1"/>
      <w:numFmt w:val="lowerRoman"/>
      <w:lvlText w:val="%6."/>
      <w:lvlJc w:val="right"/>
      <w:pPr>
        <w:ind w:left="4549" w:hanging="180"/>
      </w:pPr>
    </w:lvl>
    <w:lvl w:ilvl="6" w:tplc="0422000F" w:tentative="1">
      <w:start w:val="1"/>
      <w:numFmt w:val="decimal"/>
      <w:lvlText w:val="%7."/>
      <w:lvlJc w:val="left"/>
      <w:pPr>
        <w:ind w:left="5269" w:hanging="360"/>
      </w:pPr>
    </w:lvl>
    <w:lvl w:ilvl="7" w:tplc="04220019" w:tentative="1">
      <w:start w:val="1"/>
      <w:numFmt w:val="lowerLetter"/>
      <w:lvlText w:val="%8."/>
      <w:lvlJc w:val="left"/>
      <w:pPr>
        <w:ind w:left="5989" w:hanging="360"/>
      </w:pPr>
    </w:lvl>
    <w:lvl w:ilvl="8" w:tplc="0422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1" w15:restartNumberingAfterBreak="0">
    <w:nsid w:val="72AD2BA3"/>
    <w:multiLevelType w:val="hybridMultilevel"/>
    <w:tmpl w:val="A0DCAB96"/>
    <w:lvl w:ilvl="0" w:tplc="33B4C70E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1FA8"/>
    <w:rsid w:val="00144634"/>
    <w:rsid w:val="002E1B0D"/>
    <w:rsid w:val="00612784"/>
    <w:rsid w:val="006974CE"/>
    <w:rsid w:val="009F07E9"/>
    <w:rsid w:val="00AE127C"/>
    <w:rsid w:val="00BA27DB"/>
    <w:rsid w:val="00C31FA8"/>
    <w:rsid w:val="00EB2425"/>
    <w:rsid w:val="00F6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E9636A77-4C8F-4A1B-929D-CE01069F5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FA8"/>
    <w:pPr>
      <w:spacing w:after="200" w:line="276" w:lineRule="auto"/>
    </w:pPr>
    <w:rPr>
      <w:sz w:val="22"/>
      <w:szCs w:val="22"/>
      <w:lang w:val="uk-UA"/>
    </w:rPr>
  </w:style>
  <w:style w:type="paragraph" w:styleId="1">
    <w:name w:val="heading 1"/>
    <w:basedOn w:val="a"/>
    <w:next w:val="a"/>
    <w:link w:val="10"/>
    <w:qFormat/>
    <w:rsid w:val="00C31FA8"/>
    <w:pPr>
      <w:keepNext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6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974CE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31FA8"/>
    <w:pPr>
      <w:keepNext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1FA8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31FA8"/>
    <w:rPr>
      <w:rFonts w:ascii="Times New Roman" w:eastAsia="Times New Roman" w:hAnsi="Times New Roman" w:cs="Times New Roman"/>
      <w:b/>
      <w:sz w:val="26"/>
      <w:szCs w:val="20"/>
      <w:lang w:val="x-none" w:eastAsia="ru-RU"/>
    </w:rPr>
  </w:style>
  <w:style w:type="character" w:customStyle="1" w:styleId="30">
    <w:name w:val="Заголовок 3 Знак"/>
    <w:link w:val="3"/>
    <w:rsid w:val="00C31FA8"/>
    <w:rPr>
      <w:rFonts w:ascii="Arial" w:eastAsia="Times New Roman" w:hAnsi="Arial" w:cs="Times New Roman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link w:val="4"/>
    <w:uiPriority w:val="9"/>
    <w:semiHidden/>
    <w:rsid w:val="00C31FA8"/>
    <w:rPr>
      <w:rFonts w:ascii="Calibri" w:eastAsia="Times New Roman" w:hAnsi="Calibri" w:cs="Times New Roman"/>
      <w:b/>
      <w:bCs/>
      <w:sz w:val="28"/>
      <w:szCs w:val="28"/>
      <w:lang w:val="x-none"/>
    </w:rPr>
  </w:style>
  <w:style w:type="paragraph" w:styleId="HTML">
    <w:name w:val="HTML Preformatted"/>
    <w:basedOn w:val="a"/>
    <w:link w:val="HTML0"/>
    <w:unhideWhenUsed/>
    <w:rsid w:val="00C31FA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color w:val="000000"/>
      <w:sz w:val="21"/>
      <w:szCs w:val="21"/>
      <w:lang w:val="ru-RU" w:eastAsia="ru-RU"/>
    </w:rPr>
  </w:style>
  <w:style w:type="character" w:customStyle="1" w:styleId="HTML0">
    <w:name w:val="Стандартный HTML Знак"/>
    <w:link w:val="HTML"/>
    <w:rsid w:val="00C31FA8"/>
    <w:rPr>
      <w:rFonts w:ascii="Courier New" w:eastAsia="Calibri" w:hAnsi="Courier New" w:cs="Times New Roman"/>
      <w:color w:val="000000"/>
      <w:sz w:val="21"/>
      <w:szCs w:val="21"/>
      <w:lang w:val="ru-RU" w:eastAsia="ru-RU"/>
    </w:rPr>
  </w:style>
  <w:style w:type="paragraph" w:styleId="31">
    <w:name w:val="Body Text Indent 3"/>
    <w:basedOn w:val="a"/>
    <w:link w:val="32"/>
    <w:unhideWhenUsed/>
    <w:rsid w:val="00C31FA8"/>
    <w:pPr>
      <w:spacing w:after="120" w:line="240" w:lineRule="auto"/>
      <w:ind w:left="283"/>
    </w:pPr>
    <w:rPr>
      <w:rFonts w:ascii="Times New Roman" w:hAnsi="Times New Roman"/>
      <w:sz w:val="16"/>
      <w:szCs w:val="16"/>
      <w:lang w:val="ru-RU" w:eastAsia="ru-RU"/>
    </w:rPr>
  </w:style>
  <w:style w:type="character" w:customStyle="1" w:styleId="32">
    <w:name w:val="Основной текст с отступом 3 Знак"/>
    <w:link w:val="31"/>
    <w:rsid w:val="00C31FA8"/>
    <w:rPr>
      <w:rFonts w:ascii="Times New Roman" w:eastAsia="Calibri" w:hAnsi="Times New Roman" w:cs="Times New Roman"/>
      <w:sz w:val="16"/>
      <w:szCs w:val="16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C31FA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4">
    <w:name w:val="Верхний колонтитул Знак"/>
    <w:link w:val="a3"/>
    <w:uiPriority w:val="99"/>
    <w:rsid w:val="00C31FA8"/>
    <w:rPr>
      <w:rFonts w:ascii="Times New Roman" w:eastAsia="Calibri" w:hAnsi="Times New Roman" w:cs="Times New Roman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31FA8"/>
    <w:pPr>
      <w:tabs>
        <w:tab w:val="center" w:pos="4819"/>
        <w:tab w:val="right" w:pos="9639"/>
      </w:tabs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6">
    <w:name w:val="Нижний колонтитул Знак"/>
    <w:link w:val="a5"/>
    <w:uiPriority w:val="99"/>
    <w:rsid w:val="00C31FA8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7">
    <w:name w:val="page number"/>
    <w:rsid w:val="00C31FA8"/>
  </w:style>
  <w:style w:type="paragraph" w:styleId="a8">
    <w:name w:val="Balloon Text"/>
    <w:basedOn w:val="a"/>
    <w:link w:val="a9"/>
    <w:uiPriority w:val="99"/>
    <w:semiHidden/>
    <w:unhideWhenUsed/>
    <w:rsid w:val="00C31F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C31FA8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link w:val="2"/>
    <w:uiPriority w:val="9"/>
    <w:semiHidden/>
    <w:rsid w:val="006974CE"/>
    <w:rPr>
      <w:rFonts w:ascii="Cambria" w:eastAsia="Times New Roman" w:hAnsi="Cambria" w:cs="Times New Roman"/>
      <w:b/>
      <w:bCs/>
      <w:i/>
      <w:iCs/>
      <w:sz w:val="28"/>
      <w:szCs w:val="28"/>
      <w:lang w:val="uk-UA"/>
    </w:rPr>
  </w:style>
  <w:style w:type="paragraph" w:customStyle="1" w:styleId="Normal">
    <w:name w:val="Normal"/>
    <w:aliases w:val="Звичайний,Обычный11,Обычный1"/>
    <w:basedOn w:val="a"/>
    <w:qFormat/>
    <w:rsid w:val="006974C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rsid w:val="006974CE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1253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Байдер</dc:creator>
  <cp:keywords/>
  <cp:lastModifiedBy>Космінський Роман Віталійович</cp:lastModifiedBy>
  <cp:revision>2</cp:revision>
  <dcterms:created xsi:type="dcterms:W3CDTF">2022-03-25T06:37:00Z</dcterms:created>
  <dcterms:modified xsi:type="dcterms:W3CDTF">2022-03-25T06:37:00Z</dcterms:modified>
</cp:coreProperties>
</file>