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F3436">
        <w:tc>
          <w:tcPr>
            <w:tcW w:w="3271" w:type="dxa"/>
          </w:tcPr>
          <w:p w:rsidR="002F3436" w:rsidRDefault="002F3436" w:rsidP="00A93E77">
            <w:pPr>
              <w:rPr>
                <w:sz w:val="28"/>
                <w:szCs w:val="28"/>
                <w:lang w:val="uk-UA"/>
              </w:rPr>
            </w:pPr>
          </w:p>
          <w:p w:rsidR="004E5F69" w:rsidRPr="002F3436" w:rsidRDefault="002F3436" w:rsidP="00A93E77">
            <w:pPr>
              <w:rPr>
                <w:sz w:val="28"/>
                <w:szCs w:val="28"/>
                <w:u w:val="single"/>
                <w:lang w:val="uk-UA"/>
              </w:rPr>
            </w:pPr>
            <w:r w:rsidRPr="002F3436">
              <w:rPr>
                <w:sz w:val="28"/>
                <w:szCs w:val="28"/>
                <w:u w:val="single"/>
                <w:lang w:val="uk-UA"/>
              </w:rPr>
              <w:t>27 березня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r w:rsidR="002F3436">
              <w:rPr>
                <w:color w:val="FFFFFF"/>
                <w:sz w:val="28"/>
                <w:szCs w:val="28"/>
                <w:lang w:val="uk-UA"/>
              </w:rPr>
              <w:t>27</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F3436" w:rsidRDefault="002F3436" w:rsidP="00A93E77">
            <w:pPr>
              <w:ind w:firstLine="72"/>
              <w:jc w:val="center"/>
              <w:rPr>
                <w:sz w:val="28"/>
                <w:szCs w:val="28"/>
                <w:lang w:val="uk-UA"/>
              </w:rPr>
            </w:pPr>
          </w:p>
          <w:p w:rsidR="004E5F69" w:rsidRDefault="002F3436" w:rsidP="00A93E77">
            <w:pPr>
              <w:ind w:firstLine="72"/>
              <w:jc w:val="center"/>
              <w:rPr>
                <w:sz w:val="28"/>
                <w:szCs w:val="28"/>
                <w:lang w:val="uk-UA"/>
              </w:rPr>
            </w:pPr>
            <w:r>
              <w:rPr>
                <w:sz w:val="28"/>
                <w:szCs w:val="28"/>
                <w:lang w:val="uk-UA"/>
              </w:rPr>
              <w:t xml:space="preserve">                                              № </w:t>
            </w:r>
            <w:r w:rsidRPr="002F3436">
              <w:rPr>
                <w:sz w:val="28"/>
                <w:szCs w:val="28"/>
                <w:u w:val="single"/>
                <w:lang w:val="uk-UA"/>
              </w:rPr>
              <w:t>536</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Pr="00E37B30" w:rsidRDefault="001B70E5" w:rsidP="000D32CE">
      <w:pPr>
        <w:tabs>
          <w:tab w:val="left" w:pos="720"/>
          <w:tab w:val="left" w:pos="1080"/>
        </w:tabs>
        <w:ind w:firstLine="720"/>
        <w:jc w:val="both"/>
        <w:rPr>
          <w:sz w:val="28"/>
          <w:szCs w:val="28"/>
          <w:lang w:val="uk-UA"/>
        </w:rPr>
      </w:pPr>
      <w:r>
        <w:rPr>
          <w:sz w:val="28"/>
          <w:szCs w:val="28"/>
          <w:lang w:val="uk-UA"/>
        </w:rPr>
        <w:t>4</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0D32CE">
        <w:rPr>
          <w:sz w:val="28"/>
          <w:szCs w:val="28"/>
          <w:lang w:val="uk-UA"/>
        </w:rPr>
        <w:t>покласти на першого заступника Міністра Комаріду О.О</w:t>
      </w:r>
      <w:r w:rsidR="000D32CE"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4B587B" w:rsidRDefault="004B587B" w:rsidP="00FC73F7">
      <w:pPr>
        <w:pStyle w:val="31"/>
        <w:spacing w:after="0"/>
        <w:ind w:left="0"/>
        <w:rPr>
          <w:b/>
          <w:sz w:val="28"/>
          <w:szCs w:val="28"/>
          <w:lang w:val="uk-UA"/>
        </w:rPr>
        <w:sectPr w:rsidR="004B587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B587B" w:rsidRPr="007E524B" w:rsidTr="002B3B55">
        <w:tc>
          <w:tcPr>
            <w:tcW w:w="3825" w:type="dxa"/>
            <w:hideMark/>
          </w:tcPr>
          <w:p w:rsidR="004B587B" w:rsidRPr="00DB3C48" w:rsidRDefault="004B587B" w:rsidP="009C026C">
            <w:pPr>
              <w:pStyle w:val="4"/>
              <w:tabs>
                <w:tab w:val="left" w:pos="12600"/>
              </w:tabs>
              <w:spacing w:before="0" w:after="0"/>
              <w:rPr>
                <w:rFonts w:cs="Arial"/>
                <w:sz w:val="18"/>
                <w:szCs w:val="18"/>
              </w:rPr>
            </w:pPr>
            <w:r w:rsidRPr="00DB3C48">
              <w:rPr>
                <w:rFonts w:cs="Arial"/>
                <w:sz w:val="18"/>
                <w:szCs w:val="18"/>
              </w:rPr>
              <w:lastRenderedPageBreak/>
              <w:t>Додаток 1</w:t>
            </w:r>
          </w:p>
          <w:p w:rsidR="004B587B" w:rsidRPr="00DB3C48" w:rsidRDefault="004B587B" w:rsidP="009C026C">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4B587B" w:rsidRPr="00DB3C48" w:rsidRDefault="004B587B" w:rsidP="009C026C">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B587B" w:rsidRPr="00473550" w:rsidRDefault="004B587B" w:rsidP="009C026C">
            <w:pPr>
              <w:pStyle w:val="4"/>
              <w:tabs>
                <w:tab w:val="left" w:pos="12600"/>
              </w:tabs>
              <w:spacing w:before="0" w:after="0"/>
              <w:rPr>
                <w:rFonts w:cs="Arial"/>
                <w:sz w:val="18"/>
                <w:szCs w:val="18"/>
                <w:u w:val="single"/>
              </w:rPr>
            </w:pPr>
            <w:r w:rsidRPr="00473550">
              <w:rPr>
                <w:rFonts w:cs="Arial"/>
                <w:bCs w:val="0"/>
                <w:iCs/>
                <w:sz w:val="18"/>
                <w:szCs w:val="18"/>
                <w:u w:val="single"/>
              </w:rPr>
              <w:t xml:space="preserve">від 27 березня 2022 року №_536   </w:t>
            </w:r>
          </w:p>
        </w:tc>
      </w:tr>
    </w:tbl>
    <w:p w:rsidR="004B587B" w:rsidRPr="007E524B" w:rsidRDefault="004B587B" w:rsidP="004B587B">
      <w:pPr>
        <w:tabs>
          <w:tab w:val="left" w:pos="12600"/>
        </w:tabs>
        <w:jc w:val="center"/>
        <w:rPr>
          <w:rFonts w:ascii="Arial" w:hAnsi="Arial" w:cs="Arial"/>
          <w:b/>
          <w:sz w:val="18"/>
          <w:szCs w:val="18"/>
          <w:lang w:val="en-US"/>
        </w:rPr>
      </w:pPr>
    </w:p>
    <w:p w:rsidR="004B587B" w:rsidRPr="00EF2F51" w:rsidRDefault="004B587B" w:rsidP="004B587B">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4B587B" w:rsidRDefault="004B587B" w:rsidP="004B587B">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B587B" w:rsidRPr="00EC18F3" w:rsidRDefault="004B587B" w:rsidP="004B587B">
      <w:pPr>
        <w:tabs>
          <w:tab w:val="left" w:pos="12600"/>
        </w:tabs>
        <w:jc w:val="center"/>
        <w:rPr>
          <w:rFonts w:ascii="Arial" w:hAnsi="Arial" w:cs="Arial"/>
          <w:b/>
          <w:sz w:val="28"/>
          <w:szCs w:val="28"/>
        </w:rPr>
      </w:pPr>
    </w:p>
    <w:tbl>
      <w:tblPr>
        <w:tblW w:w="16020"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276"/>
        <w:gridCol w:w="1134"/>
        <w:gridCol w:w="2410"/>
        <w:gridCol w:w="1134"/>
        <w:gridCol w:w="2977"/>
        <w:gridCol w:w="1134"/>
        <w:gridCol w:w="851"/>
        <w:gridCol w:w="1560"/>
      </w:tblGrid>
      <w:tr w:rsidR="004B587B" w:rsidRPr="00EF2F51" w:rsidTr="009C026C">
        <w:trPr>
          <w:tblHeader/>
        </w:trPr>
        <w:tc>
          <w:tcPr>
            <w:tcW w:w="568" w:type="dxa"/>
            <w:tcBorders>
              <w:top w:val="single" w:sz="4" w:space="0" w:color="000000"/>
            </w:tcBorders>
            <w:shd w:val="clear" w:color="auto" w:fill="D9D9D9"/>
            <w:hideMark/>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 п/п</w:t>
            </w:r>
          </w:p>
        </w:tc>
        <w:tc>
          <w:tcPr>
            <w:tcW w:w="1275"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Заявник</w:t>
            </w:r>
          </w:p>
        </w:tc>
        <w:tc>
          <w:tcPr>
            <w:tcW w:w="1134"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Країна заявника</w:t>
            </w:r>
          </w:p>
        </w:tc>
        <w:tc>
          <w:tcPr>
            <w:tcW w:w="2410"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Виробник</w:t>
            </w:r>
          </w:p>
        </w:tc>
        <w:tc>
          <w:tcPr>
            <w:tcW w:w="1134"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Країна виробника</w:t>
            </w:r>
          </w:p>
        </w:tc>
        <w:tc>
          <w:tcPr>
            <w:tcW w:w="2977"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b/>
                <w:i/>
                <w:sz w:val="16"/>
                <w:szCs w:val="16"/>
              </w:rPr>
              <w:t>Умови відпуску</w:t>
            </w:r>
          </w:p>
        </w:tc>
        <w:tc>
          <w:tcPr>
            <w:tcW w:w="851" w:type="dxa"/>
            <w:tcBorders>
              <w:top w:val="single" w:sz="4" w:space="0" w:color="000000"/>
            </w:tcBorders>
            <w:shd w:val="clear" w:color="auto" w:fill="D9D9D9"/>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b/>
                <w:i/>
                <w:sz w:val="16"/>
                <w:szCs w:val="16"/>
              </w:rPr>
              <w:t>Рекламування</w:t>
            </w:r>
          </w:p>
        </w:tc>
        <w:tc>
          <w:tcPr>
            <w:tcW w:w="1560" w:type="dxa"/>
            <w:tcBorders>
              <w:top w:val="single" w:sz="4" w:space="0" w:color="000000"/>
            </w:tcBorders>
            <w:shd w:val="clear" w:color="auto" w:fill="D9D9D9"/>
          </w:tcPr>
          <w:p w:rsidR="004B587B" w:rsidRPr="008E56E5" w:rsidRDefault="004B587B" w:rsidP="002B3B55">
            <w:pPr>
              <w:tabs>
                <w:tab w:val="left" w:pos="12600"/>
              </w:tabs>
              <w:jc w:val="center"/>
              <w:rPr>
                <w:rFonts w:ascii="Arial" w:hAnsi="Arial" w:cs="Arial"/>
                <w:b/>
                <w:i/>
                <w:sz w:val="16"/>
                <w:szCs w:val="16"/>
              </w:rPr>
            </w:pPr>
            <w:r w:rsidRPr="008E56E5">
              <w:rPr>
                <w:rFonts w:ascii="Arial" w:hAnsi="Arial" w:cs="Arial"/>
                <w:b/>
                <w:i/>
                <w:sz w:val="16"/>
                <w:szCs w:val="16"/>
              </w:rPr>
              <w:t>Номер реєстраційного посвідчення</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БОНАБЛАСТ</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 xml:space="preserve">концентрат для розчину для інфузій 1 мг/мл по 6 мл у флаконі; по 1 флакону в картонній пачці </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ФАРМАТЕН СА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UA/19287/01/01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ВАЛМІСАР А 160/10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UA/19273/01/03</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ВАЛМІСАР А 160/5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UA/19273/01/02</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ВАЛМІСАР А 80/5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UA/19273/01/01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ВЕЛПАНАТ</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таблетки, вкриті плівковою оболонкою по 400 мг/100 мг; по 28 таблеток, вкритих плівковою оболонкою, у флаконі. По 1 флакону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Натко Фарма Лімітед</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UA/19285/01/01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ГАЗАЛІЯ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таблетки по 1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UA/19274/01/01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виробництво за повним циклом:</w:t>
            </w:r>
            <w:r w:rsidRPr="008E56E5">
              <w:rPr>
                <w:rFonts w:ascii="Arial" w:hAnsi="Arial" w:cs="Arial"/>
                <w:sz w:val="16"/>
                <w:szCs w:val="16"/>
              </w:rPr>
              <w:br/>
              <w:t>Меркле ГмбХ, Німеччина;</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вторинна упаковка:</w:t>
            </w:r>
            <w:r w:rsidRPr="008E56E5">
              <w:rPr>
                <w:rFonts w:ascii="Arial" w:hAnsi="Arial" w:cs="Arial"/>
                <w:sz w:val="16"/>
                <w:szCs w:val="16"/>
              </w:rPr>
              <w:br/>
              <w:t>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UA/19275/01/01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ЕВЕРОНАТ</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таблетки по 5 мг; по 7 таблеток у блістері; по 4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UA/19288/01/01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ЕВЕРОНАТ</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таблетки по 10 мг; по 7 таблеток у блістері; по 4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UA/19288/01/02</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таблетки, по 32 мг/25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UA/19276/01/01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КСЕРОГЕЛЬ ПОЛІМЕТИЛСИЛОКСАНУ, ГІДРОФІЛІЗОВАНИЙ ІНУЛІНОМ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порошок (субстанція) в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UA/19277/01/01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sz w:val="16"/>
                <w:szCs w:val="16"/>
              </w:rPr>
            </w:pPr>
            <w:r w:rsidRPr="008E56E5">
              <w:rPr>
                <w:rFonts w:ascii="Arial" w:hAnsi="Arial" w:cs="Arial"/>
                <w:b/>
                <w:sz w:val="16"/>
                <w:szCs w:val="16"/>
              </w:rPr>
              <w:t>НАЛБУФІН-ЗДРАВО ІН'ЄКЦІЇ</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розчин для ін'єкцій, 10 мг/мл, по 1 мл або по 2 мл в ампулі, по 5 ампул у блістері, по 1 або по 2 блістери в картонній пачці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ТОВ "ЗДРАВО"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Приватне акціонерне товариство "Лекхім-Харків"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UA/19284/01/01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НАТДАК</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таблетки, вкриті плівковою оболонкою по 30 мг; по 28 таблеток у флаконі, по 1 флакону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протягом 6 місяців після закінчення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UA/19286/01/01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НАТДАК</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таблетки, вкриті плівковою оболонкою по 60 мг; по 28 таблеток у флаконі, по 1 флакону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протягом 6 місяців після закінчення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UA/19286/01/02</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ОМЛОС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капсули, тверді, 0,5 мг/0,4 мг; капсули у поліетиленовому флаконі з кришкою, яка містить осушувач силікагель, по 1 флакону, який містить 30 капсул,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виробництво проміжної продукції (дутастерід капсули желатинові м'які),та готового лікарського засобу; первинна та вторинна упаковка, контроль якості (хімічний/фізичний):</w:t>
            </w:r>
            <w:r w:rsidRPr="008E56E5">
              <w:rPr>
                <w:rFonts w:ascii="Arial" w:hAnsi="Arial" w:cs="Arial"/>
                <w:sz w:val="16"/>
                <w:szCs w:val="16"/>
              </w:rPr>
              <w:br/>
              <w:t>ЛАБОРАТОРІОС ЛЕОН ФАРМА С.А., Іспанiя;</w:t>
            </w:r>
            <w:r w:rsidRPr="008E56E5">
              <w:rPr>
                <w:rFonts w:ascii="Arial" w:hAnsi="Arial" w:cs="Arial"/>
                <w:sz w:val="16"/>
                <w:szCs w:val="16"/>
              </w:rPr>
              <w:br/>
              <w:t>вторинне пакування (альтернативний виробник):</w:t>
            </w:r>
            <w:r w:rsidRPr="008E56E5">
              <w:rPr>
                <w:rFonts w:ascii="Arial" w:hAnsi="Arial" w:cs="Arial"/>
                <w:sz w:val="16"/>
                <w:szCs w:val="16"/>
              </w:rPr>
              <w:br/>
              <w:t>Атдіс Фарма, С.Л., Іспанiя;</w:t>
            </w:r>
            <w:r w:rsidRPr="008E56E5">
              <w:rPr>
                <w:rFonts w:ascii="Arial" w:hAnsi="Arial" w:cs="Arial"/>
                <w:sz w:val="16"/>
                <w:szCs w:val="16"/>
              </w:rPr>
              <w:br/>
              <w:t>контроль якості (мікробіологічна чистота):</w:t>
            </w:r>
            <w:r w:rsidRPr="008E56E5">
              <w:rPr>
                <w:rFonts w:ascii="Arial" w:hAnsi="Arial" w:cs="Arial"/>
                <w:sz w:val="16"/>
                <w:szCs w:val="16"/>
              </w:rPr>
              <w:br/>
              <w:t>ЛАБОРАТОРІО ЕЧЕВАРНЕ, С.А., Іспанiя;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випуск серії:</w:t>
            </w:r>
            <w:r w:rsidRPr="008E56E5">
              <w:rPr>
                <w:rFonts w:ascii="Arial" w:hAnsi="Arial" w:cs="Arial"/>
                <w:sz w:val="16"/>
                <w:szCs w:val="16"/>
              </w:rPr>
              <w:br/>
              <w:t>АЛКАЛОЇД АД Скоп'є, Республіка Північна Македонія;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вироництво проміжної продукції (пелети тамсулозину з модифікованим вивільненням):</w:t>
            </w:r>
            <w:r w:rsidRPr="008E56E5">
              <w:rPr>
                <w:rFonts w:ascii="Arial" w:hAnsi="Arial" w:cs="Arial"/>
                <w:sz w:val="16"/>
                <w:szCs w:val="16"/>
              </w:rPr>
              <w:br/>
              <w:t>К.О. Зентіва С.А., Румунiя;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вторинне пакування (альтернативний виробник):</w:t>
            </w:r>
            <w:r w:rsidRPr="008E56E5">
              <w:rPr>
                <w:rFonts w:ascii="Arial" w:hAnsi="Arial" w:cs="Arial"/>
                <w:sz w:val="16"/>
                <w:szCs w:val="16"/>
              </w:rPr>
              <w:br/>
              <w:t>МАНАНТІАЛ ІНТЕГРА, С.Л.Ю., Іспанiя;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контроль якості (хімічний/фізичний, мікробіологічна чистота):</w:t>
            </w:r>
            <w:r w:rsidRPr="008E56E5">
              <w:rPr>
                <w:rFonts w:ascii="Arial" w:hAnsi="Arial" w:cs="Arial"/>
                <w:sz w:val="16"/>
                <w:szCs w:val="16"/>
              </w:rPr>
              <w:br/>
              <w:t>НЕТФАРМАЛАБ КОНСАЛТІНГ СЕРВІСЕС, Іспанiя;</w:t>
            </w:r>
            <w:r w:rsidRPr="008E56E5">
              <w:rPr>
                <w:rFonts w:ascii="Arial" w:hAnsi="Arial" w:cs="Arial"/>
                <w:sz w:val="16"/>
                <w:szCs w:val="16"/>
              </w:rPr>
              <w:br/>
              <w:t>контроль якості (хімічний/фізичний):</w:t>
            </w:r>
            <w:r w:rsidRPr="008E56E5">
              <w:rPr>
                <w:rFonts w:ascii="Arial" w:hAnsi="Arial" w:cs="Arial"/>
                <w:sz w:val="16"/>
                <w:szCs w:val="16"/>
              </w:rPr>
              <w:br/>
              <w:t>ФУНДАСІОН ТЕКНАЛІЯ РЕЗЕАРЧ ЕНД ІННОВАТЬОН ,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UA/19278/01/01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ПОМАЛІД</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капсули тверді, по 1 мг, по 21 капсулі у флаконі, по 1 флакону в картонній коробці або по 7 капсул у блістері, по 3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UA/19289/01/01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ПОМАЛІД</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капсули тверді, по 2 мг, по 21 капсулі у флаконі, по 1 флакону в картонній коробці або по 7 капсул у блістері, по 3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UA/19289/01/02</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ПОМАЛІД</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капсули тверді, по 3 мг, по 21 капсулі у флаконі, по 1 флакону в картонній коробці або по 7 капсул у блістері, по 3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UA/19289/01/03</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ПОМАЛІД</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капсули тверді, по 4 мг, по 21 капсулі у флаконі, по 1 флакону в картонній коробці або по 7 капсул у блістері, по 3 блістери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Натко Фарма Лімітед </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заявника щодо надання копії документа, що підтверджує відповідність виробництва ЛЗ вимогам НВП, а також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UA/19289/01/04</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ПРОЖЕСТИН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гель 10 мг/г, по 40 г у тубах №1 у пачці, по 80 г у тубі №1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UA/19279/01/01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UA/19280/01/01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UA/19280/01/02</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UA/19280/01/03</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b/>
                <w:sz w:val="16"/>
                <w:szCs w:val="16"/>
              </w:rPr>
              <w:t>РІЛАСТ 500</w:t>
            </w:r>
          </w:p>
          <w:p w:rsidR="004B587B" w:rsidRPr="008E56E5" w:rsidRDefault="004B587B" w:rsidP="002B3B55">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rPr>
                <w:rFonts w:ascii="Arial" w:hAnsi="Arial" w:cs="Arial"/>
                <w:b/>
                <w:bCs/>
                <w:i/>
                <w:caps/>
                <w:sz w:val="16"/>
                <w:szCs w:val="16"/>
              </w:rPr>
            </w:pPr>
            <w:r w:rsidRPr="008E56E5">
              <w:rPr>
                <w:rFonts w:ascii="Arial" w:hAnsi="Arial" w:cs="Arial"/>
                <w:sz w:val="16"/>
                <w:szCs w:val="16"/>
              </w:rPr>
              <w:t>концентрат для розчину для інфузій, 500 мг/50 мл, у флаконах, по 1 флакону в картонній коробці</w:t>
            </w:r>
          </w:p>
          <w:p w:rsidR="004B587B" w:rsidRPr="008E56E5" w:rsidRDefault="004B587B" w:rsidP="002B3B55">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 xml:space="preserve">ГЕТЕРО БІОФАРМА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jc w:val="center"/>
              <w:rPr>
                <w:rFonts w:ascii="Arial" w:hAnsi="Arial" w:cs="Arial"/>
                <w:sz w:val="16"/>
                <w:szCs w:val="16"/>
              </w:rPr>
            </w:pPr>
            <w:r w:rsidRPr="008E56E5">
              <w:rPr>
                <w:rFonts w:ascii="Arial" w:hAnsi="Arial" w:cs="Arial"/>
                <w:sz w:val="16"/>
                <w:szCs w:val="16"/>
              </w:rPr>
              <w:t>Гетеро Біофарма Лімітед</w:t>
            </w:r>
          </w:p>
          <w:p w:rsidR="004B587B" w:rsidRPr="008E56E5" w:rsidRDefault="004B587B" w:rsidP="002B3B55">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 xml:space="preserve">реєстрація на 5 років </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(з врахуванням гарантійного листа щодо надання матеріалів досліджень з якості, ефективності та безпеки протягом 6 місяців після закінчення воєнного стану, беручи критичність потреби для пацієнтів в умовах воєнного стану)</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UA/19290/01/01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капсули тверді по 75 мг/5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UA/19281/01/01</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капсули тверді по 75 мг/10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UA/19281/01/02</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капсули тверді по 75 мг/20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UA/19281/01/03</w:t>
            </w:r>
          </w:p>
        </w:tc>
      </w:tr>
      <w:tr w:rsidR="004B587B" w:rsidRPr="00EE4593"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sz w:val="16"/>
                <w:szCs w:val="16"/>
              </w:rPr>
            </w:pPr>
            <w:r w:rsidRPr="00960077">
              <w:rPr>
                <w:rFonts w:ascii="Arial" w:hAnsi="Arial" w:cs="Arial"/>
                <w:sz w:val="16"/>
                <w:szCs w:val="16"/>
              </w:rPr>
              <w:t>UA/19282/01/01</w:t>
            </w:r>
          </w:p>
        </w:tc>
      </w:tr>
      <w:tr w:rsidR="004B587B" w:rsidRPr="00B87415" w:rsidTr="009C026C">
        <w:tc>
          <w:tcPr>
            <w:tcW w:w="568" w:type="dxa"/>
            <w:tcBorders>
              <w:top w:val="single" w:sz="4" w:space="0" w:color="auto"/>
              <w:left w:val="single" w:sz="4" w:space="0" w:color="000000"/>
              <w:bottom w:val="single" w:sz="4" w:space="0" w:color="auto"/>
              <w:right w:val="single" w:sz="4" w:space="0" w:color="000000"/>
            </w:tcBorders>
            <w:shd w:val="clear" w:color="auto" w:fill="auto"/>
          </w:tcPr>
          <w:p w:rsidR="004B587B" w:rsidRPr="008E56E5" w:rsidRDefault="004B587B" w:rsidP="004B587B">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587B" w:rsidRPr="008E56E5" w:rsidRDefault="004B587B" w:rsidP="002B3B55">
            <w:pPr>
              <w:tabs>
                <w:tab w:val="left" w:pos="12600"/>
              </w:tabs>
              <w:rPr>
                <w:rFonts w:ascii="Arial" w:hAnsi="Arial" w:cs="Arial"/>
                <w:b/>
                <w:i/>
                <w:sz w:val="16"/>
                <w:szCs w:val="16"/>
              </w:rPr>
            </w:pPr>
            <w:r w:rsidRPr="008E56E5">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rPr>
                <w:rFonts w:ascii="Arial" w:hAnsi="Arial" w:cs="Arial"/>
                <w:sz w:val="16"/>
                <w:szCs w:val="16"/>
              </w:rPr>
            </w:pPr>
            <w:r w:rsidRPr="008E56E5">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Іспанія/</w:t>
            </w:r>
          </w:p>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2B3B55">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B587B" w:rsidRPr="008E56E5" w:rsidRDefault="004B587B" w:rsidP="009C026C">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B587B" w:rsidRPr="00960077" w:rsidRDefault="004B587B" w:rsidP="002B3B55">
            <w:pPr>
              <w:tabs>
                <w:tab w:val="left" w:pos="12600"/>
              </w:tabs>
              <w:jc w:val="center"/>
              <w:rPr>
                <w:rFonts w:ascii="Arial" w:hAnsi="Arial" w:cs="Arial"/>
                <w:bCs/>
                <w:sz w:val="16"/>
                <w:szCs w:val="16"/>
              </w:rPr>
            </w:pPr>
            <w:r w:rsidRPr="00960077">
              <w:rPr>
                <w:rFonts w:ascii="Arial" w:hAnsi="Arial" w:cs="Arial"/>
                <w:bCs/>
                <w:sz w:val="16"/>
                <w:szCs w:val="16"/>
              </w:rPr>
              <w:t>UA/19283/01/01</w:t>
            </w:r>
          </w:p>
        </w:tc>
      </w:tr>
    </w:tbl>
    <w:p w:rsidR="004B587B" w:rsidRPr="00EF2F51" w:rsidRDefault="004B587B" w:rsidP="004B587B">
      <w:pPr>
        <w:ind w:right="20"/>
        <w:rPr>
          <w:b/>
          <w:bCs/>
          <w:sz w:val="26"/>
          <w:szCs w:val="26"/>
        </w:rPr>
      </w:pPr>
    </w:p>
    <w:tbl>
      <w:tblPr>
        <w:tblW w:w="0" w:type="auto"/>
        <w:tblLook w:val="04A0" w:firstRow="1" w:lastRow="0" w:firstColumn="1" w:lastColumn="0" w:noHBand="0" w:noVBand="1"/>
      </w:tblPr>
      <w:tblGrid>
        <w:gridCol w:w="7421"/>
        <w:gridCol w:w="7422"/>
      </w:tblGrid>
      <w:tr w:rsidR="004B587B" w:rsidRPr="00EF2F51" w:rsidTr="002B3B55">
        <w:tc>
          <w:tcPr>
            <w:tcW w:w="7421" w:type="dxa"/>
          </w:tcPr>
          <w:p w:rsidR="004B587B" w:rsidRPr="00EF2F51" w:rsidRDefault="004B587B" w:rsidP="002B3B55">
            <w:pPr>
              <w:ind w:right="20"/>
              <w:rPr>
                <w:rFonts w:ascii="Arial" w:hAnsi="Arial" w:cs="Arial"/>
                <w:sz w:val="28"/>
                <w:szCs w:val="28"/>
              </w:rPr>
            </w:pPr>
            <w:r w:rsidRPr="00EF2F51">
              <w:rPr>
                <w:b/>
                <w:bCs/>
                <w:sz w:val="28"/>
                <w:szCs w:val="28"/>
              </w:rPr>
              <w:t xml:space="preserve">В.о. Генерального директора Директорату </w:t>
            </w:r>
          </w:p>
          <w:p w:rsidR="004B587B" w:rsidRPr="00EF2F51" w:rsidRDefault="004B587B" w:rsidP="002B3B55">
            <w:pPr>
              <w:ind w:right="20"/>
              <w:rPr>
                <w:b/>
                <w:bCs/>
                <w:sz w:val="28"/>
                <w:szCs w:val="28"/>
              </w:rPr>
            </w:pPr>
            <w:r w:rsidRPr="00EF2F51">
              <w:rPr>
                <w:b/>
                <w:bCs/>
                <w:sz w:val="28"/>
                <w:szCs w:val="28"/>
              </w:rPr>
              <w:t>фармацевтичного забезпечення</w:t>
            </w:r>
          </w:p>
        </w:tc>
        <w:tc>
          <w:tcPr>
            <w:tcW w:w="7422" w:type="dxa"/>
          </w:tcPr>
          <w:p w:rsidR="004B587B" w:rsidRPr="00EF2F51" w:rsidRDefault="004B587B" w:rsidP="002B3B55">
            <w:pPr>
              <w:rPr>
                <w:b/>
                <w:bCs/>
                <w:sz w:val="28"/>
                <w:szCs w:val="28"/>
              </w:rPr>
            </w:pPr>
          </w:p>
          <w:p w:rsidR="004B587B" w:rsidRPr="00EF2F51" w:rsidRDefault="004B587B" w:rsidP="002B3B55">
            <w:pPr>
              <w:jc w:val="right"/>
              <w:rPr>
                <w:b/>
                <w:bCs/>
                <w:sz w:val="28"/>
                <w:szCs w:val="28"/>
              </w:rPr>
            </w:pPr>
            <w:r w:rsidRPr="00EF2F51">
              <w:rPr>
                <w:b/>
                <w:bCs/>
                <w:sz w:val="28"/>
                <w:szCs w:val="28"/>
              </w:rPr>
              <w:t>Іван ЗАДВОРНИХ</w:t>
            </w:r>
          </w:p>
        </w:tc>
      </w:tr>
    </w:tbl>
    <w:p w:rsidR="004B587B" w:rsidRPr="00EF2F51" w:rsidRDefault="004B587B" w:rsidP="004B587B">
      <w:pPr>
        <w:tabs>
          <w:tab w:val="left" w:pos="12600"/>
        </w:tabs>
        <w:rPr>
          <w:rFonts w:ascii="Arial" w:hAnsi="Arial" w:cs="Arial"/>
          <w:b/>
        </w:rPr>
        <w:sectPr w:rsidR="004B587B" w:rsidRPr="00EF2F51" w:rsidSect="002B3B55">
          <w:headerReference w:type="default" r:id="rId13"/>
          <w:footerReference w:type="default" r:id="rId14"/>
          <w:pgSz w:w="16838" w:h="11906" w:orient="landscape"/>
          <w:pgMar w:top="1135" w:right="850" w:bottom="850" w:left="850" w:header="680" w:footer="283"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9264E" w:rsidRPr="00EF2F51" w:rsidTr="002B3B55">
        <w:tc>
          <w:tcPr>
            <w:tcW w:w="3828" w:type="dxa"/>
          </w:tcPr>
          <w:p w:rsidR="0019264E" w:rsidRPr="00342850" w:rsidRDefault="0019264E" w:rsidP="00EC5798">
            <w:pPr>
              <w:pStyle w:val="4"/>
              <w:tabs>
                <w:tab w:val="left" w:pos="12600"/>
              </w:tabs>
              <w:spacing w:before="0" w:after="0"/>
              <w:rPr>
                <w:rFonts w:cs="Arial"/>
                <w:bCs w:val="0"/>
                <w:iCs/>
                <w:sz w:val="18"/>
                <w:szCs w:val="18"/>
              </w:rPr>
            </w:pPr>
            <w:r w:rsidRPr="00342850">
              <w:rPr>
                <w:rFonts w:cs="Arial"/>
                <w:bCs w:val="0"/>
                <w:iCs/>
                <w:sz w:val="18"/>
                <w:szCs w:val="18"/>
              </w:rPr>
              <w:t>Додаток 2</w:t>
            </w:r>
          </w:p>
          <w:p w:rsidR="0019264E" w:rsidRPr="00342850" w:rsidRDefault="0019264E" w:rsidP="00EC5798">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19264E" w:rsidRPr="00342850" w:rsidRDefault="0019264E" w:rsidP="00EC5798">
            <w:pPr>
              <w:pStyle w:val="4"/>
              <w:tabs>
                <w:tab w:val="left" w:pos="12600"/>
              </w:tabs>
              <w:spacing w:before="0" w:after="0"/>
              <w:rPr>
                <w:rFonts w:cs="Arial"/>
                <w:bCs w:val="0"/>
                <w:iCs/>
                <w:sz w:val="18"/>
                <w:szCs w:val="18"/>
              </w:rPr>
            </w:pPr>
            <w:r w:rsidRPr="00342850">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9264E" w:rsidRPr="003F27D1" w:rsidRDefault="0019264E" w:rsidP="00EC5798">
            <w:pPr>
              <w:tabs>
                <w:tab w:val="left" w:pos="12600"/>
              </w:tabs>
              <w:rPr>
                <w:rFonts w:ascii="Arial" w:hAnsi="Arial" w:cs="Arial"/>
                <w:b/>
                <w:sz w:val="18"/>
                <w:szCs w:val="18"/>
                <w:u w:val="single"/>
              </w:rPr>
            </w:pPr>
            <w:r w:rsidRPr="003F27D1">
              <w:rPr>
                <w:rFonts w:ascii="Arial" w:hAnsi="Arial" w:cs="Arial"/>
                <w:b/>
                <w:bCs/>
                <w:iCs/>
                <w:sz w:val="18"/>
                <w:szCs w:val="18"/>
                <w:u w:val="single"/>
              </w:rPr>
              <w:t xml:space="preserve">від 27 березня 2022 року №_536   </w:t>
            </w:r>
          </w:p>
        </w:tc>
      </w:tr>
    </w:tbl>
    <w:p w:rsidR="0019264E" w:rsidRDefault="0019264E" w:rsidP="0019264E">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19264E" w:rsidRPr="001A2957" w:rsidRDefault="0019264E" w:rsidP="0019264E">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9264E" w:rsidRPr="00285277" w:rsidRDefault="0019264E" w:rsidP="0019264E">
      <w:pPr>
        <w:tabs>
          <w:tab w:val="left" w:pos="12600"/>
        </w:tabs>
        <w:jc w:val="center"/>
        <w:rPr>
          <w:rFonts w:ascii="Arial" w:hAnsi="Arial" w:cs="Arial"/>
          <w:b/>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560"/>
        <w:gridCol w:w="1134"/>
        <w:gridCol w:w="3827"/>
        <w:gridCol w:w="991"/>
        <w:gridCol w:w="851"/>
        <w:gridCol w:w="1559"/>
      </w:tblGrid>
      <w:tr w:rsidR="0019264E" w:rsidRPr="00EF2F51" w:rsidTr="00EC5798">
        <w:trPr>
          <w:tblHeader/>
        </w:trPr>
        <w:tc>
          <w:tcPr>
            <w:tcW w:w="568" w:type="dxa"/>
            <w:tcBorders>
              <w:top w:val="single" w:sz="4" w:space="0" w:color="000000"/>
            </w:tcBorders>
            <w:shd w:val="clear" w:color="auto" w:fill="D9D9D9"/>
            <w:hideMark/>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276"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1134"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560"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3827"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851"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Рекламування</w:t>
            </w:r>
          </w:p>
        </w:tc>
        <w:tc>
          <w:tcPr>
            <w:tcW w:w="1559" w:type="dxa"/>
            <w:tcBorders>
              <w:top w:val="single" w:sz="4" w:space="0" w:color="000000"/>
            </w:tcBorders>
            <w:shd w:val="clear" w:color="auto" w:fill="D9D9D9"/>
          </w:tcPr>
          <w:p w:rsidR="0019264E" w:rsidRPr="00EF2F51" w:rsidRDefault="0019264E" w:rsidP="002B3B55">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АНДИФЕН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блістеру в пачці; по 10 таблеток у блістері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(внесені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(редаговано текст), "Передозування", "Побічні реакції" відповідно до оновленої інформації з безпеки діючих речовин лікарського засобу.</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UA/15886/01/01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UA/10468/01/01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UA/16224/01/01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БРАВАДИН®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7,5 мг, по 14 таблеток у блістері; по 2 або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UA/16224/01/02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UA/15568/01/01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БРОНХОРИЛ®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сироп по 100 мл у флаконі, по 1 флакону з мірним ковпачком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Оновлено інформацію в Інструкції для медичного застосування лікарського засобу в розділі "Показання" (вилучено: синусит, вазомоторний та алергічний риніт), а також до розділів "Фармакологічні властивості" (редагування),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діючих речовин лікарського засобу.</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UA/7422/01/01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ВАЗЕЛІНОВА ОЛІЯ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рідина (субстанція) у пластикових діжках або металевих діжках або флексо-цистернах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обмеженою відповідальністю "Біолар"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Гандхар Оіл Рефінері (Індія)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UA/16040/01/01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UA/15731/01/01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UA/15731/01/02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UA/15731/01/03</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або інші види взаємодій", "Особливості застосування", "Діти" (було - застосовують дітям віком від 10 років, стало - застосовують дітям віком від 6 років), "Побічні реакції" відповідно до референтного лікарського засобу (Крестор®, таблетки, вкриті плівковою оболонкою по 5 мг, 10 мг, 20 мг або по 40 мг).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UA/15731/01/04</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ГЛІЦИН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сублінгвальні по 100 мг, по 10 таблеток у блістері; по 5 блістерів у пачці з картону; по 50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в розділі "Протипоказання" відповідно до оновленої інформації з безпеки діючої речовини лікарського засобу.</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UA/16293/01/01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UA/15967/01/01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UA/15967/01/02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UA/15967/01/03</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Шеньян Саншайн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5 років.</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UA/15967/01/04</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UA/15698/01/01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UA/15698/01/02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UA/15698/01/03</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по 10 таблеток в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(ЦИПРАЛЕКС, таблетки, вкриті плівковою оболонкою).</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UA/15698/01/04</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іn bulk: № 5000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UA/15699/01/01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іn bulk: № 5000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UA/15699/01/02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іn bulk: № 5000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UA/15699/01/03</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ЕПРАКАД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іn bulk: № 5000 у поліетиленовому пакеті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UA/15699/01/04</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(щодо назви), "Протипоказання",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(РЕТРОВІР™, розчин оральний, 10 мг/мл ).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UA/4793/02/01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ІРИТЕРО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20 мг/мл по 2 мл (40 мг) або по 5 мл (100 мг) у флаконі;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Гетеро Лабз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(затверджено: Антинеопластичні засоби. Код АТХ L01X X19 запропоновано: Антинеопластичні засоби. Код АТХ L01С Е02),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(CAMPTO 20 mg/mL concentrate for solution for infusion, не зареєстрований в Україні).</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UA/16087/01/01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КАЛЕТРА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перорального застосування; по 60 мл у флаконі; по 5 флаконів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Альтернативний виробник відповідальний за виробництво лікарського засобу, первинне та вторинне пакування:</w:t>
            </w:r>
            <w:r w:rsidRPr="00EE4593">
              <w:rPr>
                <w:rFonts w:ascii="Arial" w:hAnsi="Arial" w:cs="Arial"/>
                <w:color w:val="000000"/>
                <w:sz w:val="16"/>
                <w:szCs w:val="16"/>
              </w:rPr>
              <w:br/>
              <w:t xml:space="preserve">Еббві Інк., США; </w:t>
            </w:r>
            <w:r w:rsidRPr="00EE4593">
              <w:rPr>
                <w:rFonts w:ascii="Arial" w:hAnsi="Arial" w:cs="Arial"/>
                <w:color w:val="000000"/>
                <w:sz w:val="16"/>
                <w:szCs w:val="16"/>
              </w:rPr>
              <w:br/>
              <w:t>Альтернативний виробник відповідальний за тестування:</w:t>
            </w:r>
            <w:r w:rsidRPr="00EE4593">
              <w:rPr>
                <w:rFonts w:ascii="Arial" w:hAnsi="Arial" w:cs="Arial"/>
                <w:color w:val="000000"/>
                <w:sz w:val="16"/>
                <w:szCs w:val="16"/>
              </w:rPr>
              <w:br/>
              <w:t xml:space="preserve">Еббві Інк., США; </w:t>
            </w:r>
            <w:r w:rsidRPr="00EE4593">
              <w:rPr>
                <w:rFonts w:ascii="Arial" w:hAnsi="Arial" w:cs="Arial"/>
                <w:color w:val="000000"/>
                <w:sz w:val="16"/>
                <w:szCs w:val="16"/>
              </w:rPr>
              <w:br/>
              <w:t>Альтернативний виробник відповідальний за тестування та випуск серії:</w:t>
            </w:r>
            <w:r w:rsidRPr="00EE4593">
              <w:rPr>
                <w:rFonts w:ascii="Arial" w:hAnsi="Arial" w:cs="Arial"/>
                <w:color w:val="000000"/>
                <w:sz w:val="16"/>
                <w:szCs w:val="16"/>
              </w:rPr>
              <w:br/>
              <w:t>Еббві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UA/6998/02/01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КУВАН®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розчинні по 100 мг; по 30 або по 120 таблеток у поліетиленовому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первинне пакування у флакони та контроль якості лікарського засобу:</w:t>
            </w:r>
            <w:r w:rsidRPr="00EE4593">
              <w:rPr>
                <w:rFonts w:ascii="Arial" w:hAnsi="Arial" w:cs="Arial"/>
                <w:color w:val="000000"/>
                <w:sz w:val="16"/>
                <w:szCs w:val="16"/>
              </w:rPr>
              <w:br/>
              <w:t>Екселла ГмбХ енд Ко. КГ, Німеччина;</w:t>
            </w:r>
            <w:r w:rsidRPr="00EE4593">
              <w:rPr>
                <w:rFonts w:ascii="Arial" w:hAnsi="Arial" w:cs="Arial"/>
                <w:color w:val="000000"/>
                <w:sz w:val="16"/>
                <w:szCs w:val="16"/>
              </w:rPr>
              <w:br/>
              <w:t>контроль якості лікарського засобу (мікробне тестування):</w:t>
            </w:r>
            <w:r w:rsidRPr="00EE4593">
              <w:rPr>
                <w:rFonts w:ascii="Arial" w:hAnsi="Arial" w:cs="Arial"/>
                <w:color w:val="000000"/>
                <w:sz w:val="16"/>
                <w:szCs w:val="16"/>
              </w:rPr>
              <w:br/>
              <w:t>Лабор ЛС СЕ енд Ко. КГ, Німеччина або</w:t>
            </w:r>
            <w:r w:rsidRPr="00EE4593">
              <w:rPr>
                <w:rFonts w:ascii="Arial" w:hAnsi="Arial" w:cs="Arial"/>
                <w:color w:val="000000"/>
                <w:sz w:val="16"/>
                <w:szCs w:val="16"/>
              </w:rPr>
              <w:br/>
              <w:t>СГС Інститут Фрезеніус ГмбХ, Німеччина;</w:t>
            </w:r>
            <w:r w:rsidRPr="00EE4593">
              <w:rPr>
                <w:rFonts w:ascii="Arial" w:hAnsi="Arial" w:cs="Arial"/>
                <w:color w:val="000000"/>
                <w:sz w:val="16"/>
                <w:szCs w:val="16"/>
              </w:rPr>
              <w:br/>
              <w:t>маркування флаконів та вторинне пакування:</w:t>
            </w:r>
            <w:r w:rsidRPr="00EE4593">
              <w:rPr>
                <w:rFonts w:ascii="Arial" w:hAnsi="Arial" w:cs="Arial"/>
                <w:color w:val="000000"/>
                <w:sz w:val="16"/>
                <w:szCs w:val="16"/>
              </w:rPr>
              <w:br/>
              <w:t>Міллмаунт Хелскеар Лтд, Ірландія</w:t>
            </w:r>
          </w:p>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або</w:t>
            </w:r>
            <w:r w:rsidRPr="00EE4593">
              <w:rPr>
                <w:rFonts w:ascii="Arial" w:hAnsi="Arial" w:cs="Arial"/>
                <w:color w:val="000000"/>
                <w:sz w:val="16"/>
                <w:szCs w:val="16"/>
              </w:rPr>
              <w:br/>
              <w:t>БіоМарин Інтернешнл Лімітед, Ірландiя;</w:t>
            </w:r>
          </w:p>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відповідальний за випуск серії:</w:t>
            </w:r>
            <w:r w:rsidRPr="00EE4593">
              <w:rPr>
                <w:rFonts w:ascii="Arial" w:hAnsi="Arial" w:cs="Arial"/>
                <w:color w:val="000000"/>
                <w:sz w:val="16"/>
                <w:szCs w:val="16"/>
              </w:rPr>
              <w:br/>
              <w:t>БіоМарин Інтернешнл Лімітед,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UA/12202/01/01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(редагування тексту без фактичної зміни), "Фармакологічні властивості" (внесені уточнення), "Показання" (редаговано текст),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"Діти" (редаговано текст), "Передозування", "Побічні реакції", "Упаковка" (редагування тексту без фактичної зміни) відповідно інформації референтного лікарського засобу Таванік, таблетки, вкриті оболонкою по 250 мг або 500 мг, та інформації щодо безпеки діючої та допоміжних речовин лікарського засобу.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UA/11952/01/01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(редагування тексту без фактичної зміни), "Фармакологічні властивості" (внесені уточнення), "Показання" (редаговано текст),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(редаговано текст), "Діти" (редаговано текст), "Передозування", "Побічні реакції", "Упаковка" (редагування тексту без фактичної зміни) відповідно інформації референтного лікарського засобу Таванік, таблетки, вкриті оболонкою по 250 мг або 500 мг, та інформації щодо безпеки діючої та допоміжних речовин лікарського засобу.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UA/11952/01/02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мг/12,5 мг; по 10 таблеток у блістері; по 1 або по 2, або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речовин.</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UA/16076/01/01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ЛІЗИНОПРИЛ-Н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20 мг/12,5 мг; по 10 таблеток у блістері; по 1 або по 2, або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діючих речовин.</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UA/16076/01/02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 xml:space="preserve">ЛЮПІНОР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 таблетці у блістері; по 1 блістеру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"Побічні реакції" відповідно до референтного лікарського засобу (LEVONELLE®, tablets 1,5 mg).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UA/15702/01/01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РАЛАГО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 мг по 10 таблеток у блістері; по 3 або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серії та випуск серії:</w:t>
            </w:r>
            <w:r w:rsidRPr="00EE4593">
              <w:rPr>
                <w:rFonts w:ascii="Arial" w:hAnsi="Arial" w:cs="Arial"/>
                <w:color w:val="000000"/>
                <w:sz w:val="16"/>
                <w:szCs w:val="16"/>
              </w:rPr>
              <w:br/>
              <w:t>КРКА, д.д., Ново место, Словенія;</w:t>
            </w:r>
            <w:r w:rsidRPr="00EE4593">
              <w:rPr>
                <w:rFonts w:ascii="Arial" w:hAnsi="Arial" w:cs="Arial"/>
                <w:color w:val="000000"/>
                <w:sz w:val="16"/>
                <w:szCs w:val="16"/>
              </w:rPr>
              <w:br/>
              <w:t>контроль серії:</w:t>
            </w:r>
            <w:r w:rsidRPr="00EE459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яка зазначена в Інструкції для медичного застосування референтного лікарського засобу (Azilect®, 1 mg tablets, marketed Teva Pharma GmbH). </w:t>
            </w:r>
            <w:r w:rsidRPr="00EE459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UA/16206/01/01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 Фармакотерапевтична група. Код АТХ" (уточнення фармакотерапевтичної групи без зміни коду АТХ), "Особливості застосування", " Здатність впливати на швидкість реакції при керуванні автотранспортом або іншими механізмами", "Діти" (редаговано текст), "Передозування", "Побічні реакції" відповідно інформації референтного лікарського засобу (СОМАЗИНА®, розчин для ін'єкцій 500 мг/4 мл або 1000 мг/4 мл) та інформації щодо безпеки допоміжної речовини лікарського засобу.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UA/18484/01/01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 Фармакотерапевтична група. Код АТХ" (уточнення фармакотерапевтичної групи без зміни коду АТХ), "Особливості застосування", " Здатність впливати на швидкість реакції при керуванні автотранспортом або іншими механізмами", "Діти" (редаговано текст), "Передозування", "Побічні реакції" відповідно інформації референтного лікарського засобу (СОМАЗИНА®, розчин для ін'єкцій 500 мг/4 мл або 1000 мг/4 мл) та інформації щодо безпеки допоміжної речовини лікарського засобу.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UA/18484/01/02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зовнішнього застосування 96 % по 100 мл у флаконах скляних, по 1 л, 5 л у пляшках скляних,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ФОП Книш Віталій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UA/16243/01/01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зовнішнього застосування 96 % in bulk: по 1 л, 5 л, 10 л, 20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ФОП Книш Віталій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UA/16242/01/01</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1000 мг; 1 флакон з порошком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UA/11998/01/02</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2000 мг; 1 флакон з порошком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UA/11998/01/03</w:t>
            </w:r>
          </w:p>
        </w:tc>
      </w:tr>
      <w:tr w:rsidR="0019264E" w:rsidRPr="00EE4593" w:rsidTr="00EC5798">
        <w:tc>
          <w:tcPr>
            <w:tcW w:w="568" w:type="dxa"/>
            <w:tcBorders>
              <w:top w:val="single" w:sz="4" w:space="0" w:color="auto"/>
              <w:left w:val="single" w:sz="4" w:space="0" w:color="000000"/>
              <w:bottom w:val="single" w:sz="4" w:space="0" w:color="auto"/>
              <w:right w:val="single" w:sz="4" w:space="0" w:color="000000"/>
            </w:tcBorders>
            <w:shd w:val="clear" w:color="auto" w:fill="auto"/>
          </w:tcPr>
          <w:p w:rsidR="0019264E" w:rsidRPr="00EE4593" w:rsidRDefault="0019264E" w:rsidP="0019264E">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9264E" w:rsidRPr="00EE4593" w:rsidRDefault="0019264E" w:rsidP="002B3B55">
            <w:pPr>
              <w:tabs>
                <w:tab w:val="left" w:pos="12600"/>
              </w:tabs>
              <w:rPr>
                <w:rFonts w:ascii="Arial" w:hAnsi="Arial" w:cs="Arial"/>
                <w:b/>
                <w:i/>
                <w:color w:val="000000"/>
                <w:sz w:val="16"/>
                <w:szCs w:val="16"/>
              </w:rPr>
            </w:pPr>
            <w:r w:rsidRPr="00EE4593">
              <w:rPr>
                <w:rFonts w:ascii="Arial" w:hAnsi="Arial" w:cs="Arial"/>
                <w:b/>
                <w:sz w:val="16"/>
                <w:szCs w:val="16"/>
              </w:rPr>
              <w:t>ЦЕФЕПІМ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500 мг; 1 флакон з порошком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Перереєстрація на необмежений термін.</w:t>
            </w:r>
            <w:r w:rsidRPr="00EE459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 </w:t>
            </w:r>
            <w:r w:rsidRPr="00EE459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ind w:left="-111"/>
              <w:jc w:val="center"/>
              <w:rPr>
                <w:rFonts w:ascii="Arial" w:hAnsi="Arial" w:cs="Arial"/>
                <w:b/>
                <w:i/>
                <w:color w:val="000000"/>
                <w:sz w:val="16"/>
                <w:szCs w:val="16"/>
              </w:rPr>
            </w:pPr>
            <w:r w:rsidRPr="00EE459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i/>
                <w:sz w:val="16"/>
                <w:szCs w:val="16"/>
              </w:rPr>
            </w:pPr>
            <w:r w:rsidRPr="00EE459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9264E" w:rsidRPr="00EE4593" w:rsidRDefault="0019264E" w:rsidP="002B3B55">
            <w:pPr>
              <w:tabs>
                <w:tab w:val="left" w:pos="12600"/>
              </w:tabs>
              <w:jc w:val="center"/>
              <w:rPr>
                <w:rFonts w:ascii="Arial" w:hAnsi="Arial" w:cs="Arial"/>
                <w:sz w:val="16"/>
                <w:szCs w:val="16"/>
              </w:rPr>
            </w:pPr>
            <w:r w:rsidRPr="00EE4593">
              <w:rPr>
                <w:rFonts w:ascii="Arial" w:hAnsi="Arial" w:cs="Arial"/>
                <w:sz w:val="16"/>
                <w:szCs w:val="16"/>
              </w:rPr>
              <w:t>UA/11998/01/01</w:t>
            </w:r>
          </w:p>
        </w:tc>
      </w:tr>
    </w:tbl>
    <w:p w:rsidR="0019264E" w:rsidRDefault="0019264E" w:rsidP="0019264E">
      <w:pPr>
        <w:keepNext/>
        <w:tabs>
          <w:tab w:val="left" w:pos="12600"/>
        </w:tabs>
        <w:jc w:val="center"/>
        <w:outlineLvl w:val="1"/>
        <w:rPr>
          <w:rFonts w:ascii="Arial" w:hAnsi="Arial"/>
          <w:b/>
          <w:caps/>
        </w:rPr>
      </w:pPr>
    </w:p>
    <w:tbl>
      <w:tblPr>
        <w:tblW w:w="0" w:type="auto"/>
        <w:tblLook w:val="04A0" w:firstRow="1" w:lastRow="0" w:firstColumn="1" w:lastColumn="0" w:noHBand="0" w:noVBand="1"/>
      </w:tblPr>
      <w:tblGrid>
        <w:gridCol w:w="7421"/>
        <w:gridCol w:w="7422"/>
      </w:tblGrid>
      <w:tr w:rsidR="0019264E" w:rsidRPr="00EF2F51" w:rsidTr="002B3B55">
        <w:tc>
          <w:tcPr>
            <w:tcW w:w="7421" w:type="dxa"/>
          </w:tcPr>
          <w:p w:rsidR="0019264E" w:rsidRPr="00EF2F51" w:rsidRDefault="0019264E" w:rsidP="002B3B55">
            <w:pPr>
              <w:ind w:right="20"/>
              <w:rPr>
                <w:rFonts w:ascii="Arial" w:hAnsi="Arial" w:cs="Arial"/>
                <w:sz w:val="28"/>
                <w:szCs w:val="28"/>
              </w:rPr>
            </w:pPr>
            <w:r w:rsidRPr="00EF2F51">
              <w:rPr>
                <w:b/>
                <w:bCs/>
                <w:sz w:val="28"/>
                <w:szCs w:val="28"/>
              </w:rPr>
              <w:t xml:space="preserve">В.о. Генерального директора Директорату </w:t>
            </w:r>
          </w:p>
          <w:p w:rsidR="0019264E" w:rsidRPr="00EF2F51" w:rsidRDefault="0019264E" w:rsidP="002B3B55">
            <w:pPr>
              <w:ind w:right="20"/>
              <w:rPr>
                <w:b/>
                <w:bCs/>
                <w:sz w:val="28"/>
                <w:szCs w:val="28"/>
              </w:rPr>
            </w:pPr>
            <w:r w:rsidRPr="00EF2F51">
              <w:rPr>
                <w:b/>
                <w:bCs/>
                <w:sz w:val="28"/>
                <w:szCs w:val="28"/>
              </w:rPr>
              <w:t>фармацевтичного забезпечення</w:t>
            </w:r>
            <w:r w:rsidRPr="00EF2F51">
              <w:rPr>
                <w:rFonts w:ascii="Arial" w:hAnsi="Arial" w:cs="Arial"/>
                <w:sz w:val="28"/>
                <w:szCs w:val="28"/>
              </w:rPr>
              <w:t>                                    </w:t>
            </w:r>
          </w:p>
        </w:tc>
        <w:tc>
          <w:tcPr>
            <w:tcW w:w="7422" w:type="dxa"/>
          </w:tcPr>
          <w:p w:rsidR="0019264E" w:rsidRPr="00EF2F51" w:rsidRDefault="0019264E" w:rsidP="002B3B55">
            <w:pPr>
              <w:rPr>
                <w:b/>
                <w:bCs/>
                <w:sz w:val="28"/>
                <w:szCs w:val="28"/>
              </w:rPr>
            </w:pPr>
          </w:p>
          <w:p w:rsidR="0019264E" w:rsidRPr="00EF2F51" w:rsidRDefault="0019264E" w:rsidP="002B3B55">
            <w:pPr>
              <w:jc w:val="right"/>
              <w:rPr>
                <w:b/>
                <w:bCs/>
                <w:sz w:val="28"/>
                <w:szCs w:val="28"/>
              </w:rPr>
            </w:pPr>
            <w:r w:rsidRPr="00EF2F51">
              <w:rPr>
                <w:b/>
                <w:bCs/>
                <w:sz w:val="28"/>
                <w:szCs w:val="28"/>
              </w:rPr>
              <w:t>Іван ЗАДВОРНИХ</w:t>
            </w:r>
          </w:p>
        </w:tc>
      </w:tr>
    </w:tbl>
    <w:p w:rsidR="0019264E" w:rsidRPr="00EF2F51" w:rsidRDefault="0019264E" w:rsidP="0019264E">
      <w:pPr>
        <w:tabs>
          <w:tab w:val="left" w:pos="12600"/>
        </w:tabs>
        <w:jc w:val="center"/>
        <w:rPr>
          <w:rFonts w:ascii="Arial" w:hAnsi="Arial" w:cs="Arial"/>
          <w:b/>
        </w:rPr>
      </w:pPr>
    </w:p>
    <w:p w:rsidR="0019264E" w:rsidRPr="00EF2F51" w:rsidRDefault="0019264E" w:rsidP="0019264E">
      <w:pPr>
        <w:rPr>
          <w:rFonts w:ascii="Arial" w:hAnsi="Arial" w:cs="Arial"/>
          <w:b/>
          <w:sz w:val="18"/>
          <w:szCs w:val="18"/>
        </w:rPr>
      </w:pPr>
    </w:p>
    <w:p w:rsidR="0019264E" w:rsidRPr="007E524B" w:rsidRDefault="0019264E" w:rsidP="0019264E">
      <w:pPr>
        <w:tabs>
          <w:tab w:val="center" w:pos="7569"/>
          <w:tab w:val="left" w:pos="12600"/>
          <w:tab w:val="right" w:pos="15138"/>
        </w:tabs>
        <w:rPr>
          <w:rFonts w:ascii="Arial" w:hAnsi="Arial" w:cs="Arial"/>
          <w:sz w:val="18"/>
          <w:szCs w:val="18"/>
        </w:rPr>
      </w:pPr>
      <w:r>
        <w:rPr>
          <w:rFonts w:ascii="Arial" w:hAnsi="Arial" w:cs="Arial"/>
          <w:b/>
        </w:rPr>
        <w:tab/>
      </w:r>
      <w:r>
        <w:rPr>
          <w:rFonts w:ascii="Arial" w:hAnsi="Arial" w:cs="Arial"/>
          <w:b/>
        </w:rPr>
        <w:tab/>
      </w:r>
      <w:r>
        <w:rPr>
          <w:rFonts w:ascii="Arial" w:hAnsi="Arial" w:cs="Arial"/>
          <w:b/>
        </w:rPr>
        <w:tab/>
      </w:r>
    </w:p>
    <w:p w:rsidR="0019264E" w:rsidRDefault="0019264E" w:rsidP="00FC73F7">
      <w:pPr>
        <w:pStyle w:val="31"/>
        <w:spacing w:after="0"/>
        <w:ind w:left="0"/>
        <w:rPr>
          <w:b/>
          <w:sz w:val="28"/>
          <w:szCs w:val="28"/>
          <w:lang w:val="uk-UA"/>
        </w:rPr>
        <w:sectPr w:rsidR="0019264E" w:rsidSect="002B3B55">
          <w:headerReference w:type="default" r:id="rId15"/>
          <w:footerReference w:type="default" r:id="rId16"/>
          <w:pgSz w:w="16838" w:h="11906" w:orient="landscape"/>
          <w:pgMar w:top="907" w:right="1134" w:bottom="907" w:left="1077" w:header="794" w:footer="680"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64C4D" w:rsidRPr="00EF2F51" w:rsidTr="002B3B55">
        <w:tc>
          <w:tcPr>
            <w:tcW w:w="3828" w:type="dxa"/>
          </w:tcPr>
          <w:p w:rsidR="00864C4D" w:rsidRPr="00305BC3" w:rsidRDefault="00864C4D" w:rsidP="000F3C53">
            <w:pPr>
              <w:pStyle w:val="4"/>
              <w:tabs>
                <w:tab w:val="left" w:pos="12600"/>
              </w:tabs>
              <w:spacing w:before="0" w:after="0"/>
              <w:rPr>
                <w:rFonts w:cs="Arial"/>
                <w:bCs w:val="0"/>
                <w:iCs/>
                <w:sz w:val="18"/>
                <w:szCs w:val="18"/>
              </w:rPr>
            </w:pPr>
            <w:r w:rsidRPr="00305BC3">
              <w:rPr>
                <w:rFonts w:cs="Arial"/>
                <w:bCs w:val="0"/>
                <w:iCs/>
                <w:sz w:val="18"/>
                <w:szCs w:val="18"/>
              </w:rPr>
              <w:t>Додаток 3</w:t>
            </w:r>
          </w:p>
          <w:p w:rsidR="00864C4D" w:rsidRPr="00305BC3" w:rsidRDefault="00864C4D" w:rsidP="000F3C53">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864C4D" w:rsidRPr="007E52DF" w:rsidRDefault="00864C4D" w:rsidP="000F3C53">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864C4D" w:rsidRPr="00EF2F51" w:rsidRDefault="00864C4D" w:rsidP="000F3C53">
            <w:pPr>
              <w:tabs>
                <w:tab w:val="left" w:pos="12600"/>
              </w:tabs>
              <w:rPr>
                <w:rFonts w:ascii="Arial" w:hAnsi="Arial" w:cs="Arial"/>
                <w:b/>
                <w:sz w:val="18"/>
                <w:szCs w:val="18"/>
              </w:rPr>
            </w:pPr>
            <w:r>
              <w:rPr>
                <w:rFonts w:ascii="Arial" w:hAnsi="Arial" w:cs="Arial"/>
                <w:b/>
                <w:bCs/>
                <w:iCs/>
                <w:sz w:val="18"/>
                <w:szCs w:val="18"/>
                <w:u w:val="single"/>
              </w:rPr>
              <w:t xml:space="preserve">від 27 березня 2022 року №_536   </w:t>
            </w:r>
          </w:p>
        </w:tc>
      </w:tr>
    </w:tbl>
    <w:p w:rsidR="00864C4D" w:rsidRPr="00EF2F51" w:rsidRDefault="00864C4D" w:rsidP="00864C4D">
      <w:pPr>
        <w:tabs>
          <w:tab w:val="left" w:pos="12600"/>
        </w:tabs>
        <w:jc w:val="center"/>
        <w:rPr>
          <w:rFonts w:ascii="Arial" w:hAnsi="Arial" w:cs="Arial"/>
          <w:sz w:val="18"/>
          <w:szCs w:val="18"/>
          <w:u w:val="single"/>
        </w:rPr>
      </w:pPr>
    </w:p>
    <w:p w:rsidR="00864C4D" w:rsidRPr="00C102D6" w:rsidRDefault="00864C4D" w:rsidP="00864C4D">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864C4D" w:rsidRPr="00C102D6" w:rsidRDefault="00864C4D" w:rsidP="00864C4D">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864C4D" w:rsidRPr="009C026C" w:rsidRDefault="00864C4D" w:rsidP="00864C4D">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701"/>
        <w:gridCol w:w="1134"/>
        <w:gridCol w:w="4678"/>
        <w:gridCol w:w="1134"/>
        <w:gridCol w:w="1559"/>
      </w:tblGrid>
      <w:tr w:rsidR="00864C4D" w:rsidRPr="00EF2F51" w:rsidTr="000F3C53">
        <w:trPr>
          <w:tblHeader/>
        </w:trPr>
        <w:tc>
          <w:tcPr>
            <w:tcW w:w="568"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 п/п</w:t>
            </w:r>
          </w:p>
        </w:tc>
        <w:tc>
          <w:tcPr>
            <w:tcW w:w="1276"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Заявник</w:t>
            </w:r>
          </w:p>
        </w:tc>
        <w:tc>
          <w:tcPr>
            <w:tcW w:w="992"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Країна заявника</w:t>
            </w:r>
          </w:p>
        </w:tc>
        <w:tc>
          <w:tcPr>
            <w:tcW w:w="1701"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Виробник</w:t>
            </w:r>
          </w:p>
        </w:tc>
        <w:tc>
          <w:tcPr>
            <w:tcW w:w="1134"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Країна виробника</w:t>
            </w:r>
          </w:p>
        </w:tc>
        <w:tc>
          <w:tcPr>
            <w:tcW w:w="4678"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64C4D" w:rsidRPr="00EF2F51" w:rsidRDefault="00864C4D" w:rsidP="000F3C53">
            <w:pPr>
              <w:tabs>
                <w:tab w:val="left" w:pos="12600"/>
              </w:tabs>
              <w:jc w:val="center"/>
              <w:rPr>
                <w:rFonts w:ascii="Arial" w:hAnsi="Arial" w:cs="Arial"/>
                <w:b/>
                <w:i/>
                <w:sz w:val="16"/>
                <w:szCs w:val="16"/>
              </w:rPr>
            </w:pPr>
            <w:r w:rsidRPr="00EF2F51">
              <w:rPr>
                <w:rFonts w:ascii="Arial" w:hAnsi="Arial" w:cs="Arial"/>
                <w:b/>
                <w:i/>
                <w:sz w:val="16"/>
                <w:szCs w:val="16"/>
              </w:rPr>
              <w:t>Умови відпуску</w:t>
            </w:r>
          </w:p>
        </w:tc>
        <w:tc>
          <w:tcPr>
            <w:tcW w:w="1559" w:type="dxa"/>
            <w:tcBorders>
              <w:top w:val="single" w:sz="4" w:space="0" w:color="000000"/>
            </w:tcBorders>
            <w:shd w:val="clear" w:color="auto" w:fill="D9D9D9"/>
          </w:tcPr>
          <w:p w:rsidR="00864C4D" w:rsidRPr="00EF2F51" w:rsidRDefault="00864C4D" w:rsidP="002B3B55">
            <w:pPr>
              <w:tabs>
                <w:tab w:val="left" w:pos="12600"/>
              </w:tabs>
              <w:jc w:val="center"/>
              <w:rPr>
                <w:rFonts w:ascii="Arial" w:hAnsi="Arial" w:cs="Arial"/>
                <w:b/>
                <w:i/>
                <w:sz w:val="16"/>
                <w:szCs w:val="16"/>
              </w:rPr>
            </w:pPr>
            <w:r w:rsidRPr="00EF2F51">
              <w:rPr>
                <w:rFonts w:ascii="Arial" w:hAnsi="Arial" w:cs="Arial"/>
                <w:b/>
                <w:i/>
                <w:sz w:val="16"/>
                <w:szCs w:val="16"/>
              </w:rPr>
              <w:t>Номер реєстраційного посвідчення</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АЗОМЕКС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UA/3768/01/01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АЗОМЕКС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UA/3768/01/02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UA/5687/01/01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UA/5687/01/02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адреси затвердженого постачальника обтискного ковпачка (ковпачка типу фліп-офф) West Pharmaceutical Services, Stolberg, Germany (Вест Фармасьютікал Сервісез, Столберг, Німеччина) на компанію West Pharmaceutical Services, Deutschland GmbH&amp;Co.KG, Eschweller, Germany (Вест Фармасьютікал Сервісез Дойчленд ГмбХ енд Ко. КГ, Ешвайлер, Німеччина).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зміна адреси затвердженого постачальника гумової пробки West Pharmaceutical Services, Le Nouvion en Thierache, France (Вест Фармасьютікал Сервісез, Ле-Нувіон-ан-Тьєраш, Франція) на компанію West Pharmaceutical Services, Deutschland GmbH&amp;Co.KG, Eschweller, Germany (Вест Фармасьютікал Сервісез Дойчленд ГмбХ енд Ко. КГ, Ешвайлер, Німеччина).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внесення змін до р. 3.2.Р.7. Система контейнер/закупорювальний засіб, а саме внесення змін до специфікації для гумової пробки, п. «Ідентифікація» (замість опису випробування на ідентифікацію за допомогою термогравіметричного аналізу відповідно до поточної ЕР 3.2.9. надається загальне посилання на монографію ЕР 3.2.9, щоб дозволити використання альтернативних методів, описаних у монографії. Цю зміну запропоновано для узгодження з вимогами до тестування пробок для різних продуктів.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на чистоту гумової пробки методом газової хроматографії, з відповідним методом газової хроматографії. (Цей показник вважається застарілим, оскільки пропонована пробка більше не містить латексу природного походження або будь-якої іншої сполуки з великою мінливістю, крім того, кваліфікація екстрагування/вилуговування запропонованої пробки не виявила ризику для безпеки пацієнтів.)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«Перемішування. Візуальний огляд», оскільки цей аспект є вимогою НВП (GMP), і достатньо охоплений системою НВП компанії «Берінгер Інгельхайм». Введення змін протягом 6-ти місяців після затвердження.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 3.2.Р.7. Система контейнер/ закупорювальний засіб, а саме оновлення р. Специфікація гумової пробки: видалення застарілого параметру випробування «Дефекти формування/виробництва. Візуальний огляд», оскільки цей аспект є вимогою НВП (GMP), і достатньо охоплений системою НВП компанії «Берінгер Інгельхайм».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 3.2.Р.7. Система контейнер/ закупорювальний засіб, а саме зміна розміру фартуха обтискного ковпачка (типу фліп-офф), щоб зменшити кількість некритичних помилок обтиску під час візуального огляду, як наслідок оновлення р. Специфікація. Введення змін протягом 6-ти місяців після затвердження. Зміни II типу: Зміни з якості. Готовий лікарський засіб. Система контейнер/ 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 до р. 3.2.Р.7. Система контейнер/закупорювальний засіб, а саме заміна гумової пробки для систем упаковка/закупорювання для ліофілізату альтеплази (поточну гумову пробку, виготовлену з «хлоробутилу/натурального каучуку, формула 1097 W890, сірого кольору, силіконізованого», яка містить латекс, буде замінено на безлатексну пробку, виготовлену з «бромбутилового еластомеру формула 4023/50, сірого кольору, силіконізованого»). Як наслідок вносяться відповідні зміни до р. 2.3. Загальне резюме з якості; 3.2.Р.2. Фармацевтична розробка; 3.2.Р.3.5. Валідація процесу та/або його оцінка; 3.2.Р.5.4. Аналізи серій; 3.2.Р.8. Стабільність.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UA/2944/01/01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та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UA/2944/01/01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АЛТЕЙКА-ТЕРНОФАРМ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сироп, по 100 мл або по 200 мл у флаконі; по 1 флакону з ложкою мірною або стаканом мірним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UA/14469/01/01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30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UA/18553/01/01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90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UA/18553/01/02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180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дозвіл на випуск серії: Такеда Австрія ГмбХ, Австрія; виробництво за повним циклом: 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Сполучене Королівство</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ГЛЗ, а саме зміна показника твердості таблеток з 16 кгс (середнє) на 15 кгс (середнє) для покращення значень вивільнення при розчиненні для Алунбриг® по 90 мг. Цей показник вимірюється під час проміжного контролю на етапі пресування. Нове цільове значення знаходиться в межах затвердженого валідованого діапазону технологічного параметра твердості, який залишається незмінним і становить 13-19 кгс. Крім того, були внесені редакційні зміни в підрозділи Р.3.3. Опис виробничого процесу та контролю процесу та Р.3.4. Контроль критичних стадій і проміжної продукції (для дозувань 30 мг, 90 мг, 180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UA/18553/01/03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АМАПІН-Л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10 таблеток у стрипі; по 1 або 3 стрипи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UA/10297/01/01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250 мг, по 10 таблеток у блістері; по 1 або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незначних змін до р. 3.2.Р.3.3. Опис виробничого процесу та контролю процесу відповідно Загальних вимог до матеріалів реєстраційного досьє.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Затверджено: - 100 кг, що становить 263 157 шт. таблеток (з допустимим відхиленням від 236 842 шт. таблеток до 289 473 шт. таблеток). Запропоновано: - 100 кг, що становить 263 157 шт. таблеток (з допустимим відхиленням від 236 842 шт. таблеток до 289 473 шт. таблеток); - 700 кг, що становить 1 842 105 шт. таблеток (з допустимим відхиленням від 1 657 894 шт. таблеток до 2 026 315 шт.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UA/2950/01/01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процедури «Час розпадання» відповідно до Ph. Eur. &lt;2.9.1&gt;.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w:t>
            </w:r>
            <w:r w:rsidRPr="00EE4593">
              <w:rPr>
                <w:rFonts w:ascii="Arial" w:hAnsi="Arial" w:cs="Arial"/>
                <w:color w:val="000000"/>
                <w:sz w:val="16"/>
                <w:szCs w:val="16"/>
              </w:rPr>
              <w:br/>
              <w:t>запропоновано введення УФ-методу для кількісного визначення виділеного месалазину, якщо на стадії резистентності (0,1 М НСl) на час тесту розпадання спостерігаються тріщини або розпад.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3-аміносаліцилової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5-[2-форміл-5-(гідроксиметил)-1Н-пірол-1-іл]-2-гідроксибензойна кислота (РВА)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N-форміл-5-аміносаліцилова кислота (NFM)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невідомих домішок звужені з «не більше 0,2%» до «не більше 0,10%»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загальної кількості домішок звужені з «не більше 1,0%» до «не більше 0,5%»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межа ігнорування у методі визначення супутніх домішок ВЕРХ збільшена з 0,02% до 0,05%.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ГЛЗ за показником «Супутні домішки» (ВЕРХ), внаслідок зміни вимог специфікації.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встановлені домішки з АФІ, які контролюються в активній субстанції і не є продуктами розпаду ЛЗ, більше не беруться до уваги; відповідна інформація внесена до посилань за тестом «Супровідні домішки» оновленої специфікації ГЛЗ. Зміни I типу: Зміни з якості. Готовий лікарський засіб. Контроль готового лікарського засобу (інші зміни) - виправлення друкарської помилки у специфікації ГЛЗ за показником «Розчинення»: у посиланнях на методику випробування для кислотної стадії.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вимоги до розпадання на стадії резистентності (0,1 М HCl) змінюються під час випуску та впродовж терміну придатності, щоб дозволити кількісно визначити месалазин, що виділяється, коли спостерігаються тріщини та розпад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UA/4770/01/01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нерозфасованої продукції, первинна та вторинна упаковка: Хаупт Фарма Вюльфінг ГмбХ, Німеччина; Виробник, відповідальний за випуск серій: Тілотс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введення УФ-методу для кількісного вимірювання виділеного месалазину, якщо на стадії резистентності (0,1 М НСl) на час тесту розпадання спостерігаються тріщини або розпад.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вимоги до розпадання на стадії резистентності (0,1 М НСl) змінюються під час випуску та впродовж терміну придатності, щоб дозволити кількісно визначити месалазин, що виділяється, коли спостерігаються тріщини та розпад.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процедури «Час розпадання» відповідно до Ph. Eur. &lt;2.9.1&gt;.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3-аміносаліцилової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випробування щодо визначення саліцилової кислоти запропоновано видалити із специфікації ГЛЗ.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5-[2-форміл-5-(гідроксиметил)-1Н-пірол-1-іл]-2-гідроксибензойна кислота (РВА)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визначенням N-форміл-5-аміносаліцилова кислота (NFM)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невідомих домішок звужені з «не більше 0,2%» до «не більше 0,10%»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межі для загальної кількості домішок звужені з «не більше 1,0%» до «не більше 0,5%» за показником «Супутні домішки».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встановлені домішки з АФІ, які контролюються в активній субстанції і не є продуктами розпаду ЛЗ, більше не беруться до уваги; відповідна інформація внесена до посилань за тестом «Супровідні домішки» оновленої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ГЛЗ за показником «Супутні домішки» (ВЕРХ), внаслідок зміни вимог специфікації.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межа ігнорування у методі визначення супутніх домішок ВЕРХ збільшена з 0,02% до 0,05%. Зміни I типу: Зміни з якості. Готовий лікарський засіб. Контроль готового лікарського засобу (інші зміни) - виправлення друкарської помилки у специфікації ГЛЗ за показником «Розчинення»: у посиланнях на методику випробування для кислотної стадії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UA/4770/01/02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АСИБРОКС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"Передозування" відповідно до інформації референтного лікарського засобу (Fluіmucil 10%, solution for injection and inhalation).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UA/18841/01/01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порошок та розчинник для розчину для інфузій, 50 МО/мл; 1 флакон з порошком (500 МО) та 1 флакон з розчинником (10 мл)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9C026C" w:rsidRDefault="00864C4D" w:rsidP="002B3B55">
            <w:pPr>
              <w:tabs>
                <w:tab w:val="left" w:pos="12600"/>
              </w:tabs>
              <w:jc w:val="center"/>
              <w:rPr>
                <w:rFonts w:ascii="Arial" w:hAnsi="Arial" w:cs="Arial"/>
                <w:color w:val="000000"/>
                <w:sz w:val="16"/>
                <w:szCs w:val="16"/>
                <w:lang w:val="en-US"/>
              </w:rPr>
            </w:pPr>
            <w:r w:rsidRPr="00EE4593">
              <w:rPr>
                <w:rFonts w:ascii="Arial" w:hAnsi="Arial" w:cs="Arial"/>
                <w:color w:val="000000"/>
                <w:sz w:val="16"/>
                <w:szCs w:val="16"/>
              </w:rPr>
              <w:t xml:space="preserve">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w:t>
            </w:r>
            <w:r w:rsidRPr="00EE4593">
              <w:rPr>
                <w:rFonts w:ascii="Arial" w:hAnsi="Arial" w:cs="Arial"/>
                <w:color w:val="000000"/>
                <w:sz w:val="16"/>
                <w:szCs w:val="16"/>
              </w:rPr>
              <w:br/>
              <w:t>Запропоновано</w:t>
            </w:r>
            <w:r w:rsidRPr="009C026C">
              <w:rPr>
                <w:rFonts w:ascii="Arial" w:hAnsi="Arial" w:cs="Arial"/>
                <w:color w:val="000000"/>
                <w:sz w:val="16"/>
                <w:szCs w:val="16"/>
                <w:lang w:val="en-US"/>
              </w:rPr>
              <w:t>: Charles River Laboratories France CRLF. 2109 route de Ch</w:t>
            </w:r>
            <w:r w:rsidRPr="00EE4593">
              <w:rPr>
                <w:rFonts w:ascii="Arial" w:hAnsi="Arial" w:cs="Arial"/>
                <w:color w:val="000000"/>
                <w:sz w:val="16"/>
                <w:szCs w:val="16"/>
              </w:rPr>
              <w:t>а</w:t>
            </w:r>
            <w:r w:rsidRPr="009C026C">
              <w:rPr>
                <w:rFonts w:ascii="Arial" w:hAnsi="Arial" w:cs="Arial"/>
                <w:color w:val="000000"/>
                <w:sz w:val="16"/>
                <w:szCs w:val="16"/>
                <w:lang w:val="en-US"/>
              </w:rPr>
              <w:t xml:space="preserve">tillon, 01400 Romans, France.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II </w:t>
            </w:r>
            <w:r w:rsidRPr="00EE4593">
              <w:rPr>
                <w:rFonts w:ascii="Arial" w:hAnsi="Arial" w:cs="Arial"/>
                <w:color w:val="000000"/>
                <w:sz w:val="16"/>
                <w:szCs w:val="16"/>
              </w:rPr>
              <w:t>типу</w:t>
            </w:r>
            <w:r w:rsidRPr="009C026C">
              <w:rPr>
                <w:rFonts w:ascii="Arial" w:hAnsi="Arial" w:cs="Arial"/>
                <w:color w:val="000000"/>
                <w:sz w:val="16"/>
                <w:szCs w:val="16"/>
                <w:lang w:val="en-US"/>
              </w:rPr>
              <w:t xml:space="preserve"> -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з</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Готовий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засіб</w:t>
            </w:r>
            <w:r w:rsidRPr="009C026C">
              <w:rPr>
                <w:rFonts w:ascii="Arial" w:hAnsi="Arial" w:cs="Arial"/>
                <w:color w:val="000000"/>
                <w:sz w:val="16"/>
                <w:szCs w:val="16"/>
                <w:lang w:val="en-US"/>
              </w:rPr>
              <w:t xml:space="preserve">.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у</w:t>
            </w:r>
            <w:r w:rsidRPr="009C026C">
              <w:rPr>
                <w:rFonts w:ascii="Arial" w:hAnsi="Arial" w:cs="Arial"/>
                <w:color w:val="000000"/>
                <w:sz w:val="16"/>
                <w:szCs w:val="16"/>
                <w:lang w:val="en-US"/>
              </w:rPr>
              <w:t xml:space="preserve"> </w:t>
            </w:r>
            <w:r w:rsidRPr="00EE4593">
              <w:rPr>
                <w:rFonts w:ascii="Arial" w:hAnsi="Arial" w:cs="Arial"/>
                <w:color w:val="000000"/>
                <w:sz w:val="16"/>
                <w:szCs w:val="16"/>
              </w:rPr>
              <w:t>виробництві</w:t>
            </w:r>
            <w:r w:rsidRPr="009C026C">
              <w:rPr>
                <w:rFonts w:ascii="Arial" w:hAnsi="Arial" w:cs="Arial"/>
                <w:color w:val="000000"/>
                <w:sz w:val="16"/>
                <w:szCs w:val="16"/>
                <w:lang w:val="en-US"/>
              </w:rPr>
              <w:t xml:space="preserve">. </w:t>
            </w:r>
            <w:r w:rsidRPr="00EE4593">
              <w:rPr>
                <w:rFonts w:ascii="Arial" w:hAnsi="Arial" w:cs="Arial"/>
                <w:color w:val="000000"/>
                <w:sz w:val="16"/>
                <w:szCs w:val="16"/>
              </w:rPr>
              <w:t>Зміна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імпортера</w:t>
            </w:r>
            <w:r w:rsidRPr="009C026C">
              <w:rPr>
                <w:rFonts w:ascii="Arial" w:hAnsi="Arial" w:cs="Arial"/>
                <w:color w:val="000000"/>
                <w:sz w:val="16"/>
                <w:szCs w:val="16"/>
                <w:lang w:val="en-US"/>
              </w:rPr>
              <w:t>/</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що</w:t>
            </w:r>
            <w:r w:rsidRPr="009C026C">
              <w:rPr>
                <w:rFonts w:ascii="Arial" w:hAnsi="Arial" w:cs="Arial"/>
                <w:color w:val="000000"/>
                <w:sz w:val="16"/>
                <w:szCs w:val="16"/>
                <w:lang w:val="en-US"/>
              </w:rPr>
              <w:t xml:space="preserve"> </w:t>
            </w:r>
            <w:r w:rsidRPr="00EE4593">
              <w:rPr>
                <w:rFonts w:ascii="Arial" w:hAnsi="Arial" w:cs="Arial"/>
                <w:color w:val="000000"/>
                <w:sz w:val="16"/>
                <w:szCs w:val="16"/>
              </w:rPr>
              <w:t>стосуються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випуску</w:t>
            </w:r>
            <w:r w:rsidRPr="009C026C">
              <w:rPr>
                <w:rFonts w:ascii="Arial" w:hAnsi="Arial" w:cs="Arial"/>
                <w:color w:val="000000"/>
                <w:sz w:val="16"/>
                <w:szCs w:val="16"/>
                <w:lang w:val="en-US"/>
              </w:rPr>
              <w:t xml:space="preserve"> </w:t>
            </w:r>
            <w:r w:rsidRPr="00EE4593">
              <w:rPr>
                <w:rFonts w:ascii="Arial" w:hAnsi="Arial" w:cs="Arial"/>
                <w:color w:val="000000"/>
                <w:sz w:val="16"/>
                <w:szCs w:val="16"/>
              </w:rPr>
              <w:t>серії</w:t>
            </w:r>
            <w:r w:rsidRPr="009C026C">
              <w:rPr>
                <w:rFonts w:ascii="Arial" w:hAnsi="Arial" w:cs="Arial"/>
                <w:color w:val="000000"/>
                <w:sz w:val="16"/>
                <w:szCs w:val="16"/>
                <w:lang w:val="en-US"/>
              </w:rPr>
              <w:t xml:space="preserve"> </w:t>
            </w:r>
            <w:r w:rsidRPr="00EE4593">
              <w:rPr>
                <w:rFonts w:ascii="Arial" w:hAnsi="Arial" w:cs="Arial"/>
                <w:color w:val="000000"/>
                <w:sz w:val="16"/>
                <w:szCs w:val="16"/>
              </w:rPr>
              <w:t>та</w:t>
            </w:r>
            <w:r w:rsidRPr="009C026C">
              <w:rPr>
                <w:rFonts w:ascii="Arial" w:hAnsi="Arial" w:cs="Arial"/>
                <w:color w:val="000000"/>
                <w:sz w:val="16"/>
                <w:szCs w:val="16"/>
                <w:lang w:val="en-US"/>
              </w:rPr>
              <w:t xml:space="preserve"> </w:t>
            </w:r>
            <w:r w:rsidRPr="00EE4593">
              <w:rPr>
                <w:rFonts w:ascii="Arial" w:hAnsi="Arial" w:cs="Arial"/>
                <w:color w:val="000000"/>
                <w:sz w:val="16"/>
                <w:szCs w:val="16"/>
              </w:rPr>
              <w:t>контролю</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готового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засобу</w:t>
            </w:r>
            <w:r w:rsidRPr="009C026C">
              <w:rPr>
                <w:rFonts w:ascii="Arial" w:hAnsi="Arial" w:cs="Arial"/>
                <w:color w:val="000000"/>
                <w:sz w:val="16"/>
                <w:szCs w:val="16"/>
                <w:lang w:val="en-US"/>
              </w:rPr>
              <w:t xml:space="preserve"> (</w:t>
            </w:r>
            <w:r w:rsidRPr="00EE4593">
              <w:rPr>
                <w:rFonts w:ascii="Arial" w:hAnsi="Arial" w:cs="Arial"/>
                <w:color w:val="000000"/>
                <w:sz w:val="16"/>
                <w:szCs w:val="16"/>
              </w:rPr>
              <w:t>заміна</w:t>
            </w:r>
            <w:r w:rsidRPr="009C026C">
              <w:rPr>
                <w:rFonts w:ascii="Arial" w:hAnsi="Arial" w:cs="Arial"/>
                <w:color w:val="000000"/>
                <w:sz w:val="16"/>
                <w:szCs w:val="16"/>
                <w:lang w:val="en-US"/>
              </w:rPr>
              <w:t xml:space="preserve"> </w:t>
            </w:r>
            <w:r w:rsidRPr="00EE4593">
              <w:rPr>
                <w:rFonts w:ascii="Arial" w:hAnsi="Arial" w:cs="Arial"/>
                <w:color w:val="000000"/>
                <w:sz w:val="16"/>
                <w:szCs w:val="16"/>
              </w:rPr>
              <w:t>або</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якій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здійснюється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контроль</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серії</w:t>
            </w:r>
            <w:r w:rsidRPr="009C026C">
              <w:rPr>
                <w:rFonts w:ascii="Arial" w:hAnsi="Arial" w:cs="Arial"/>
                <w:color w:val="000000"/>
                <w:sz w:val="16"/>
                <w:szCs w:val="16"/>
                <w:lang w:val="en-US"/>
              </w:rPr>
              <w:t xml:space="preserve"> </w:t>
            </w:r>
            <w:r w:rsidRPr="00EE4593">
              <w:rPr>
                <w:rFonts w:ascii="Arial" w:hAnsi="Arial" w:cs="Arial"/>
                <w:color w:val="000000"/>
                <w:sz w:val="16"/>
                <w:szCs w:val="16"/>
              </w:rPr>
              <w:t>для</w:t>
            </w:r>
            <w:r w:rsidRPr="009C026C">
              <w:rPr>
                <w:rFonts w:ascii="Arial" w:hAnsi="Arial" w:cs="Arial"/>
                <w:color w:val="000000"/>
                <w:sz w:val="16"/>
                <w:szCs w:val="16"/>
                <w:lang w:val="en-US"/>
              </w:rPr>
              <w:t xml:space="preserve"> </w:t>
            </w:r>
            <w:r w:rsidRPr="00EE4593">
              <w:rPr>
                <w:rFonts w:ascii="Arial" w:hAnsi="Arial" w:cs="Arial"/>
                <w:color w:val="000000"/>
                <w:sz w:val="16"/>
                <w:szCs w:val="16"/>
              </w:rPr>
              <w:t>біологічного</w:t>
            </w:r>
            <w:r w:rsidRPr="009C026C">
              <w:rPr>
                <w:rFonts w:ascii="Arial" w:hAnsi="Arial" w:cs="Arial"/>
                <w:color w:val="000000"/>
                <w:sz w:val="16"/>
                <w:szCs w:val="16"/>
                <w:lang w:val="en-US"/>
              </w:rPr>
              <w:t>/</w:t>
            </w:r>
            <w:r w:rsidRPr="00EE4593">
              <w:rPr>
                <w:rFonts w:ascii="Arial" w:hAnsi="Arial" w:cs="Arial"/>
                <w:color w:val="000000"/>
                <w:sz w:val="16"/>
                <w:szCs w:val="16"/>
              </w:rPr>
              <w:t>імунологічного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засобу</w:t>
            </w:r>
            <w:r w:rsidRPr="009C026C">
              <w:rPr>
                <w:rFonts w:ascii="Arial" w:hAnsi="Arial" w:cs="Arial"/>
                <w:color w:val="000000"/>
                <w:sz w:val="16"/>
                <w:szCs w:val="16"/>
                <w:lang w:val="en-US"/>
              </w:rPr>
              <w:t xml:space="preserve">, </w:t>
            </w:r>
            <w:r w:rsidRPr="00EE4593">
              <w:rPr>
                <w:rFonts w:ascii="Arial" w:hAnsi="Arial" w:cs="Arial"/>
                <w:color w:val="000000"/>
                <w:sz w:val="16"/>
                <w:szCs w:val="16"/>
              </w:rPr>
              <w:t>та</w:t>
            </w:r>
            <w:r w:rsidRPr="009C026C">
              <w:rPr>
                <w:rFonts w:ascii="Arial" w:hAnsi="Arial" w:cs="Arial"/>
                <w:color w:val="000000"/>
                <w:sz w:val="16"/>
                <w:szCs w:val="16"/>
                <w:lang w:val="en-US"/>
              </w:rPr>
              <w:t xml:space="preserve"> </w:t>
            </w:r>
            <w:r w:rsidRPr="00EE4593">
              <w:rPr>
                <w:rFonts w:ascii="Arial" w:hAnsi="Arial" w:cs="Arial"/>
                <w:color w:val="000000"/>
                <w:sz w:val="16"/>
                <w:szCs w:val="16"/>
              </w:rPr>
              <w:t>будь</w:t>
            </w:r>
            <w:r w:rsidRPr="009C026C">
              <w:rPr>
                <w:rFonts w:ascii="Arial" w:hAnsi="Arial" w:cs="Arial"/>
                <w:color w:val="000000"/>
                <w:sz w:val="16"/>
                <w:szCs w:val="16"/>
                <w:lang w:val="en-US"/>
              </w:rPr>
              <w:t>-</w:t>
            </w:r>
            <w:r w:rsidRPr="00EE4593">
              <w:rPr>
                <w:rFonts w:ascii="Arial" w:hAnsi="Arial" w:cs="Arial"/>
                <w:color w:val="000000"/>
                <w:sz w:val="16"/>
                <w:szCs w:val="16"/>
              </w:rPr>
              <w:t>якої</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якій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застосовується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біологічний</w:t>
            </w:r>
            <w:r w:rsidRPr="009C026C">
              <w:rPr>
                <w:rFonts w:ascii="Arial" w:hAnsi="Arial" w:cs="Arial"/>
                <w:color w:val="000000"/>
                <w:sz w:val="16"/>
                <w:szCs w:val="16"/>
                <w:lang w:val="en-US"/>
              </w:rPr>
              <w:t>/</w:t>
            </w:r>
            <w:r w:rsidRPr="00EE4593">
              <w:rPr>
                <w:rFonts w:ascii="Arial" w:hAnsi="Arial" w:cs="Arial"/>
                <w:color w:val="000000"/>
                <w:sz w:val="16"/>
                <w:szCs w:val="16"/>
              </w:rPr>
              <w:t>імунологічний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метод</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додаткової</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для</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пірогени</w:t>
            </w:r>
            <w:r w:rsidRPr="009C026C">
              <w:rPr>
                <w:rFonts w:ascii="Arial" w:hAnsi="Arial" w:cs="Arial"/>
                <w:color w:val="000000"/>
                <w:sz w:val="16"/>
                <w:szCs w:val="16"/>
                <w:lang w:val="en-US"/>
              </w:rPr>
              <w:t xml:space="preserve">. </w:t>
            </w:r>
            <w:r w:rsidRPr="00EE4593">
              <w:rPr>
                <w:rFonts w:ascii="Arial" w:hAnsi="Arial" w:cs="Arial"/>
                <w:color w:val="000000"/>
                <w:sz w:val="16"/>
                <w:szCs w:val="16"/>
              </w:rPr>
              <w:t>Запропоновано</w:t>
            </w:r>
            <w:r w:rsidRPr="009C026C">
              <w:rPr>
                <w:rFonts w:ascii="Arial" w:hAnsi="Arial" w:cs="Arial"/>
                <w:color w:val="000000"/>
                <w:sz w:val="16"/>
                <w:szCs w:val="16"/>
                <w:lang w:val="en-US"/>
              </w:rPr>
              <w:t xml:space="preserve">: Charles River Laboratories Ireland Limited. Carrentrila, Ballana, Co. Mayo,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UA/17557/01/01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АТЕНАТИВ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9C026C" w:rsidRDefault="00864C4D" w:rsidP="002B3B55">
            <w:pPr>
              <w:tabs>
                <w:tab w:val="left" w:pos="12600"/>
              </w:tabs>
              <w:jc w:val="center"/>
              <w:rPr>
                <w:rFonts w:ascii="Arial" w:hAnsi="Arial" w:cs="Arial"/>
                <w:color w:val="000000"/>
                <w:sz w:val="16"/>
                <w:szCs w:val="16"/>
                <w:lang w:val="en-US"/>
              </w:rPr>
            </w:pPr>
            <w:r w:rsidRPr="00EE4593">
              <w:rPr>
                <w:rFonts w:ascii="Arial" w:hAnsi="Arial" w:cs="Arial"/>
                <w:color w:val="000000"/>
                <w:sz w:val="16"/>
                <w:szCs w:val="16"/>
              </w:rPr>
              <w:t xml:space="preserve">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додаткової дільниці для випробування на пірогени. </w:t>
            </w:r>
            <w:r w:rsidRPr="00EE4593">
              <w:rPr>
                <w:rFonts w:ascii="Arial" w:hAnsi="Arial" w:cs="Arial"/>
                <w:color w:val="000000"/>
                <w:sz w:val="16"/>
                <w:szCs w:val="16"/>
              </w:rPr>
              <w:br/>
              <w:t>Запропоновано</w:t>
            </w:r>
            <w:r w:rsidRPr="009C026C">
              <w:rPr>
                <w:rFonts w:ascii="Arial" w:hAnsi="Arial" w:cs="Arial"/>
                <w:color w:val="000000"/>
                <w:sz w:val="16"/>
                <w:szCs w:val="16"/>
                <w:lang w:val="en-US"/>
              </w:rPr>
              <w:t>: Charles River Laboratories France CRLF. 2109 route de Ch</w:t>
            </w:r>
            <w:r w:rsidRPr="00EE4593">
              <w:rPr>
                <w:rFonts w:ascii="Arial" w:hAnsi="Arial" w:cs="Arial"/>
                <w:color w:val="000000"/>
                <w:sz w:val="16"/>
                <w:szCs w:val="16"/>
              </w:rPr>
              <w:t>а</w:t>
            </w:r>
            <w:r w:rsidRPr="009C026C">
              <w:rPr>
                <w:rFonts w:ascii="Arial" w:hAnsi="Arial" w:cs="Arial"/>
                <w:color w:val="000000"/>
                <w:sz w:val="16"/>
                <w:szCs w:val="16"/>
                <w:lang w:val="en-US"/>
              </w:rPr>
              <w:t xml:space="preserve">tillon, 01400 Romans, France.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II </w:t>
            </w:r>
            <w:r w:rsidRPr="00EE4593">
              <w:rPr>
                <w:rFonts w:ascii="Arial" w:hAnsi="Arial" w:cs="Arial"/>
                <w:color w:val="000000"/>
                <w:sz w:val="16"/>
                <w:szCs w:val="16"/>
              </w:rPr>
              <w:t>типу</w:t>
            </w:r>
            <w:r w:rsidRPr="009C026C">
              <w:rPr>
                <w:rFonts w:ascii="Arial" w:hAnsi="Arial" w:cs="Arial"/>
                <w:color w:val="000000"/>
                <w:sz w:val="16"/>
                <w:szCs w:val="16"/>
                <w:lang w:val="en-US"/>
              </w:rPr>
              <w:t xml:space="preserve"> -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з</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Готовий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засіб</w:t>
            </w:r>
            <w:r w:rsidRPr="009C026C">
              <w:rPr>
                <w:rFonts w:ascii="Arial" w:hAnsi="Arial" w:cs="Arial"/>
                <w:color w:val="000000"/>
                <w:sz w:val="16"/>
                <w:szCs w:val="16"/>
                <w:lang w:val="en-US"/>
              </w:rPr>
              <w:t xml:space="preserve">.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у</w:t>
            </w:r>
            <w:r w:rsidRPr="009C026C">
              <w:rPr>
                <w:rFonts w:ascii="Arial" w:hAnsi="Arial" w:cs="Arial"/>
                <w:color w:val="000000"/>
                <w:sz w:val="16"/>
                <w:szCs w:val="16"/>
                <w:lang w:val="en-US"/>
              </w:rPr>
              <w:t xml:space="preserve"> </w:t>
            </w:r>
            <w:r w:rsidRPr="00EE4593">
              <w:rPr>
                <w:rFonts w:ascii="Arial" w:hAnsi="Arial" w:cs="Arial"/>
                <w:color w:val="000000"/>
                <w:sz w:val="16"/>
                <w:szCs w:val="16"/>
              </w:rPr>
              <w:t>виробництві</w:t>
            </w:r>
            <w:r w:rsidRPr="009C026C">
              <w:rPr>
                <w:rFonts w:ascii="Arial" w:hAnsi="Arial" w:cs="Arial"/>
                <w:color w:val="000000"/>
                <w:sz w:val="16"/>
                <w:szCs w:val="16"/>
                <w:lang w:val="en-US"/>
              </w:rPr>
              <w:t xml:space="preserve">. </w:t>
            </w:r>
            <w:r w:rsidRPr="00EE4593">
              <w:rPr>
                <w:rFonts w:ascii="Arial" w:hAnsi="Arial" w:cs="Arial"/>
                <w:color w:val="000000"/>
                <w:sz w:val="16"/>
                <w:szCs w:val="16"/>
              </w:rPr>
              <w:t>Зміна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імпортера</w:t>
            </w:r>
            <w:r w:rsidRPr="009C026C">
              <w:rPr>
                <w:rFonts w:ascii="Arial" w:hAnsi="Arial" w:cs="Arial"/>
                <w:color w:val="000000"/>
                <w:sz w:val="16"/>
                <w:szCs w:val="16"/>
                <w:lang w:val="en-US"/>
              </w:rPr>
              <w:t>/</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що</w:t>
            </w:r>
            <w:r w:rsidRPr="009C026C">
              <w:rPr>
                <w:rFonts w:ascii="Arial" w:hAnsi="Arial" w:cs="Arial"/>
                <w:color w:val="000000"/>
                <w:sz w:val="16"/>
                <w:szCs w:val="16"/>
                <w:lang w:val="en-US"/>
              </w:rPr>
              <w:t xml:space="preserve"> </w:t>
            </w:r>
            <w:r w:rsidRPr="00EE4593">
              <w:rPr>
                <w:rFonts w:ascii="Arial" w:hAnsi="Arial" w:cs="Arial"/>
                <w:color w:val="000000"/>
                <w:sz w:val="16"/>
                <w:szCs w:val="16"/>
              </w:rPr>
              <w:t>стосуються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випуску</w:t>
            </w:r>
            <w:r w:rsidRPr="009C026C">
              <w:rPr>
                <w:rFonts w:ascii="Arial" w:hAnsi="Arial" w:cs="Arial"/>
                <w:color w:val="000000"/>
                <w:sz w:val="16"/>
                <w:szCs w:val="16"/>
                <w:lang w:val="en-US"/>
              </w:rPr>
              <w:t xml:space="preserve"> </w:t>
            </w:r>
            <w:r w:rsidRPr="00EE4593">
              <w:rPr>
                <w:rFonts w:ascii="Arial" w:hAnsi="Arial" w:cs="Arial"/>
                <w:color w:val="000000"/>
                <w:sz w:val="16"/>
                <w:szCs w:val="16"/>
              </w:rPr>
              <w:t>серії</w:t>
            </w:r>
            <w:r w:rsidRPr="009C026C">
              <w:rPr>
                <w:rFonts w:ascii="Arial" w:hAnsi="Arial" w:cs="Arial"/>
                <w:color w:val="000000"/>
                <w:sz w:val="16"/>
                <w:szCs w:val="16"/>
                <w:lang w:val="en-US"/>
              </w:rPr>
              <w:t xml:space="preserve"> </w:t>
            </w:r>
            <w:r w:rsidRPr="00EE4593">
              <w:rPr>
                <w:rFonts w:ascii="Arial" w:hAnsi="Arial" w:cs="Arial"/>
                <w:color w:val="000000"/>
                <w:sz w:val="16"/>
                <w:szCs w:val="16"/>
              </w:rPr>
              <w:t>та</w:t>
            </w:r>
            <w:r w:rsidRPr="009C026C">
              <w:rPr>
                <w:rFonts w:ascii="Arial" w:hAnsi="Arial" w:cs="Arial"/>
                <w:color w:val="000000"/>
                <w:sz w:val="16"/>
                <w:szCs w:val="16"/>
                <w:lang w:val="en-US"/>
              </w:rPr>
              <w:t xml:space="preserve"> </w:t>
            </w:r>
            <w:r w:rsidRPr="00EE4593">
              <w:rPr>
                <w:rFonts w:ascii="Arial" w:hAnsi="Arial" w:cs="Arial"/>
                <w:color w:val="000000"/>
                <w:sz w:val="16"/>
                <w:szCs w:val="16"/>
              </w:rPr>
              <w:t>контролю</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готового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засобу</w:t>
            </w:r>
            <w:r w:rsidRPr="009C026C">
              <w:rPr>
                <w:rFonts w:ascii="Arial" w:hAnsi="Arial" w:cs="Arial"/>
                <w:color w:val="000000"/>
                <w:sz w:val="16"/>
                <w:szCs w:val="16"/>
                <w:lang w:val="en-US"/>
              </w:rPr>
              <w:t xml:space="preserve"> (</w:t>
            </w:r>
            <w:r w:rsidRPr="00EE4593">
              <w:rPr>
                <w:rFonts w:ascii="Arial" w:hAnsi="Arial" w:cs="Arial"/>
                <w:color w:val="000000"/>
                <w:sz w:val="16"/>
                <w:szCs w:val="16"/>
              </w:rPr>
              <w:t>заміна</w:t>
            </w:r>
            <w:r w:rsidRPr="009C026C">
              <w:rPr>
                <w:rFonts w:ascii="Arial" w:hAnsi="Arial" w:cs="Arial"/>
                <w:color w:val="000000"/>
                <w:sz w:val="16"/>
                <w:szCs w:val="16"/>
                <w:lang w:val="en-US"/>
              </w:rPr>
              <w:t xml:space="preserve"> </w:t>
            </w:r>
            <w:r w:rsidRPr="00EE4593">
              <w:rPr>
                <w:rFonts w:ascii="Arial" w:hAnsi="Arial" w:cs="Arial"/>
                <w:color w:val="000000"/>
                <w:sz w:val="16"/>
                <w:szCs w:val="16"/>
              </w:rPr>
              <w:t>або</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якій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здійснюється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контроль</w:t>
            </w:r>
            <w:r w:rsidRPr="009C026C">
              <w:rPr>
                <w:rFonts w:ascii="Arial" w:hAnsi="Arial" w:cs="Arial"/>
                <w:color w:val="000000"/>
                <w:sz w:val="16"/>
                <w:szCs w:val="16"/>
                <w:lang w:val="en-US"/>
              </w:rPr>
              <w:t xml:space="preserve"> </w:t>
            </w:r>
            <w:r w:rsidRPr="00EE4593">
              <w:rPr>
                <w:rFonts w:ascii="Arial" w:hAnsi="Arial" w:cs="Arial"/>
                <w:color w:val="000000"/>
                <w:sz w:val="16"/>
                <w:szCs w:val="16"/>
              </w:rPr>
              <w:t>якості</w:t>
            </w:r>
            <w:r w:rsidRPr="009C026C">
              <w:rPr>
                <w:rFonts w:ascii="Arial" w:hAnsi="Arial" w:cs="Arial"/>
                <w:color w:val="000000"/>
                <w:sz w:val="16"/>
                <w:szCs w:val="16"/>
                <w:lang w:val="en-US"/>
              </w:rPr>
              <w:t>/</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серії</w:t>
            </w:r>
            <w:r w:rsidRPr="009C026C">
              <w:rPr>
                <w:rFonts w:ascii="Arial" w:hAnsi="Arial" w:cs="Arial"/>
                <w:color w:val="000000"/>
                <w:sz w:val="16"/>
                <w:szCs w:val="16"/>
                <w:lang w:val="en-US"/>
              </w:rPr>
              <w:t xml:space="preserve"> </w:t>
            </w:r>
            <w:r w:rsidRPr="00EE4593">
              <w:rPr>
                <w:rFonts w:ascii="Arial" w:hAnsi="Arial" w:cs="Arial"/>
                <w:color w:val="000000"/>
                <w:sz w:val="16"/>
                <w:szCs w:val="16"/>
              </w:rPr>
              <w:t>для</w:t>
            </w:r>
            <w:r w:rsidRPr="009C026C">
              <w:rPr>
                <w:rFonts w:ascii="Arial" w:hAnsi="Arial" w:cs="Arial"/>
                <w:color w:val="000000"/>
                <w:sz w:val="16"/>
                <w:szCs w:val="16"/>
                <w:lang w:val="en-US"/>
              </w:rPr>
              <w:t xml:space="preserve"> </w:t>
            </w:r>
            <w:r w:rsidRPr="00EE4593">
              <w:rPr>
                <w:rFonts w:ascii="Arial" w:hAnsi="Arial" w:cs="Arial"/>
                <w:color w:val="000000"/>
                <w:sz w:val="16"/>
                <w:szCs w:val="16"/>
              </w:rPr>
              <w:t>біологічного</w:t>
            </w:r>
            <w:r w:rsidRPr="009C026C">
              <w:rPr>
                <w:rFonts w:ascii="Arial" w:hAnsi="Arial" w:cs="Arial"/>
                <w:color w:val="000000"/>
                <w:sz w:val="16"/>
                <w:szCs w:val="16"/>
                <w:lang w:val="en-US"/>
              </w:rPr>
              <w:t>/</w:t>
            </w:r>
            <w:r w:rsidRPr="00EE4593">
              <w:rPr>
                <w:rFonts w:ascii="Arial" w:hAnsi="Arial" w:cs="Arial"/>
                <w:color w:val="000000"/>
                <w:sz w:val="16"/>
                <w:szCs w:val="16"/>
              </w:rPr>
              <w:t>імунологічного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засобу</w:t>
            </w:r>
            <w:r w:rsidRPr="009C026C">
              <w:rPr>
                <w:rFonts w:ascii="Arial" w:hAnsi="Arial" w:cs="Arial"/>
                <w:color w:val="000000"/>
                <w:sz w:val="16"/>
                <w:szCs w:val="16"/>
                <w:lang w:val="en-US"/>
              </w:rPr>
              <w:t xml:space="preserve">, </w:t>
            </w:r>
            <w:r w:rsidRPr="00EE4593">
              <w:rPr>
                <w:rFonts w:ascii="Arial" w:hAnsi="Arial" w:cs="Arial"/>
                <w:color w:val="000000"/>
                <w:sz w:val="16"/>
                <w:szCs w:val="16"/>
              </w:rPr>
              <w:t>та</w:t>
            </w:r>
            <w:r w:rsidRPr="009C026C">
              <w:rPr>
                <w:rFonts w:ascii="Arial" w:hAnsi="Arial" w:cs="Arial"/>
                <w:color w:val="000000"/>
                <w:sz w:val="16"/>
                <w:szCs w:val="16"/>
                <w:lang w:val="en-US"/>
              </w:rPr>
              <w:t xml:space="preserve"> </w:t>
            </w:r>
            <w:r w:rsidRPr="00EE4593">
              <w:rPr>
                <w:rFonts w:ascii="Arial" w:hAnsi="Arial" w:cs="Arial"/>
                <w:color w:val="000000"/>
                <w:sz w:val="16"/>
                <w:szCs w:val="16"/>
              </w:rPr>
              <w:t>будь</w:t>
            </w:r>
            <w:r w:rsidRPr="009C026C">
              <w:rPr>
                <w:rFonts w:ascii="Arial" w:hAnsi="Arial" w:cs="Arial"/>
                <w:color w:val="000000"/>
                <w:sz w:val="16"/>
                <w:szCs w:val="16"/>
                <w:lang w:val="en-US"/>
              </w:rPr>
              <w:t>-</w:t>
            </w:r>
            <w:r w:rsidRPr="00EE4593">
              <w:rPr>
                <w:rFonts w:ascii="Arial" w:hAnsi="Arial" w:cs="Arial"/>
                <w:color w:val="000000"/>
                <w:sz w:val="16"/>
                <w:szCs w:val="16"/>
              </w:rPr>
              <w:t>якої</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якій</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застосовується</w:t>
            </w:r>
            <w:r w:rsidRPr="009C026C">
              <w:rPr>
                <w:rFonts w:ascii="Arial" w:hAnsi="Arial" w:cs="Arial"/>
                <w:color w:val="000000"/>
                <w:sz w:val="16"/>
                <w:szCs w:val="16"/>
                <w:lang w:val="en-US"/>
              </w:rPr>
              <w:t xml:space="preserve"> </w:t>
            </w:r>
            <w:r w:rsidRPr="00EE4593">
              <w:rPr>
                <w:rFonts w:ascii="Arial" w:hAnsi="Arial" w:cs="Arial"/>
                <w:color w:val="000000"/>
                <w:sz w:val="16"/>
                <w:szCs w:val="16"/>
              </w:rPr>
              <w:t>біологічний</w:t>
            </w:r>
            <w:r w:rsidRPr="009C026C">
              <w:rPr>
                <w:rFonts w:ascii="Arial" w:hAnsi="Arial" w:cs="Arial"/>
                <w:color w:val="000000"/>
                <w:sz w:val="16"/>
                <w:szCs w:val="16"/>
                <w:lang w:val="en-US"/>
              </w:rPr>
              <w:t>/</w:t>
            </w:r>
            <w:r w:rsidRPr="00EE4593">
              <w:rPr>
                <w:rFonts w:ascii="Arial" w:hAnsi="Arial" w:cs="Arial"/>
                <w:color w:val="000000"/>
                <w:sz w:val="16"/>
                <w:szCs w:val="16"/>
              </w:rPr>
              <w:t>імунологічний</w:t>
            </w:r>
            <w:r w:rsidRPr="009C026C">
              <w:rPr>
                <w:rFonts w:ascii="Arial" w:hAnsi="Arial" w:cs="Arial"/>
                <w:color w:val="000000"/>
                <w:sz w:val="16"/>
                <w:szCs w:val="16"/>
                <w:lang w:val="en-US"/>
              </w:rPr>
              <w:t xml:space="preserve"> </w:t>
            </w:r>
            <w:r w:rsidRPr="00EE4593">
              <w:rPr>
                <w:rFonts w:ascii="Arial" w:hAnsi="Arial" w:cs="Arial"/>
                <w:color w:val="000000"/>
                <w:sz w:val="16"/>
                <w:szCs w:val="16"/>
              </w:rPr>
              <w:t>метод</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додаткової</w:t>
            </w:r>
            <w:r w:rsidRPr="009C026C">
              <w:rPr>
                <w:rFonts w:ascii="Arial" w:hAnsi="Arial" w:cs="Arial"/>
                <w:color w:val="000000"/>
                <w:sz w:val="16"/>
                <w:szCs w:val="16"/>
                <w:lang w:val="en-US"/>
              </w:rPr>
              <w:t xml:space="preserve"> </w:t>
            </w:r>
            <w:r w:rsidRPr="00EE4593">
              <w:rPr>
                <w:rFonts w:ascii="Arial" w:hAnsi="Arial" w:cs="Arial"/>
                <w:color w:val="000000"/>
                <w:sz w:val="16"/>
                <w:szCs w:val="16"/>
              </w:rPr>
              <w:t>дільниці</w:t>
            </w:r>
            <w:r w:rsidRPr="009C026C">
              <w:rPr>
                <w:rFonts w:ascii="Arial" w:hAnsi="Arial" w:cs="Arial"/>
                <w:color w:val="000000"/>
                <w:sz w:val="16"/>
                <w:szCs w:val="16"/>
                <w:lang w:val="en-US"/>
              </w:rPr>
              <w:t xml:space="preserve"> </w:t>
            </w:r>
            <w:r w:rsidRPr="00EE4593">
              <w:rPr>
                <w:rFonts w:ascii="Arial" w:hAnsi="Arial" w:cs="Arial"/>
                <w:color w:val="000000"/>
                <w:sz w:val="16"/>
                <w:szCs w:val="16"/>
              </w:rPr>
              <w:t>для</w:t>
            </w:r>
            <w:r w:rsidRPr="009C026C">
              <w:rPr>
                <w:rFonts w:ascii="Arial" w:hAnsi="Arial" w:cs="Arial"/>
                <w:color w:val="000000"/>
                <w:sz w:val="16"/>
                <w:szCs w:val="16"/>
                <w:lang w:val="en-US"/>
              </w:rPr>
              <w:t xml:space="preserve"> </w:t>
            </w:r>
            <w:r w:rsidRPr="00EE4593">
              <w:rPr>
                <w:rFonts w:ascii="Arial" w:hAnsi="Arial" w:cs="Arial"/>
                <w:color w:val="000000"/>
                <w:sz w:val="16"/>
                <w:szCs w:val="16"/>
              </w:rPr>
              <w:t>випробування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на</w:t>
            </w:r>
            <w:r w:rsidRPr="009C026C">
              <w:rPr>
                <w:rFonts w:ascii="Arial" w:hAnsi="Arial" w:cs="Arial"/>
                <w:color w:val="000000"/>
                <w:sz w:val="16"/>
                <w:szCs w:val="16"/>
                <w:lang w:val="en-US"/>
              </w:rPr>
              <w:t xml:space="preserve"> </w:t>
            </w:r>
            <w:r w:rsidRPr="00EE4593">
              <w:rPr>
                <w:rFonts w:ascii="Arial" w:hAnsi="Arial" w:cs="Arial"/>
                <w:color w:val="000000"/>
                <w:sz w:val="16"/>
                <w:szCs w:val="16"/>
              </w:rPr>
              <w:t>пірогени</w:t>
            </w:r>
            <w:r w:rsidRPr="009C026C">
              <w:rPr>
                <w:rFonts w:ascii="Arial" w:hAnsi="Arial" w:cs="Arial"/>
                <w:color w:val="000000"/>
                <w:sz w:val="16"/>
                <w:szCs w:val="16"/>
                <w:lang w:val="en-US"/>
              </w:rPr>
              <w:t xml:space="preserve">. </w:t>
            </w:r>
            <w:r w:rsidRPr="00EE4593">
              <w:rPr>
                <w:rFonts w:ascii="Arial" w:hAnsi="Arial" w:cs="Arial"/>
                <w:color w:val="000000"/>
                <w:sz w:val="16"/>
                <w:szCs w:val="16"/>
              </w:rPr>
              <w:t>Запропоновано</w:t>
            </w:r>
            <w:r w:rsidRPr="009C026C">
              <w:rPr>
                <w:rFonts w:ascii="Arial" w:hAnsi="Arial" w:cs="Arial"/>
                <w:color w:val="000000"/>
                <w:sz w:val="16"/>
                <w:szCs w:val="16"/>
                <w:lang w:val="en-US"/>
              </w:rPr>
              <w:t xml:space="preserve">: Charles River Laboratories Ireland Limited. Carrentrila, Ballana, Co. Mayo, Ireland.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UA/17557/01/02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АТЕНОЛ-Н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таблеток у стрипі; по 1 стрипу в картонному конверті; по 10 конвертів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АТЕНОЛ-Н™ (ATENOL-H). ЗАПРОПОНОВАНО: АТЕНОЛ-Н (ATENOL-H)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UA/10468/01/01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АЦЦ® ЛОНГ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випуск серії: Салютас Фарма ГмбХ , Німеччина; виробництво in bulk, пакування, тестування: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R2-CEP 1995-028-Rev 04 (затверджено R2-CEP 1995-028-Rev 03) від вже затвердженого виробника АФІ Ацетилцистеїну, Pharmazell GmbH, Німеччина, внаслідок оновлення монографії на АФІ, без зміни в процесі виробництва діючої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2010-092-Rev 02 (затверджено R1-CEP 2010-092-Rev 01) від вже затвердженого виробника АФІ Ацетилцистеїну, Wuhan Grand Hoyo Co., Ltd., China, та як наслідок видалено показник для визначення «рН» та «Цинк»; допустимі межі для показників «Температура плавлення», «Кількісне визначення», «Супутні домішки» приведено у відповідність до оновленої монографії, без зміни в процесі виробництва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UA/15591/01/01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БЕТАЛОК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 мг/мл;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Виробництво. Зміни в процесі виробництва АФІ (незначна зміна у процесі виробництва АФІ) - незначна зміна у процесі виробництва АФІ, а саме: додавання альтернативного ізоляційного обладнання, що використовується у процесі виробництва метопрололу тартрату та внесення редакційних правок до розділів 3.2.S.2.2 Опис виробничого процесу та його контролю і 3.2.S.2.3 Контроль матеріалів. Зміни I типу: Зміни з якості. АФІ. Виробництво. Зміни в процесі виробництва АФІ (інші зміни) - зміни у процесі виробництва АФІ, а саме: видалення розчинника метилізобутилкетону та сірчаної кислоти. Зміни I типу: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а саме видалення внутрішнього контролю «Втрата в масі при висушуванні». Зміни I типу: Зміни з якості. АФІ. Виробництво. Зміни в процесі виробництва АФІ (інші зміни) - зміни в процесі виробництва, а саме на 3 етапі виробничого процесу пропонується змінити термін «гомогенізований» на «протертий», щоб краще відобразити фактичну процедуру.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оновлення специфікації води.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суміші відновленого ізопропіламіну/ізопропілового спирту, що використовується у процесі виробництва метопрололу тартрату.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розчинника ацетона.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а саме додавання специфікації для відновленого розчинником ацетону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UA/2769/01/01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БЕТАМЕТАЗОНУ ВАЛЕРАТ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"ИМКоФарма"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КУРІА ІСПАНІЯ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2003-022-Rev 02 (затверджено: R1-CEP 2003-022-Rev 01). Як наслідок, зміна назви та адреси виробника на КУРІА ІСПАНІЯ С.А.У., Іспанія / CURIA SPAIN S.A.U., Spain, Паркуе Технологіко Де Боецилло Парцела 105 Іспанія-47151 Боецилло, Валладолід / Parque Technologico De Boecillo Parcela 105 Spain-47151 Boecillo, Valladolid. Зміни у розділі «Склад» (стало: Субстанція бетаметазону валерату не менше 97,0 % та не більше 103,0 % у перерахунку на суху речовину); вилучення показників «Залишок при прожарюванні (сульфатна зола)» та «Хроматографічна чистота (ВЕРХ)»; приведення специфікації та методів контролю якості за показниками «Ідентифікація», «Питоме оптичне обертання», «Кількісне визначення» та «Залишкові розчинники» до діючої редакції СЕР та вимог монографії ЄФ; приведення методик контролю якості за показниками «Втрата в масі при висушуванні» та «Супровідні домішки» до вимог монографії ЄФ; редакційна зміна у порядкових номерах показників.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показника якості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UA/5499/01/01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10 %, по 10 мл, 25 мл, 50 мл або 100 мл у пляшці або флаконі; по 1 пляшці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r w:rsidRPr="00EE4593">
              <w:rPr>
                <w:rFonts w:ascii="Arial" w:hAnsi="Arial" w:cs="Arial"/>
                <w:color w:val="000000"/>
                <w:sz w:val="16"/>
                <w:szCs w:val="16"/>
              </w:rPr>
              <w:br/>
              <w:t xml:space="preserve">(виробництво, первинне та вторинне пакування, випуск серій;  </w:t>
            </w:r>
            <w:r w:rsidRPr="00EE4593">
              <w:rPr>
                <w:rFonts w:ascii="Arial" w:hAnsi="Arial" w:cs="Arial"/>
                <w:color w:val="000000"/>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UA/14526/01/02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БІЦИЛІН-5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(суміш стерильних субстанцій) в алюмінієвих бідонах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Рейонг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Біцилін-5 показника «Аномальна токсичність» (ЄФ, 2.6.9) відповідно до рекомендацій Європейської фармацевтичної комісії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UA/15937/01/01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"Спосіб застосування та дози" (редакційні правки), "Побічні реакції" (у тому числі стосовно доклінічних даних з безпеки) відповідно до даних дослідження KRP-AB1102-D202 та оновлених даних з безпеки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"Фармакотерапевтична група" (редаговано та уточнено формулювання без фактичної зміни коду АТХ), "Фармакологічні властивості"(внесено незначні редакторські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а також внесено незначні редакційні правки до розділів "Протипоказання, "Взаємодія з іншими лікарськими засобами та інші види взаємодій", "Застосування у період вагітності або годування груддю", "Передозування", "Побічні реакції" (редаговано текст стосовно доклінічних даних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 уточнено інструкцію з використання пристрою для інгаляцій.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а також внесені незначні редакційні правки до тексту розділів "Показання", "Протипоказання",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UA/15568/01/01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БРЕТАРІС® ДЖЕНУЕЙР®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по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UA/15568/01/01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БРОНХОСТОП®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пастилки по 59,5 мг по 10 пастилок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Квізда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контроль якості, первинне та вторинне пакування:</w:t>
            </w:r>
            <w:r w:rsidRPr="00EE4593">
              <w:rPr>
                <w:rFonts w:ascii="Arial" w:hAnsi="Arial" w:cs="Arial"/>
                <w:color w:val="000000"/>
                <w:sz w:val="16"/>
                <w:szCs w:val="16"/>
              </w:rPr>
              <w:br/>
              <w:t>Болдер Арзнеіміттел ГмбХ &amp; Ко.КГ, Німеччина;</w:t>
            </w:r>
            <w:r w:rsidRPr="00EE4593">
              <w:rPr>
                <w:rFonts w:ascii="Arial" w:hAnsi="Arial" w:cs="Arial"/>
                <w:color w:val="000000"/>
                <w:sz w:val="16"/>
                <w:szCs w:val="16"/>
              </w:rPr>
              <w:br/>
              <w:t>Випуск серій:</w:t>
            </w:r>
            <w:r w:rsidRPr="00EE4593">
              <w:rPr>
                <w:rFonts w:ascii="Arial" w:hAnsi="Arial" w:cs="Arial"/>
                <w:color w:val="000000"/>
                <w:sz w:val="16"/>
                <w:szCs w:val="16"/>
              </w:rPr>
              <w:br/>
              <w:t>Квізда Фарма ГмбХ, Австрiя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w:t>
            </w:r>
            <w:r w:rsidRPr="00EE4593">
              <w:rPr>
                <w:rFonts w:ascii="Arial" w:hAnsi="Arial" w:cs="Arial"/>
                <w:color w:val="000000"/>
                <w:sz w:val="16"/>
                <w:szCs w:val="16"/>
              </w:rPr>
              <w:br/>
              <w:t xml:space="preserve">приведення інформації щодо назви допоміжних речовин у відповідність до EMA/CHMP/302620/2017 Rev.1 «Annex to the European Commission Guideline on excipients in the labelling and package leaflet of medicinal products for human use» з відповідними змінами до р. «Склад. Допоміжні речовини» МКЯ ЛЗ: Затверджено: Акація, мальтодекстрин, фруктоза, сорбіту розчин, що не кристалізується (Е 420), кислота лимонна безводна, сахарин натрію, ароматизатор аронії, ягідний ароматизатор, олія мінеральна, віск білий, вода очищена. Запропоновано: Гуміарабік (Е 414); фруктоза, сорбіт 70% рідкий, що не кристалізується (Е 420); мальтодекстрин; кислота лимонна, безводна (Е 330); сахарин натрію (Е 954); ароматизатор аронії (який містить пропіленгліколь (Е 1520)); ягідний ароматизатор (який містить пропіленгліколь (Е 1520); спирт бензиловий (Е 1519)); олія мінеральна; віск білий (Е 901); вода очищена. Зміни внесено до Інструкції для медичного застосування лікарського засобу у розділи "Склад", "Особливості застосування", та як наслідок зміни внесено в текст маркування упаковки лікарського засобу. </w:t>
            </w:r>
            <w:r w:rsidRPr="00EE459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UA/9915/01/01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Lower Release Limit (LRL) при визначенні активності вірусу вітряної віспи. Затверджено: Не менш ніж 3,7 Log БУО/ дозу. Запропоновано: Не менш ніж 3,8 Log БУО / дозу.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UA/15966/01/01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ВІАКОРАМ® 3,5 МГ/2,5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Серв'є (Ірландія) Індастріс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периндоприл аргінін новим показником «Залишкові каталізатори. Паладій ≤10 ppm і Родій ≤10 ppm» з відповідним методом випробування (ICP/MS), як вибірковий контроль (3 серії на рік).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Оновлений сертифікат від уже затвердженого виробника - подання оновленого сертифіката відповідності Європейській фармакопеї № R1-CEP 2007-185-Rev 01 (затверджено: R1-CEP 2007-185-Rev 00)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2007-185-Rev 02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вихідного матеріалу L-Arginine SHANGHAI KYOWA AMINO ACID CO., LTD.(СЕР R1-CEP 2010-045-Rev 00), який використовується в процесі виробництва АФІ периндоприлу аргініну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UA/15293/01/01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ВІАКОРАМ® 7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Серв'є (Ірландія) Індастріс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периндоприл аргінін новим показником «Залишкові каталізатори. Паладій ≤10 ppm і Родій ≤10 ppm» з відповідним методом випробування (ICP/MS), як вибірковий контроль (3 серії на рік).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Оновлений сертифікат від уже затвердженого виробника - подання оновленого сертифіката відповідності Європейській фармакопеї № R1-CEP 2007-185-Rev 01 (затверджено: R1-CEP 2007-185-Rev 00)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2007-185-Rev 02 для діючої речовини Amlodipine besilate Synthetic route B від вже затвердженого виробника EGIS Pharmaceuticals PLC.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вихідного матеріалу L-Arginine SHANGHAI KYOWA AMINO ACID CO., LTD.(СЕР R1-CEP 2010-045-Rev 00), який використовується в процесі виробництва АФІ периндоприлу аргініну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UA/15293/01/02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ВІРЕАД®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25.0 у зв’язку зі зміною терміну надання остаточного звіту для дослідження категорії 3 у плані з фармаконагляду для педіатричних пацієнтів з хронічною інфекцією гепатиту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UA/8274/01/01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Thiamine hydrochloride Jiangxi Tianxin Pharmaceutical Co., Ltd. в якого наявний Сертифікат відповідності Європейської Фармакопеї R1-CEP 2011-077-Rev 01 в доповнення до вже затвердженого виробника DSM Nutritional Products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введення нового виробника діючої речовини Pyridoxine hydrochloride Jiangxi Tianxin Pharmaceutical Co., Ltd. в якого наявний Сертифікат відповідності Європейської Фармакопеї R1-CEP 2013-165-Rev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АФІ тіаміну гідрохлориду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тіаміну гідрохлориду» та Розчин S дає реакцію (а) на хлориди (2.3.1) ДФУ*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АФІ піридоксину гідрохлориду за показником «Ідентифікація», зокрема доповнення специфікації додатковим випробуванням «Спектр субстанції має відповідати типовому спектру» методом Романівської спектрометрії (2.2.48) ДФУ*ЕР* з приміткою ** «допускається визначення ідентифікації кожної тарної ємності»; доповнення примітки *** «визначення ідентифікації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піридоксину гідрохлориду» та Розчин S дає реакцію (а)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UA/10507/01/01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ГАТИМАК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оболонкою, по 400 мг по 5 таблеток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Затверджено: Плот № 25-27, Сюрвей № 366, Прем`єр Індастріал Істейт, Качигам, Даман 396 210, (Фаза II), Індія / Plot № 25 – 27, Survey № 366, Premier Industrial Estate, Kachigam, Daman – 396 210, (Phase II), India. Запропоновано: Фаза II, Плот № 12, 15, 21, 23, 24, 25, 26, 27, 28 і 30, Сюрвей № 366, Прем`єр Індастріал Істейт, Качигам, Даман, 396210, Індія / Unit- II, Plot 12, 15, 21, 23, 24, 25, 26, 27, 28 &amp; 30, Survey No. 366, Premier Industrial Estate, Kachigam, Daman, 396210,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UA/3159/01/02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ГЕЛАСПАН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Технічна помилка (згідно наказу МОЗ від 23.07.2015 № 460),Технічна помилка (згідно наказу МОЗ від 23.07.2015 № 460) Виправлено технічну помилку в тексті маркування первинної упаковки лікарського засобу. ЗАТВЕРДЖЕНО: ВІДОМОСТІ, ЩО ВКАЗУЮТЬСЯ НА ЗОВНІШНІЙ УПАКОВЦІ ЛІКАРСЬКОГО ЗАСОБУ ГЕЛАСПАН 4 %, ПЕРВИННА УПАКОВКА – ФЛАКОН 500 мл 10. ОСОБЛИВІ ВКАЗІВКИ ЩОДО НЕВИКОРИСТАНИХ ЛІКАРСЬКИХ ЗАСОБІВ АБО ВІДХОДІВ, ЯКІ ЗАЛИШАЮТЬСЯ ПІСЛЯ ЇХ ВИКОРИСТАННЯ Будь-які невикористані об’єми препарату або витратні матеріали необхідно утилізувати. ЗАПРОПОНОВАНО: ВІДОМОСТІ, ЩО ВКАЗУЮТЬСЯ НА ЗОВНІШНІЙ УПАКОВЦІ ЛІКАРСЬКОГО ЗАСОБУ ГЕЛАСПАН 4 %, ПЕРВИННА УПАКОВКА – МІШОК 500 мл 10. ОСОБЛИВІ ВКАЗІВКИ ЩОДО НЕВИКОРИСТАНИХ ЛІКАРСЬКИХ ЗАСОБІВ АБО ВІДХОДІВ, ЯКІ ЗАЛИШАЮТЬСЯ ПІСЛЯ ЇХ ВИКОРИСТАННЯ Будь-які невикористані об’єми лікарського засобу або витратні матеріали необхідно утилізувати.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UA/13871/01/01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ГІОСЦИНУ БУТИЛБРОМІД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20 мг/мл по 1 мл в ампулі; по 5 ампул у чарунковій упаковці; по 1 або 2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всі стадії виробничого процесу, крім випуску серії:</w:t>
            </w:r>
            <w:r w:rsidRPr="00EE4593">
              <w:rPr>
                <w:rFonts w:ascii="Arial" w:hAnsi="Arial" w:cs="Arial"/>
                <w:color w:val="000000"/>
                <w:sz w:val="16"/>
                <w:szCs w:val="16"/>
              </w:rPr>
              <w:br/>
              <w:t>ХБМ Фарма с.р.о., Словаччина;</w:t>
            </w:r>
            <w:r w:rsidRPr="00EE4593">
              <w:rPr>
                <w:rFonts w:ascii="Arial" w:hAnsi="Arial" w:cs="Arial"/>
                <w:color w:val="000000"/>
                <w:sz w:val="16"/>
                <w:szCs w:val="16"/>
              </w:rPr>
              <w:br/>
              <w:t>виробник, який відповідає за контроль серії/випробування:</w:t>
            </w:r>
            <w:r w:rsidRPr="00EE4593">
              <w:rPr>
                <w:rFonts w:ascii="Arial" w:hAnsi="Arial" w:cs="Arial"/>
                <w:color w:val="000000"/>
                <w:sz w:val="16"/>
                <w:szCs w:val="16"/>
              </w:rPr>
              <w:br/>
              <w:t>АТ "Гріндекс", Латвія;</w:t>
            </w:r>
            <w:r w:rsidRPr="00EE4593">
              <w:rPr>
                <w:rFonts w:ascii="Arial" w:hAnsi="Arial" w:cs="Arial"/>
                <w:color w:val="000000"/>
                <w:sz w:val="16"/>
                <w:szCs w:val="16"/>
              </w:rPr>
              <w:br/>
              <w:t>виробник, який відповідає за випуск серії:</w:t>
            </w:r>
            <w:r w:rsidRPr="00EE4593">
              <w:rPr>
                <w:rFonts w:ascii="Arial" w:hAnsi="Arial" w:cs="Arial"/>
                <w:color w:val="000000"/>
                <w:sz w:val="16"/>
                <w:szCs w:val="16"/>
              </w:rPr>
              <w:br/>
              <w:t>АТ "Калцекс",</w:t>
            </w:r>
            <w:r w:rsidRPr="00EE4593">
              <w:rPr>
                <w:rFonts w:ascii="Arial" w:hAnsi="Arial" w:cs="Arial"/>
                <w:color w:val="000000"/>
                <w:sz w:val="16"/>
                <w:szCs w:val="16"/>
              </w:rPr>
              <w:br/>
              <w:t>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Словаччина/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Латвія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UA/18861/01/01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500 МО;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визначення за показником «Розчинення» (ЄФ, 2.9.3. метод ВЕРХ) у методах випробування ГЛЗ.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швидкості потоку із 1,2 мл/хв на 1,2+/- 0,6 мл/хв методу ВЕРХ (ЄФ, 2.2.29) в методиках визначення ідентифікації, однорідності дозованих одиниць та кількісного визначення Холекальциферолу ГЛЗ, а також супровідних домішок. Також додана додаткова колонка PerfectSil 120 Sil та до опису методики додано об’єм ін’єкції розчину SST.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UA/18957/01/01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оновлення ASMF для АФІ декскетопрофену трометолу виробника Emcure Pharmaceuticals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UA/13589/01/01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50 мг/2 мл; по 2 мл в ампулі; по 5 ампул у касеті; по 1 касеті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оновлення ASMF для АФІ декскетопрофену трометолу виробника Emcure Pharmaceuticals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UA/13589/02/01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ДЕРМАЗИН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крем 1 %;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за повним циклом: </w:t>
            </w:r>
            <w:r w:rsidRPr="00EE4593">
              <w:rPr>
                <w:rFonts w:ascii="Arial" w:hAnsi="Arial" w:cs="Arial"/>
                <w:color w:val="000000"/>
                <w:sz w:val="16"/>
                <w:szCs w:val="16"/>
              </w:rPr>
              <w:br/>
              <w:t xml:space="preserve">Салютас Фарма ГмбХ, Німеччина </w:t>
            </w:r>
            <w:r w:rsidRPr="00EE4593">
              <w:rPr>
                <w:rFonts w:ascii="Arial" w:hAnsi="Arial" w:cs="Arial"/>
                <w:color w:val="000000"/>
                <w:sz w:val="16"/>
                <w:szCs w:val="16"/>
              </w:rPr>
              <w:br/>
              <w:t xml:space="preserve">вторинна упаковка: </w:t>
            </w:r>
            <w:r w:rsidRPr="00EE4593">
              <w:rPr>
                <w:rFonts w:ascii="Arial" w:hAnsi="Arial" w:cs="Arial"/>
                <w:color w:val="000000"/>
                <w:sz w:val="16"/>
                <w:szCs w:val="16"/>
              </w:rPr>
              <w:br/>
              <w:t xml:space="preserve">Салютас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Специфікацію АФІ (срібла сульфадіазин) доповнено новим показником якості Residual Solvents. Benzene USP &lt;467&gt; (критерій прийнятності NMT 2 ppm з періодичністю контролю 1 раз на рік) та відповідним методом випробування для виробника АФІ LUSOCHIMICA SpA, Italy. Відповідно оновлено ДМФ з версії 03/2019 до версії 04/2020 та відповідні розділи реєстраційного досьє: 3.2.S.3.2. Домішки; 3.2.S.4.1. Специфікація; 3.2.S.4.2. Аналітичні методики; 3.2.S.4.3. Валідація аналітичних методик; </w:t>
            </w:r>
            <w:r w:rsidRPr="00EE4593">
              <w:rPr>
                <w:rFonts w:ascii="Arial" w:hAnsi="Arial" w:cs="Arial"/>
                <w:color w:val="000000"/>
                <w:sz w:val="16"/>
                <w:szCs w:val="16"/>
              </w:rPr>
              <w:br/>
              <w:t>3.2.S.4.4. Аналізи серій; 3.2.S.4.5. Обґрунтування специфікації; 3.2.S.2.2. Опис виробничого процесу та його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UA/8997/01/01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ДІОФЛАН®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Затверджено: 102,86 кг, що становить 142 857 таблеток (з допустимим відхиленням від 92,57 кг до 113,15 кг або 128 571 таблеток до 157 142 таблеток) 205,72 кг, що становить 285 714 таблеток (з допустимим відхиленням від 185,15 кг до 226,29 кг або 257 142 таблеток до 314 285 таблеток) Запропоновано: 102,86 кг, що становить 142 857 таблеток (з допустимим відхиленням від 92,57 кг до 113,15 кг або 128 571 таблеток до 157 142 таблеток) 205,72 кг, що становить 285 714 таблеток (з допустимим відхиленням від 185,15 кг до 226,29 кг або 257 142 таблеток до 314 285 таблеток) 452,58 кг, що становить 628 570 таблеток (з допустимим відхиленням від 411,44 кг до 493,73 кг або 257 142 таблеток до 314 285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UA/10773/01/01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ЕПІРУБІЦИН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 мг/мл по 5 мл, або по 10 мл, або по 25 мл, або по 50 мл, або по 100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Онкомед меньюфекчерінг а.с., Чеська Республiка (виробництво "in bulk", пакування, маркування та контроль серії); Онкотек Фарма Продакшн ГмбХ, Німеччина (виробництво "in bulk", пакування, маркування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в специфікації ГЛЗ, а саме: ідентифікація УФ-спектру метод УФ-спектрофотометрія на момент терміну придатності. А також приведення показників «Об’єм що витягується», «Бактеріальні ендотоксини», «Стерильність» та «Механічні включення» у відповідність до специфікації виробника, а саме: -«Об’єм що витягується», «Бактеріальні ендотоксини» внесено примітку </w:t>
            </w:r>
            <w:r w:rsidRPr="00EE4593">
              <w:rPr>
                <w:rFonts w:ascii="Arial" w:hAnsi="Arial" w:cs="Arial"/>
                <w:color w:val="000000"/>
                <w:sz w:val="16"/>
                <w:szCs w:val="16"/>
              </w:rPr>
              <w:br/>
              <w:t xml:space="preserve">***Перевіряється лише на t0 на момент терміну придатності </w:t>
            </w:r>
            <w:r w:rsidRPr="00EE4593">
              <w:rPr>
                <w:rFonts w:ascii="Arial" w:hAnsi="Arial" w:cs="Arial"/>
                <w:color w:val="000000"/>
                <w:sz w:val="16"/>
                <w:szCs w:val="16"/>
              </w:rPr>
              <w:br/>
              <w:t xml:space="preserve">-«Стерильність» внесено примітку **** Перевіряється лише на t0 та останній точці контролю на момент терміну придатності </w:t>
            </w:r>
            <w:r w:rsidRPr="00EE4593">
              <w:rPr>
                <w:rFonts w:ascii="Arial" w:hAnsi="Arial" w:cs="Arial"/>
                <w:color w:val="000000"/>
                <w:sz w:val="16"/>
                <w:szCs w:val="16"/>
              </w:rPr>
              <w:br/>
              <w:t xml:space="preserve">«Механічні включення» (затверджено: не более 6000 частиц на флакон </w:t>
            </w:r>
            <w:r w:rsidRPr="00EE4593">
              <w:rPr>
                <w:rStyle w:val="csf229d0ff10"/>
                <w:sz w:val="16"/>
                <w:szCs w:val="16"/>
              </w:rPr>
              <w:t>≥</w:t>
            </w:r>
            <w:r w:rsidRPr="00EE4593">
              <w:rPr>
                <w:rFonts w:ascii="Arial" w:hAnsi="Arial" w:cs="Arial"/>
                <w:color w:val="000000"/>
                <w:sz w:val="16"/>
                <w:szCs w:val="16"/>
              </w:rPr>
              <w:t xml:space="preserve">10 мкм; не более 600 частиц на флакон </w:t>
            </w:r>
            <w:r w:rsidRPr="00EE4593">
              <w:rPr>
                <w:rStyle w:val="csf229d0ff10"/>
                <w:sz w:val="16"/>
                <w:szCs w:val="16"/>
              </w:rPr>
              <w:t>≥</w:t>
            </w:r>
            <w:r w:rsidRPr="00EE4593">
              <w:rPr>
                <w:rFonts w:ascii="Arial" w:hAnsi="Arial" w:cs="Arial"/>
                <w:color w:val="000000"/>
                <w:sz w:val="16"/>
                <w:szCs w:val="16"/>
              </w:rPr>
              <w:t xml:space="preserve">25 мкм; запропоновано: А. Видимі частки практично вільний від видимих часток; Б. Невидимі частки </w:t>
            </w:r>
            <w:r w:rsidRPr="00EE4593">
              <w:rPr>
                <w:rStyle w:val="csf229d0ff10"/>
                <w:sz w:val="16"/>
                <w:szCs w:val="16"/>
              </w:rPr>
              <w:t>≥</w:t>
            </w:r>
            <w:r w:rsidRPr="00EE4593">
              <w:rPr>
                <w:rFonts w:ascii="Arial" w:hAnsi="Arial" w:cs="Arial"/>
                <w:color w:val="000000"/>
                <w:sz w:val="16"/>
                <w:szCs w:val="16"/>
              </w:rPr>
              <w:t xml:space="preserve">10 мкм: не більше 6000; </w:t>
            </w:r>
            <w:r w:rsidRPr="00EE4593">
              <w:rPr>
                <w:rStyle w:val="csf229d0ff10"/>
                <w:sz w:val="16"/>
                <w:szCs w:val="16"/>
              </w:rPr>
              <w:t>≥</w:t>
            </w:r>
            <w:r w:rsidRPr="00EE4593">
              <w:rPr>
                <w:rFonts w:ascii="Arial" w:hAnsi="Arial" w:cs="Arial"/>
                <w:color w:val="000000"/>
                <w:sz w:val="16"/>
                <w:szCs w:val="16"/>
              </w:rPr>
              <w:t xml:space="preserve">25 мкм: не більше 600).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методах випробування готового лікарського засобу, а саме виправлення розрахункових формул для його кількісного визначення та супутніх домішок; приведення опису показників «Бактеріальні ендотоксини», «Механічні включення», «Стерильність», «рН», «Об’єм що витягується», «Ідентифікація» до реєстраційних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показника «Опис», а саме щодо прозорості розчину у методах випробування ГЛЗ Затверджено: прозорий розчин червоного кольору, вільний від видимих механічних включень; Запропоновано: прозорий розчин червоного кольору). Введення змін протягом 6-ти місяців після затвердження. </w:t>
            </w:r>
            <w:r w:rsidRPr="00EE4593">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оновлення опису методу визначення вмісту хлоридів згідно монографії Ph. Eur. 2.2.20, а саме визначення титру розчину нітрату срібла.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UA/10941/01/01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in bulk: № 5000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10 мг; по 10 таблеток в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UA/15698/01/02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20 мг; по 10 таблеток в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UA/15698/01/04</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15 мг по 10 таблеток в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UA/15698/01/03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5 мг; по 10 таблеток в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15 мг; in bulk: № 5000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UA/15699/01/03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 мг; in bulk: № 5000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UA/15699/01/04</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ЕПРАКАД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in bulk: № 5000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w:t>
            </w:r>
            <w:r w:rsidRPr="00EE4593">
              <w:rPr>
                <w:rFonts w:ascii="Arial" w:hAnsi="Arial" w:cs="Arial"/>
                <w:color w:val="000000"/>
                <w:sz w:val="16"/>
                <w:szCs w:val="16"/>
              </w:rPr>
              <w:br/>
              <w:t xml:space="preserve">Оновлення вже затвердженого тексту маркування для упаковки in bulk: № 5000 у поліетиленовому пакеті (внесення позначень одиниць вимірювання із застосуванням літер латинського алфавіту; тощо); внесення зміни до розділу «Маркування» МКЯ ЛЗ: </w:t>
            </w:r>
            <w:r w:rsidRPr="00EE4593">
              <w:rPr>
                <w:rFonts w:ascii="Arial" w:hAnsi="Arial" w:cs="Arial"/>
                <w:color w:val="000000"/>
                <w:sz w:val="16"/>
                <w:szCs w:val="16"/>
              </w:rPr>
              <w:br/>
              <w:t>Затверджено: МАРКИРОВКА В соответствии с утвержденным текстом маркировки.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UA/15699/01/02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ЕТОМІД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250 мг; по 10 таблеток у стрипі; по 5 або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Затверджено: Плот № 25-27, Сюрвей № 366, Прем`єр Індастріал Істейт, Качигам, Даман - 396 210 (Фаза II), Індія / Plot № 25 – 27, Survey № 366, Premier Industrial Estate, Kachigam, Daman – 396 210 (Phase II), India. Запропоновано: Фаза II, Плот № 12, 15, 21, 23, 24, 25, 26, 27, 28 і 30, Сюрвей № 366, Прем`єр Індастріал Істейт, Качигам, Даман, 396210, Індія / Unit- II, Plot 12, 15, 21, 23, 24, 25, 26, 27, 28 &amp; 30, Survey No. 366, Premier Industrial Estate, Kachigam, Daman, 396210,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UA/2425/01/01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9C026C" w:rsidRDefault="00864C4D" w:rsidP="002B3B55">
            <w:pPr>
              <w:tabs>
                <w:tab w:val="left" w:pos="12600"/>
              </w:tabs>
              <w:jc w:val="center"/>
              <w:rPr>
                <w:rFonts w:ascii="Arial" w:hAnsi="Arial" w:cs="Arial"/>
                <w:color w:val="000000"/>
                <w:sz w:val="16"/>
                <w:szCs w:val="16"/>
                <w:lang w:val="en-US"/>
              </w:rPr>
            </w:pPr>
            <w:r w:rsidRPr="00EE459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місця провадження діяльності виробника ГЛЗ, без зміни місця виробництва. Затверджено: Ауробіндо Фарма Лімітед (Юніт ІІІ) / Сарвей №313, Бачупалі Віладж, Кутубуллапур Мандал, Ранджа Реді Дістрікт (А.Р.), Індія, Aurobindo Pharma Limited (Unit III) / Survey No. 313, Bachupally Village, Qutubullapur Mandal, Ranga Reddy, District (A.P.), India. Запропоновано: Ауробіндо Фарма Лімітед - Юніт ІІІ / Сарвей №313, 314 –Блоки І, ІІ, ІІІ, ІV, Бачупалі, Бачупалі Мандал, Медчал-Малкаджирі Дістрікт, Штат Телангана, 500090, Індія. </w:t>
            </w:r>
            <w:r w:rsidRPr="009C026C">
              <w:rPr>
                <w:rFonts w:ascii="Arial" w:hAnsi="Arial" w:cs="Arial"/>
                <w:color w:val="000000"/>
                <w:sz w:val="16"/>
                <w:szCs w:val="16"/>
                <w:lang w:val="en-US"/>
              </w:rPr>
              <w:t>Aurobindo Pharma Limited -Unit III / Survey no.: 313, 314 – Block I, II, III, IV, Bachupally, Bachupally Mandal, Medchal-Malkajgiri District, Tel</w:t>
            </w:r>
            <w:r w:rsidRPr="00EE4593">
              <w:rPr>
                <w:rFonts w:ascii="Arial" w:hAnsi="Arial" w:cs="Arial"/>
                <w:color w:val="000000"/>
                <w:sz w:val="16"/>
                <w:szCs w:val="16"/>
              </w:rPr>
              <w:t>а</w:t>
            </w:r>
            <w:r w:rsidRPr="009C026C">
              <w:rPr>
                <w:rFonts w:ascii="Arial" w:hAnsi="Arial" w:cs="Arial"/>
                <w:color w:val="000000"/>
                <w:sz w:val="16"/>
                <w:szCs w:val="16"/>
                <w:lang w:val="en-US"/>
              </w:rPr>
              <w:t xml:space="preserve">ngana State, 500090, India. </w:t>
            </w:r>
            <w:r w:rsidRPr="00EE4593">
              <w:rPr>
                <w:rFonts w:ascii="Arial" w:hAnsi="Arial" w:cs="Arial"/>
                <w:color w:val="000000"/>
                <w:sz w:val="16"/>
                <w:szCs w:val="16"/>
              </w:rPr>
              <w:t>Зміни</w:t>
            </w:r>
            <w:r w:rsidRPr="009C026C">
              <w:rPr>
                <w:rFonts w:ascii="Arial" w:hAnsi="Arial" w:cs="Arial"/>
                <w:color w:val="000000"/>
                <w:sz w:val="16"/>
                <w:szCs w:val="16"/>
                <w:lang w:val="en-US"/>
              </w:rPr>
              <w:t xml:space="preserve"> </w:t>
            </w:r>
            <w:r w:rsidRPr="00EE4593">
              <w:rPr>
                <w:rFonts w:ascii="Arial" w:hAnsi="Arial" w:cs="Arial"/>
                <w:color w:val="000000"/>
                <w:sz w:val="16"/>
                <w:szCs w:val="16"/>
              </w:rPr>
              <w:t>внесені</w:t>
            </w:r>
            <w:r w:rsidRPr="009C026C">
              <w:rPr>
                <w:rFonts w:ascii="Arial" w:hAnsi="Arial" w:cs="Arial"/>
                <w:color w:val="000000"/>
                <w:sz w:val="16"/>
                <w:szCs w:val="16"/>
                <w:lang w:val="en-US"/>
              </w:rPr>
              <w:t xml:space="preserve"> </w:t>
            </w:r>
            <w:r w:rsidRPr="00EE4593">
              <w:rPr>
                <w:rFonts w:ascii="Arial" w:hAnsi="Arial" w:cs="Arial"/>
                <w:color w:val="000000"/>
                <w:sz w:val="16"/>
                <w:szCs w:val="16"/>
              </w:rPr>
              <w:t>в</w:t>
            </w:r>
            <w:r w:rsidRPr="009C026C">
              <w:rPr>
                <w:rFonts w:ascii="Arial" w:hAnsi="Arial" w:cs="Arial"/>
                <w:color w:val="000000"/>
                <w:sz w:val="16"/>
                <w:szCs w:val="16"/>
                <w:lang w:val="en-US"/>
              </w:rPr>
              <w:t xml:space="preserve"> </w:t>
            </w:r>
            <w:r w:rsidRPr="00EE4593">
              <w:rPr>
                <w:rFonts w:ascii="Arial" w:hAnsi="Arial" w:cs="Arial"/>
                <w:color w:val="000000"/>
                <w:sz w:val="16"/>
                <w:szCs w:val="16"/>
              </w:rPr>
              <w:t>інструкцію</w:t>
            </w:r>
            <w:r w:rsidRPr="009C026C">
              <w:rPr>
                <w:rFonts w:ascii="Arial" w:hAnsi="Arial" w:cs="Arial"/>
                <w:color w:val="000000"/>
                <w:sz w:val="16"/>
                <w:szCs w:val="16"/>
                <w:lang w:val="en-US"/>
              </w:rPr>
              <w:t xml:space="preserve"> </w:t>
            </w:r>
            <w:r w:rsidRPr="00EE4593">
              <w:rPr>
                <w:rFonts w:ascii="Arial" w:hAnsi="Arial" w:cs="Arial"/>
                <w:color w:val="000000"/>
                <w:sz w:val="16"/>
                <w:szCs w:val="16"/>
              </w:rPr>
              <w:t>для</w:t>
            </w:r>
            <w:r w:rsidRPr="009C026C">
              <w:rPr>
                <w:rFonts w:ascii="Arial" w:hAnsi="Arial" w:cs="Arial"/>
                <w:color w:val="000000"/>
                <w:sz w:val="16"/>
                <w:szCs w:val="16"/>
                <w:lang w:val="en-US"/>
              </w:rPr>
              <w:t xml:space="preserve"> </w:t>
            </w:r>
            <w:r w:rsidRPr="00EE4593">
              <w:rPr>
                <w:rFonts w:ascii="Arial" w:hAnsi="Arial" w:cs="Arial"/>
                <w:color w:val="000000"/>
                <w:sz w:val="16"/>
                <w:szCs w:val="16"/>
              </w:rPr>
              <w:t>медичного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застосування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лікарського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засобу</w:t>
            </w:r>
            <w:r w:rsidRPr="009C026C">
              <w:rPr>
                <w:rFonts w:ascii="Arial" w:hAnsi="Arial" w:cs="Arial"/>
                <w:color w:val="000000"/>
                <w:sz w:val="16"/>
                <w:szCs w:val="16"/>
                <w:lang w:val="en-US"/>
              </w:rPr>
              <w:t xml:space="preserve"> </w:t>
            </w:r>
            <w:r w:rsidRPr="00EE4593">
              <w:rPr>
                <w:rFonts w:ascii="Arial" w:hAnsi="Arial" w:cs="Arial"/>
                <w:color w:val="000000"/>
                <w:sz w:val="16"/>
                <w:szCs w:val="16"/>
              </w:rPr>
              <w:t>у</w:t>
            </w:r>
            <w:r w:rsidRPr="009C026C">
              <w:rPr>
                <w:rFonts w:ascii="Arial" w:hAnsi="Arial" w:cs="Arial"/>
                <w:color w:val="000000"/>
                <w:sz w:val="16"/>
                <w:szCs w:val="16"/>
                <w:lang w:val="en-US"/>
              </w:rPr>
              <w:t xml:space="preserve"> </w:t>
            </w:r>
            <w:r w:rsidRPr="00EE4593">
              <w:rPr>
                <w:rFonts w:ascii="Arial" w:hAnsi="Arial" w:cs="Arial"/>
                <w:color w:val="000000"/>
                <w:sz w:val="16"/>
                <w:szCs w:val="16"/>
              </w:rPr>
              <w:t>розділи</w:t>
            </w:r>
            <w:r w:rsidRPr="009C026C">
              <w:rPr>
                <w:rFonts w:ascii="Arial" w:hAnsi="Arial" w:cs="Arial"/>
                <w:color w:val="000000"/>
                <w:sz w:val="16"/>
                <w:szCs w:val="16"/>
                <w:lang w:val="en-US"/>
              </w:rPr>
              <w:t xml:space="preserve"> "</w:t>
            </w:r>
            <w:r w:rsidRPr="00EE4593">
              <w:rPr>
                <w:rFonts w:ascii="Arial" w:hAnsi="Arial" w:cs="Arial"/>
                <w:color w:val="000000"/>
                <w:sz w:val="16"/>
                <w:szCs w:val="16"/>
              </w:rPr>
              <w:t>Виробник</w:t>
            </w:r>
            <w:r w:rsidRPr="009C026C">
              <w:rPr>
                <w:rFonts w:ascii="Arial" w:hAnsi="Arial" w:cs="Arial"/>
                <w:color w:val="000000"/>
                <w:sz w:val="16"/>
                <w:szCs w:val="16"/>
                <w:lang w:val="en-US"/>
              </w:rPr>
              <w:t>", "</w:t>
            </w:r>
            <w:r w:rsidRPr="00EE4593">
              <w:rPr>
                <w:rFonts w:ascii="Arial" w:hAnsi="Arial" w:cs="Arial"/>
                <w:color w:val="000000"/>
                <w:sz w:val="16"/>
                <w:szCs w:val="16"/>
              </w:rPr>
              <w:t>Місцезнаходження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виробника</w:t>
            </w:r>
            <w:r w:rsidRPr="009C026C">
              <w:rPr>
                <w:rFonts w:ascii="Arial" w:hAnsi="Arial" w:cs="Arial"/>
                <w:color w:val="000000"/>
                <w:sz w:val="16"/>
                <w:szCs w:val="16"/>
                <w:lang w:val="en-US"/>
              </w:rPr>
              <w:t xml:space="preserve"> </w:t>
            </w:r>
            <w:r w:rsidRPr="00EE4593">
              <w:rPr>
                <w:rFonts w:ascii="Arial" w:hAnsi="Arial" w:cs="Arial"/>
                <w:color w:val="000000"/>
                <w:sz w:val="16"/>
                <w:szCs w:val="16"/>
              </w:rPr>
              <w:t>та</w:t>
            </w:r>
            <w:r w:rsidRPr="009C026C">
              <w:rPr>
                <w:rFonts w:ascii="Arial" w:hAnsi="Arial" w:cs="Arial"/>
                <w:color w:val="000000"/>
                <w:sz w:val="16"/>
                <w:szCs w:val="16"/>
                <w:lang w:val="en-US"/>
              </w:rPr>
              <w:t xml:space="preserve"> </w:t>
            </w:r>
            <w:r w:rsidRPr="00EE4593">
              <w:rPr>
                <w:rFonts w:ascii="Arial" w:hAnsi="Arial" w:cs="Arial"/>
                <w:color w:val="000000"/>
                <w:sz w:val="16"/>
                <w:szCs w:val="16"/>
              </w:rPr>
              <w:t>його</w:t>
            </w:r>
            <w:r w:rsidRPr="009C026C">
              <w:rPr>
                <w:rFonts w:ascii="Arial" w:hAnsi="Arial" w:cs="Arial"/>
                <w:color w:val="000000"/>
                <w:sz w:val="16"/>
                <w:szCs w:val="16"/>
                <w:lang w:val="en-US"/>
              </w:rPr>
              <w:t xml:space="preserve"> </w:t>
            </w:r>
            <w:r w:rsidRPr="00EE4593">
              <w:rPr>
                <w:rFonts w:ascii="Arial" w:hAnsi="Arial" w:cs="Arial"/>
                <w:color w:val="000000"/>
                <w:sz w:val="16"/>
                <w:szCs w:val="16"/>
              </w:rPr>
              <w:t>адреса</w:t>
            </w:r>
            <w:r w:rsidRPr="009C026C">
              <w:rPr>
                <w:rFonts w:ascii="Arial" w:hAnsi="Arial" w:cs="Arial"/>
                <w:color w:val="000000"/>
                <w:sz w:val="16"/>
                <w:szCs w:val="16"/>
                <w:lang w:val="en-US"/>
              </w:rPr>
              <w:t xml:space="preserve"> </w:t>
            </w:r>
            <w:r w:rsidRPr="00EE4593">
              <w:rPr>
                <w:rFonts w:ascii="Arial" w:hAnsi="Arial" w:cs="Arial"/>
                <w:color w:val="000000"/>
                <w:sz w:val="16"/>
                <w:szCs w:val="16"/>
              </w:rPr>
              <w:t>місця</w:t>
            </w:r>
            <w:r w:rsidRPr="009C026C">
              <w:rPr>
                <w:rFonts w:ascii="Arial" w:hAnsi="Arial" w:cs="Arial"/>
                <w:color w:val="000000"/>
                <w:sz w:val="16"/>
                <w:szCs w:val="16"/>
                <w:lang w:val="en-US"/>
              </w:rPr>
              <w:t xml:space="preserve"> </w:t>
            </w:r>
            <w:r w:rsidRPr="00EE4593">
              <w:rPr>
                <w:rFonts w:ascii="Arial" w:hAnsi="Arial" w:cs="Arial"/>
                <w:color w:val="000000"/>
                <w:sz w:val="16"/>
                <w:szCs w:val="16"/>
              </w:rPr>
              <w:t>провадження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діяльності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з</w:t>
            </w:r>
            <w:r w:rsidRPr="009C026C">
              <w:rPr>
                <w:rFonts w:ascii="Arial" w:hAnsi="Arial" w:cs="Arial"/>
                <w:color w:val="000000"/>
                <w:sz w:val="16"/>
                <w:szCs w:val="16"/>
                <w:lang w:val="en-US"/>
              </w:rPr>
              <w:t xml:space="preserve"> </w:t>
            </w:r>
            <w:r w:rsidRPr="00EE4593">
              <w:rPr>
                <w:rFonts w:ascii="Arial" w:hAnsi="Arial" w:cs="Arial"/>
                <w:color w:val="000000"/>
                <w:sz w:val="16"/>
                <w:szCs w:val="16"/>
              </w:rPr>
              <w:t>відповідними</w:t>
            </w:r>
            <w:r w:rsidRPr="009C026C">
              <w:rPr>
                <w:rFonts w:ascii="Arial" w:hAnsi="Arial" w:cs="Arial"/>
                <w:color w:val="000000"/>
                <w:sz w:val="16"/>
                <w:szCs w:val="16"/>
                <w:lang w:val="en-US"/>
              </w:rPr>
              <w:t xml:space="preserve"> </w:t>
            </w:r>
            <w:r w:rsidRPr="00EE4593">
              <w:rPr>
                <w:rFonts w:ascii="Arial" w:hAnsi="Arial" w:cs="Arial"/>
                <w:color w:val="000000"/>
                <w:sz w:val="16"/>
                <w:szCs w:val="16"/>
              </w:rPr>
              <w:t>змінами</w:t>
            </w:r>
            <w:r w:rsidRPr="009C026C">
              <w:rPr>
                <w:rFonts w:ascii="Arial" w:hAnsi="Arial" w:cs="Arial"/>
                <w:color w:val="000000"/>
                <w:sz w:val="16"/>
                <w:szCs w:val="16"/>
                <w:lang w:val="en-US"/>
              </w:rPr>
              <w:t xml:space="preserve"> </w:t>
            </w:r>
            <w:r w:rsidRPr="00EE4593">
              <w:rPr>
                <w:rFonts w:ascii="Arial" w:hAnsi="Arial" w:cs="Arial"/>
                <w:color w:val="000000"/>
                <w:sz w:val="16"/>
                <w:szCs w:val="16"/>
              </w:rPr>
              <w:t>в</w:t>
            </w:r>
            <w:r w:rsidRPr="009C026C">
              <w:rPr>
                <w:rFonts w:ascii="Arial" w:hAnsi="Arial" w:cs="Arial"/>
                <w:color w:val="000000"/>
                <w:sz w:val="16"/>
                <w:szCs w:val="16"/>
                <w:lang w:val="en-US"/>
              </w:rPr>
              <w:t xml:space="preserve"> </w:t>
            </w:r>
            <w:r w:rsidRPr="00EE4593">
              <w:rPr>
                <w:rFonts w:ascii="Arial" w:hAnsi="Arial" w:cs="Arial"/>
                <w:color w:val="000000"/>
                <w:sz w:val="16"/>
                <w:szCs w:val="16"/>
              </w:rPr>
              <w:t>тексті</w:t>
            </w:r>
            <w:r w:rsidRPr="009C026C">
              <w:rPr>
                <w:rFonts w:ascii="Arial" w:hAnsi="Arial" w:cs="Arial"/>
                <w:color w:val="000000"/>
                <w:sz w:val="16"/>
                <w:szCs w:val="16"/>
                <w:lang w:val="en-US"/>
              </w:rPr>
              <w:t xml:space="preserve"> </w:t>
            </w:r>
            <w:r w:rsidRPr="00EE4593">
              <w:rPr>
                <w:rFonts w:ascii="Arial" w:hAnsi="Arial" w:cs="Arial"/>
                <w:color w:val="000000"/>
                <w:sz w:val="16"/>
                <w:szCs w:val="16"/>
              </w:rPr>
              <w:t>маркування</w:t>
            </w:r>
            <w:r w:rsidRPr="009C026C">
              <w:rPr>
                <w:rFonts w:ascii="Arial" w:hAnsi="Arial" w:cs="Arial"/>
                <w:color w:val="000000"/>
                <w:sz w:val="16"/>
                <w:szCs w:val="16"/>
                <w:lang w:val="en-US"/>
              </w:rPr>
              <w:t xml:space="preserve"> </w:t>
            </w:r>
            <w:r w:rsidRPr="00EE4593">
              <w:rPr>
                <w:rFonts w:ascii="Arial" w:hAnsi="Arial" w:cs="Arial"/>
                <w:color w:val="000000"/>
                <w:sz w:val="16"/>
                <w:szCs w:val="16"/>
              </w:rPr>
              <w:t>упаковок</w:t>
            </w:r>
            <w:r w:rsidRPr="009C026C">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UA/4793/02/01</w:t>
            </w:r>
          </w:p>
        </w:tc>
      </w:tr>
      <w:tr w:rsidR="00864C4D" w:rsidRPr="00664B66"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ЗИДОВУДИН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оральний, 50 мг/5 мл по 240 мл у флаконі з контролем першого відкриття та мірним стаканчиком,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Ауробіндо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Уповноважена особа, відповідальна за здійснення </w:t>
            </w:r>
            <w:r w:rsidRPr="00EE4593">
              <w:rPr>
                <w:rFonts w:ascii="Arial" w:hAnsi="Arial" w:cs="Arial"/>
                <w:color w:val="000000"/>
                <w:sz w:val="16"/>
                <w:szCs w:val="16"/>
              </w:rPr>
              <w:br/>
              <w:t xml:space="preserve">фармаконагляду – Соучек Світлана Василівна. Пропонована редакція: Уповноважена особа, відповідальна за здійснення </w:t>
            </w:r>
            <w:r w:rsidRPr="00EE4593">
              <w:rPr>
                <w:rFonts w:ascii="Arial" w:hAnsi="Arial" w:cs="Arial"/>
                <w:color w:val="000000"/>
                <w:sz w:val="16"/>
                <w:szCs w:val="16"/>
              </w:rPr>
              <w:br/>
              <w:t xml:space="preserve">фармаконагляду – Пан Хануманту Пенчалаях; Контактна особа, відповідальна за здійснення фармаконагляду в Україні – Самойленко Артем Павлович.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UA/4793/02/01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ЗОДАК®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краплі оральні, 10 мг/мл; по 20 мл розчину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Ей. Наттерманн енд Сайі. ГмбХ, Німеччина; ТОВ "Зентіва",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2000-081-Rev 05 (затверджено: R1-CEP 2000-081-Rev 04) для діючої речовини Cetirizine dihydrochloride від вже затвердженого виробника CIPLA LIMITED, як наслідок зміна адреси виробничої дільниці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2000-081-Rev 06 для діючої речовини Cetirizine dihydrochloride від вже затвердженого виробника CIPLA LIMITED, як наслідок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UA/4070/01/01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ЗОКАРДІС®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"in bulk", первинне та вторинне пакування, контроль та випуск серій: Менаріні - Фон Хейден ГмбХ, Німеччина;</w:t>
            </w:r>
            <w:r w:rsidRPr="00EE4593">
              <w:rPr>
                <w:rFonts w:ascii="Arial" w:hAnsi="Arial" w:cs="Arial"/>
                <w:color w:val="000000"/>
                <w:sz w:val="16"/>
                <w:szCs w:val="16"/>
              </w:rPr>
              <w:br/>
              <w:t>Виробництво "in bulk", первинне та вторинне пакування, випуск серій: A. Менаріні Мануфактурінг Логістікс енд Сервісес С.р.Л., Італія; Контроль серій: Домпе С.п.А., Італія; A.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UA/3246/01/01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ЗОЛМІТРИПТАН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(субстанція) у пакетах багатошарових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ПЛІВА ХОРВАТІЯ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ареси заявника.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показника якості субстанції золмітриптан «Опис» від виробника Pliva Croatia Ltd., Cratia у відповідність до вимог монографії Європейської фармакопеї; показник «Супровідні домішки»: додається домішка С з нормуванням не більше 0,15% (у відповідності до вимог монографії Європейської фармакопеї) та приведення методики контролю до вимог ДМФ виробника; вилучення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для субстанції золмітриптан від виробника Pliva Croatia Ltd., Cratia за показником «Кількісне визначення». Затверджено: Кількісне визначення Від 99,0% до 101,0 % в перерахуванні на безводну речовину і вільну від розчинників основу. Запропоновано: Кількісне визначення Від 98,0% до 102,0 % в перерахуванні на безводну речовину і вільну від розчинників основу.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за показником «Кількісне визначення», а саме-методику визначення даного показника змінено з потенціометричного титрування на рідинну хроматографію, внесено зміни в нормування.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UA/16552/01/01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Менюфекчуринг Дойчленд ГмбХ, Німеччина (виробництво, первинне та вторинне пакування, контроль якості, випуск серії); Хаупт Фарма Латіна С.р.л.,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внесення змін до складу допоміжних речовин ГЛЗ, до системи барвників Opadry білий та Opadry прозорий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UA/7475/01/01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сублінгвальні по 5 мг по 25 таблеток у банці; по 1 банці у пачці з картону; по 40 таблеток у банці, по 1 банці у пачці з картону;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альтернативної кришки (LDPE) білого кольору вітчизняного виробника ТОВ «АГК Україна» до контейнеру (банок полімрних) виробництва ТОВ «АГК Україна», Україна (затверджені кришки (LDPE) червоного та жовтого кольору).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UA/3186/03/01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ІМУНОГЛОБУЛІН ЛЮДИНИ НОРМАЛЬНИЙ - 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 по 1,5 мл в ампулі; по 10 ампул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"БІОФАРМА ПЛАЗМА" (виробництво, первинне та вторинне пакування, контроль якості, випуск серій;</w:t>
            </w:r>
            <w:r w:rsidRPr="00EE4593">
              <w:rPr>
                <w:rFonts w:ascii="Arial" w:hAnsi="Arial" w:cs="Arial"/>
                <w:color w:val="000000"/>
                <w:sz w:val="16"/>
                <w:szCs w:val="16"/>
              </w:rPr>
              <w:br/>
              <w:t>контроль якості),</w:t>
            </w:r>
            <w:r w:rsidRPr="00EE4593">
              <w:rPr>
                <w:rFonts w:ascii="Arial" w:hAnsi="Arial" w:cs="Arial"/>
                <w:color w:val="000000"/>
                <w:sz w:val="16"/>
                <w:szCs w:val="16"/>
              </w:rPr>
              <w:br/>
              <w:t>Україна;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ТОВ "ФЗ "БІОФАРМА</w:t>
            </w:r>
            <w:r w:rsidRPr="00EE459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"БІОФАРМА ПЛАЗМА", Україна, 03680, м. Київ, вул. М. Амосова, 9, що відповідає за виробництво та первинне пакування. Зміни внесено в інструкцію для медичного застосування лікарського засобу та у коротку характеристику лікарського засобу щодо місцезнаходження виробника (вилучення виробничої дільниці). Термін введення змін протягом 3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UA/15902/01/01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ІНГАЛІПТ-КМ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"Стома"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для АФІ Сульфатіазолу натрію гексагідрат ТОВ "ФАРМХІМ", Україна. Затверджено: «Lab. OFICHEM b.v.», Нідерланди Запропоновано: «Lab. OFICHEM b.v.», Нідерланди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UA/0827/01/01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EE4593">
              <w:rPr>
                <w:rFonts w:ascii="Arial" w:hAnsi="Arial" w:cs="Arial"/>
                <w:color w:val="000000"/>
                <w:sz w:val="16"/>
                <w:szCs w:val="16"/>
              </w:rPr>
              <w:br/>
              <w:t>Пфайзер Менюфекчуринг Дойчленд ГмбХ, Німеччина;</w:t>
            </w:r>
            <w:r w:rsidRPr="00EE4593">
              <w:rPr>
                <w:rFonts w:ascii="Arial" w:hAnsi="Arial" w:cs="Arial"/>
                <w:color w:val="000000"/>
                <w:sz w:val="16"/>
                <w:szCs w:val="16"/>
              </w:rPr>
              <w:br/>
              <w:t>тестування при дослідженні стабільності:</w:t>
            </w:r>
            <w:r w:rsidRPr="00EE4593">
              <w:rPr>
                <w:rFonts w:ascii="Arial" w:hAnsi="Arial" w:cs="Arial"/>
                <w:color w:val="000000"/>
                <w:sz w:val="16"/>
                <w:szCs w:val="16"/>
              </w:rPr>
              <w:br/>
              <w:t>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Чехія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Квінта-Аналітика с.р.о. / Quinta – Analytica s.r.o. за адресою: Празька 1486/18с, Прага 10, Чехія / Prazska 1486/18c, Praha 10, Czechia, відповідальної за тестування при дослідженні стабільності препарату; деталізація виробничих функцій затвердженого виробника Pfizer Manufacturing Deutschland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UA/14080/01/01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EE4593">
              <w:rPr>
                <w:rFonts w:ascii="Arial" w:hAnsi="Arial" w:cs="Arial"/>
                <w:color w:val="000000"/>
                <w:sz w:val="16"/>
                <w:szCs w:val="16"/>
              </w:rPr>
              <w:br/>
              <w:t>Пфайзер Менюфекчуринг Дойчленд ГмбХ, Німеччина;</w:t>
            </w:r>
            <w:r w:rsidRPr="00EE4593">
              <w:rPr>
                <w:rFonts w:ascii="Arial" w:hAnsi="Arial" w:cs="Arial"/>
                <w:color w:val="000000"/>
                <w:sz w:val="16"/>
                <w:szCs w:val="16"/>
              </w:rPr>
              <w:br/>
              <w:t>тестування при дослідженні стабільності:</w:t>
            </w:r>
            <w:r w:rsidRPr="00EE4593">
              <w:rPr>
                <w:rFonts w:ascii="Arial" w:hAnsi="Arial" w:cs="Arial"/>
                <w:color w:val="000000"/>
                <w:sz w:val="16"/>
                <w:szCs w:val="16"/>
              </w:rPr>
              <w:br/>
              <w:t>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Чехія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Квінта-Аналітика с.р.о. / Quinta – Analytica s.r.o. за адресою: Празька 1486/18с, Прага 10, Чехія / Prazska 1486/18c, Praha 10, Czechia, відповідальної за тестування при дослідженні стабільності препарату; деталізація виробничих функцій затвердженого виробника Pfizer Manufacturing Deutschland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UA/14080/01/02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крем, по 15 г крему в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лікарських засобів, що містять кортикостероїди.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UA/5199/01/01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мазь 1 %,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внесення змін до реєстраційних матеріалів: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однієї допоміжної речовини Проксанол-268 на Полоксамер 338 в складі лікарського засобу, як наслідок, оновлення вимог специфікації та методів випробування допоміжної речовини у п. 3.2.Р.4. Контроль допоміжних речовин.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(інші зміни).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UA/1645/02/01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КОВІФЛУ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200 мг, по 34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"ТЛП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1,5 роки.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UA/18699/01/01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КОВІФОР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UA/18752/01/01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в розділ "Склад" в інструкцію для медичного застосування лікарського засобу у зв"язку з приведенням назви діючої речовини у відповідність до затверджених методів контролю лікарського засобу. Введення змін протягом 6-ти місяців після затвердження. Зміни І типу - Зміни щодо безпеки/ефективності та фармаконагляду (інші зміни) - Відповідні зміни внесені у розділи "Назва лікарського засобу" та "Кількість діючої речовини"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UA/11812/01/01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КОНТРАКТУБЕКС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гель; по 10, 20 або 50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пакування, контроль якості і випуск готового лікарського засобу:</w:t>
            </w:r>
            <w:r w:rsidRPr="00EE4593">
              <w:rPr>
                <w:rFonts w:ascii="Arial" w:hAnsi="Arial" w:cs="Arial"/>
                <w:color w:val="000000"/>
                <w:sz w:val="16"/>
                <w:szCs w:val="16"/>
              </w:rPr>
              <w:br/>
              <w:t>Мерц Фарма ГмбХ і Ко. КГаА, Нiмеччина;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Престіж Промоушн Веркауфсфурдерунг &amp; Вербесервіс ГмбХ, Німеччина;</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 xml:space="preserve">Х.Е.Л.П.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(зміни до заходів, пов'язаних з контролем АФІ, або додавання дільниці, де проводиться контроль/випробування серії) - введення додаткової дільниці Finzelberg GmbH &amp; Co. KG, Sinzig, Німеччина, для проведення контролю якості АФІ рідкого екстракту цибулі (0,16:1) (Ext.Cepae).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Х.Е.Л.П. ГмбХ,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Престіж Промоушн Веркауфсфоердерунг &amp;Вербесервіс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UA/6090/01/01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150 мг/37,5 мг/200 мг; по 30 таблеток у флаконі; по 1 флакону в картонній коробці;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UA/1919/01/03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864C4D" w:rsidRPr="00EE4593" w:rsidRDefault="00864C4D" w:rsidP="002B3B55">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 xml:space="preserve">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EE4593">
              <w:rPr>
                <w:rFonts w:ascii="Arial" w:hAnsi="Arial" w:cs="Arial"/>
                <w:color w:val="000000"/>
                <w:sz w:val="16"/>
                <w:szCs w:val="16"/>
              </w:rPr>
              <w:br/>
              <w:t>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UA/17293/01/01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200 мг/50 мг/200 мг; по 30 таблеток у флаконі; по 1 флакону в картонній коробці;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EE4593">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UA/1919/01/04</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Оріон Корпорейшн, Фінляндія, Фінляндія Альтернативний виробник, що здійснює первинне та вторинне пакування:</w:t>
            </w:r>
            <w:r w:rsidRPr="00EE4593">
              <w:rPr>
                <w:rFonts w:ascii="Arial" w:hAnsi="Arial" w:cs="Arial"/>
                <w:color w:val="000000"/>
                <w:sz w:val="16"/>
                <w:szCs w:val="16"/>
              </w:rPr>
              <w:br/>
              <w:t>Оріон Корпорейшн, Фінляндія,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Чеська Республiка</w:t>
            </w:r>
          </w:p>
          <w:p w:rsidR="00864C4D" w:rsidRPr="00EE4593" w:rsidRDefault="00864C4D" w:rsidP="002B3B55">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2001-352 - Rev 03 (затверджено: R1-CEP 2001-352 - Rev 02) для діючої речовини Carbidopa від вже затвердженого виробника, як наслідок зміна назви та адреси власника СЕР та виробничої ділянки, зміни у специфікації АФІ за показником Супровідні домішки-приведено у відповідність до вимог монографії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04 для діючої речовини Carbidopa від вже затвердженого виробника SICOR S.R.L., Італія, який був доповнений оцінкою ризиків щодо елементних домішок відповідно до вимог ICH Q3D Guideline for elemental impurity.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2001-352 - Rev 05 для діючої речовини Carbidopa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03 (затверджено: R1-CEP 2005-161 - Rev 02) для діючої речовини Levodopa від вже затвердженого виробника, як наслідок зміна назви та адреси власника СЕР та виробничої дільниці.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2005-161 - Rev 04 для діючої речовини Levodopa від вже затвердженого виробника Divi's Laboratories Limited, Індія, який був доповнений оцінкою ризиків щодо елементних домішок відповідно до вимог ICH Q3D Guideline for elemental impurity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UA/17290/01/01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юридичної адреси виробника АФІ Етилового ефіру α-бромізовалеріанової кислоти, без зміни місця виробництва.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«Розчинність» для АФІ Фенобарбітал виробником ГЛЗ. </w:t>
            </w:r>
            <w:r w:rsidRPr="00EE4593">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CEP R1-CEP 2003-017-Rev 03 від нового виробника Harman Finochem Limited, Індія для АФІ Фенобарбіталу, та, як наслідок, додано нормування за показником «Залишкові кількості органічних розчинників» (метанол не більше 0,3% (3000 ppm), та толуол (не більше 0,089% (890 ppm)).</w:t>
            </w:r>
            <w:r w:rsidRPr="00EE4593">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субстанції Етиловий ефір α-бромізовалеріанової кислоти виробництва АТ «Фармак», Україна в м. Київ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UA/2554/02/01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КОСОПТ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Сантен АТ, Фiнляндiя (виробник, відповідальний за випуск серії); Тyбілюкс Фарма С.П.А., Італiя (виробник, відповідальний за виробництво in-bulk, первинну та вторинну упаковку, випробування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Фінляндія/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2003-239-Rev 04( затверджено: R1-CEP 2003-239-Rev 03) для діючої речовини Timolol maleate від вже затвердженого виробника Olon S.p.A., Italia.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07 (затверджено: R1-CEP 1998-147-Rev 06) для діючої речовини Timolol maleate від вже затвердженого виробника Sicor S.R.L., Італія.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1998-147-Rev 08 для діючої речовини Timolol maleate від вже затвердженого виробника Sicor S.R.L., Італія.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2003-239-Rev 05 для діючої речовини Timolol maleate від вже затвердженого виробника Olon S.p.A., Italia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UA/18106/01/01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КРАТАЛ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2 блістери в пачці; по 60 або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E4593">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методиках контролю АФІ Собачої кропиви екстракт густий, а саме т. «Мікробіологічна чистота» приведено у відповідність до ЕР/ДФУ.</w:t>
            </w:r>
            <w:r w:rsidRPr="00EE4593">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у методики контролю АФІ Собачої кропиви екстракт густий за т. «Ідентифікація. С. Іридоїди», «Ідентифікація. D. Флавоноїди (рутин, гіперозид), фенолкарбонові кислоти (кофейна кислота) -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вводиться періодичність контролю для т. «Ідентифікація. С. Іридоїди», «Ідентифікація. D. Флавоноїди (рутин, гіперозид), фенолкарбонові кислоти (кофейна кислота)» та тесту «Важкі метали» при виробництві АФІ СОБАЧОЇ КРОПИВИ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Специфікації для контролю проміжних продуктів, а саме пропонується встановити періодичність контролю проміжної продукції при виробництві препарату (контроль показників у першій серії компанії), а саме Маса для таблетування: п. «Опис», «Ідентифікація (флавоноїди)», «Кількісне визначення (таурин, сума флавоноїдів у перерахунку на рутин)»; </w:t>
            </w:r>
            <w:r w:rsidRPr="00EE4593">
              <w:rPr>
                <w:rFonts w:ascii="Arial" w:hAnsi="Arial" w:cs="Arial"/>
                <w:color w:val="000000"/>
                <w:sz w:val="16"/>
                <w:szCs w:val="16"/>
              </w:rPr>
              <w:br/>
              <w:t>Таблетки нерозфасовані: п. «Опис», «Середня маса», «Однорідність маси таблеток», «Стираність», «Розпадання», «Розчинення».</w:t>
            </w:r>
            <w:r w:rsidRPr="00EE4593">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E4593">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зміни в Специфікації та методиках контролю АФІ Глоду плодів екстракт густий, а саме т. «Мікробіологічна чистота» приведено у відповідність до ЕР/ДФУ.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у методики контролю АФІ Глоду плодів екстракт густий для т. «Ідентифікація. В. Терпеноїди (олеанолова кислота)», «Ідентифікація. С. Флавоноїди (рутин, гіперозид, кверцетин),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та для т. «Ідентифікація. В. Терпеноїди (розчин порівняння доповнено інформацією що для випробування можливе використання олеанової кислоти фірми «SIGMA-ALDRICH, Німеччина). </w:t>
            </w:r>
            <w:r w:rsidRPr="00EE4593">
              <w:rPr>
                <w:rFonts w:ascii="Arial" w:hAnsi="Arial" w:cs="Arial"/>
                <w:color w:val="000000"/>
                <w:sz w:val="16"/>
                <w:szCs w:val="16"/>
              </w:rPr>
              <w:br/>
              <w:t>Зміни І типу - Зміни з якості. АФІ. Виробництво. Зміни випробувань або допустимих меж у процесі виробництва АФІ, що встановлені у специфікаціях (інші зміни) вводиться періодичність контролю для т. «Ідентифікація. В. Терпеноїди (олеанолова кислота)», «Ідентифікація. С. Флавоноїди (рутин, гіперозид, кверцетин), фенолкарбонові кислоти (кофейна кислота)» та тесту «Важкі метали» при виробництві АФІ ГЛОДУ ПЛОДІВ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UA/3866/01/01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КСИНОКСІС®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референтного лікарського засобу (Плаквеніл, таблетки, вкриті плівковою оболонкою по 200 мг, САНОФІ-АВЕНТІС С.А., Іспанія).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UA/18472/01/01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ЛЕВОПРО®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інфузій, 500 мг/100 мл, по 100 мл або по 150 мл у контейнері; по 1 контейнеру в поліетиленовому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щодо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UA/11924/01/01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зобов’язання при видачі реєстраційного посвідчення №UA/12013/01/01, №UA/12013/01/02, а саме – надання доповнення до огляду клінічних даних відповідно до підпункту 2.3 пункту 2 додатку 15 Порядку.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UA/12013/01/01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ЛЕФЛЮТАБ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Виконання зобов’язання при видачі реєстраційного посвідчення №UA/12013/01/01, №UA/12013/01/02, а саме – надання доповнення до огляду клінічних даних відповідно до підпункту 2.3 пункту 2 додатку 15 Порядку.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UA/12013/01/02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ЛІДОКСАН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Словенія/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меж специфікації на термін придатності ГЛЗ для показника "Кількісне визначення лідокаїну гідрохлориду» (метод UPLC). Межі специфікації на випуск серії лишаються без змін. Затверджено: 1,0 мг/таблетку (95% - 105 %) Запропоновано: 1,0 мг/таблетку (90% - 105 %)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UA/16168/01/01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75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UA/18144/01/01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150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UA/18144/01/02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300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UA/18144/01/03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ЛУКАСТ®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 Інтернешенал Компані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Йорданія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додаткових розмірів серії ГЛЗ. </w:t>
            </w:r>
            <w:r w:rsidRPr="00EE4593">
              <w:rPr>
                <w:rFonts w:ascii="Arial" w:hAnsi="Arial" w:cs="Arial"/>
                <w:color w:val="000000"/>
                <w:sz w:val="16"/>
                <w:szCs w:val="16"/>
              </w:rPr>
              <w:br/>
              <w:t>Затверджено: 800 000 таблеток. Запропоновано: 800 000 таблеток; 280 000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UA/10555/01/01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ЛЮПІНОР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 таблетці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внесення зміни до розділу «Маркування» МКЯ ЛЗ: Затверджено: МАРКУВАННЯ Текст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UA/15702/01/01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1 г;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(Фа Іст) ЛТД., (Асептік Цефалоспорин Фасіліті) , В'єтнам (виробництво готового лікарського засобу, первинне та вторинне пакування); Медокемі ЛТД (Завод С), Кіпр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В'єтнам/</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UA/7582/01/01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МЕДАКСОН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ін'єкцій, по 2 г;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Медокемі (Фа Іст) ЛТД., (Асептік Цефалоспорин Фасіліті) , В'єтнам (виробництво готового лікарського засобу, первинне та вторинне пакування); Медокемі ЛТД (Завод С), Кіпр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В'єтнам/</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UA/7582/01/02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МЕЛОКСА КСАНТІС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15 мг; по 10 таблеток у блістері; по 1 або по 2, або по 3, або по 5, або по 6,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Санека Фармасьютікалз AТ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Словацька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 xml:space="preserve">Подання оновленого сертифікату відповідності ЄФ № R1-CEP 2009-040-Rev 04 (затверджено R1-CEP 2009-040-Rev 03) від вже затвердженого виробника АФІ Мелоксикам, CIPLA LIMITED, India, та як наслідок внесені наступні зміни: </w:t>
            </w:r>
            <w:r w:rsidRPr="00EE4593">
              <w:rPr>
                <w:rFonts w:ascii="Arial" w:hAnsi="Arial" w:cs="Arial"/>
                <w:color w:val="000000"/>
                <w:sz w:val="16"/>
                <w:szCs w:val="16"/>
              </w:rPr>
              <w:br/>
              <w:t xml:space="preserve">- Включено додаткового постачальника Apex Healthcare Limited для вихідних матеріалів метил бензотіазину ізопропілового ефіру та 2-аміно-5-метилтіазолу; - Оновлено специфікацію АФІ та вилучено показник «Важкі метали» відповідно до монографії та керівництва ICH Q3D; - Оновлено специфікацію картонної бочки та включено тест на розміри кришки.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UA/16277/01/01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 in bulk: по 5000 таблеток у подвійному поліетиленовому пакеті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UA/10010/01/01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in bulk: по 5000 таблеток у подвійному поліетиленовому пакеті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UA/10011/01/01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МОВІКСИКАМ®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15 мг/1,5 мл по 1,5 мл в ампулі; по 5 ампул у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Мові Хелс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UA/14916/01/01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суспензія оральна, 220 мг/5 мл, по 100 мл у флаконі полімерному; по 1 флакону разом з ложкою дозувальною в пачці; по 100 мл у банці полімерній; по 1 банці разом з ложкою дозувальною в пачці; по 100 мл у флаконі скляному; по 1 флакону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флакон/банку пластикову додано показник "Ідентифікація" з методом випробування Абсорбційна спектофотометрія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кришку з контролем першого відкиття додано показник "Ідентифікація" з методом випробування Абсорбційна спектофотометрія в інфрачервоній області (2.2.24.). </w:t>
            </w:r>
            <w:r w:rsidRPr="00EE4593">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розділу 3.2.Р.7. Система контейнер/закупорювальний засіб, зокрема: в специфікації на ложку дозувальну додано показник "Ідентифікація" з методом випробування Абсорбційна спектофотометрія в інфрачервоній області (2.2.24.).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UA/16309/01/01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ОВЕСТИН®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крем вагінальний, 1 мг/г; по 15 г у тубі; по 1 тубі у комплекті з аплікатором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Бад-Ольдесло ГмбХ. (виробник відповідальний за виробництво, первинне та вторинне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w:t>
            </w:r>
            <w:r w:rsidRPr="00EE4593">
              <w:rPr>
                <w:rFonts w:ascii="Arial" w:hAnsi="Arial" w:cs="Arial"/>
                <w:color w:val="000000"/>
                <w:sz w:val="16"/>
                <w:szCs w:val="16"/>
              </w:rPr>
              <w:br/>
              <w:t>Подання нового сертифікату відповідності ЄФ № R0-CEP 2020-208-Rev 00, для АФІ Естріол від уже затвердженого виробника Aspen Oss B.V., Нідерланди, з метою додавання нового виробника проміжного продукту (напівчистого естріолу) Laurus Labs Limited, India та внесенням зміни у розділ «Состав» МКЯ ГЛЗ. Діюча редакція: Производитель Аспен Осс Б.В., Нидерланды Пропонована редакція: Производитель Аспен Осс Б.В., Нидерланды Лаурус Лабс Лимитед, Индия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UA/2281/03/01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ОВЕСТИН®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супозиторії вагінальні по 0,5 мг; по 5 супозиторіїв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Виробник дозованої форми, виробник, відповідальний за контроль та випуск серії:</w:t>
            </w:r>
            <w:r w:rsidRPr="00EE4593">
              <w:rPr>
                <w:rFonts w:ascii="Arial" w:hAnsi="Arial" w:cs="Arial"/>
                <w:color w:val="000000"/>
                <w:sz w:val="16"/>
                <w:szCs w:val="16"/>
              </w:rPr>
              <w:br/>
              <w:t xml:space="preserve">Юнітер Індастріс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ЄФ № R0-CEP 2020-208-Rev 00, для АФІ Естріол від уже затвердженого виробника Aspen Oss B.V., Нідерланди, з метою додавання нового виробника проміжного продукту (напівчистого естріолу) Laurus Labs Limited, India та внесенням зміни у розділ «Состав» МКЯ ГЛЗ. Діюча редакція: Производитель Аспен Осс Б.В., Нидерланды Пропонована редакція: Производитель Аспен Осс Б.В., Нидерланды Лаурус Лабс Лимитед, Индия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UA/2281/02/01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п.8. ДАТА ЗАКІНЧЕННЯ ТЕРМІНУ ПРИДАТНОСТІ.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UA/17431/01/01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10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внесено в текст маркування вторинної упаковки лікарського засобу у п.8. ДАТА ЗАКІНЧЕННЯ ТЕРМІНУ ПРИДАТНОСТІ.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UA/17431/01/02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40 мг; in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1998-145 - Rev 09 (затверджено: R1-CEP 1998-145 - Rev 07) для діючої речовини Omeprazole від вже затвердженого виробника Union Quimico Farmaceutica, S.A. (Uquifa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UA/18269/01/01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40 мг;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АТ "Фармак" </w:t>
            </w:r>
            <w:r w:rsidRPr="00EE4593">
              <w:rPr>
                <w:rFonts w:ascii="Arial" w:hAnsi="Arial" w:cs="Arial"/>
                <w:color w:val="000000"/>
                <w:sz w:val="16"/>
                <w:szCs w:val="16"/>
              </w:rPr>
              <w:br/>
              <w:t>(виробництво з продукції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сертифіката відповідності Європейській фармакопеї № R1-CEP 1998-145 - Rev 09 (затверджено: R1-CEP 1998-145 - Rev 07) для діючої речовини Omeprazole від вже затвердженого виробника Union Quimico Farmaceutica, S.A. (Uquifa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UA/18270/01/01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4 мг;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UA/3803/01/01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2 мг/мл, по 2 мл або 4 мл в ампулі; по 5 ампул в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UA/3803/02/01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оболонкою, по 8 мг;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лікарського засобу відповідно до рекомендацій PRAC. </w:t>
            </w:r>
            <w:r w:rsidRPr="00EE459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UA/3803/01/02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ПАКЛІВІСТА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6 мг/мл по 5 мл (30 мг), 16,7 мл (100 мг), 25 мл (150 мг) або 50 мл (300 мг) у флаконі; по 1 флакону з концентратом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Хаупт Фарма Вольфратсхаузен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сертифікату відповідності ЄФ № R1-CEP 2011-324-Rev 01 (затверджено R1-CEP 2011-324-Rev 00) від уже затвердженого виробника АФІ Паклітакселу, PHYTON BIOTECH, LLC, Канада, та як наслідок зміна в найменуванні та адресі виробника інтермедіату.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UA/16374/01/01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Австрія/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E4593">
              <w:rPr>
                <w:rFonts w:ascii="Arial" w:hAnsi="Arial" w:cs="Arial"/>
                <w:color w:val="000000"/>
                <w:sz w:val="16"/>
                <w:szCs w:val="16"/>
              </w:rPr>
              <w:br/>
              <w:t>Подання оновленого сертифікату відповідності ЄФ № R1-CEP 2008-102-Rev 02 (затверджено R1-CEP 2008-102-Rev 01) від уже затвердженого виробника АФІ Паклітаксел, INDENA S.p.A., Італiя, та як наслідок зміна поштового індексу із «20090» на «20049» виробничої дільниці, без фактичної зміни її місцезнаходження.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UA/0714/01/01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ПЕКТОЛВАН® CТОП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краплі оральні по 25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розроблені АТ «Фармак» з метою оновлення ДМФ на субстанцію бутамірату цитрат, виробництва Olon S.p.A., Італія Затверджено: Version 03.3 January 2017 Запропоновано: Version 4.1 - August 2020 edition with March 2021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UA/10685/01/01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RX46), 1330 Rixensart, Belgium, на якій провадились стадії формування та наповнення розчинника (вода для ін'єкцій) для вакцини по 1 дозі.</w:t>
            </w:r>
            <w:r w:rsidRPr="00EE4593">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RX16), 1330 Rixensart, Belgium, відповідальної за стадії формування, заповнення (флакони) та ліофілізації вакцини по 1 та 2 дози. Редакційні правки до розділів досьє 3.2.Р.2.3, 3.2.Р.3.1., 3.2.Р.3.2., 3.2.Р.5.4.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UA/13694/01/01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ПРОТАФАН®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суспензія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Фармассутіка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Бразилія/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Франція/</w:t>
            </w:r>
          </w:p>
          <w:p w:rsidR="00864C4D" w:rsidRPr="00EE4593" w:rsidRDefault="00864C4D" w:rsidP="002B3B55">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введення додаткового розміру серії для виробничої дільниці Ново Нордікс Продюксьон Шартр САС, Франція. Затверджено: 1200 л. Запропоновано: 1200 л, 1600 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UA/12613/01/01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UA/10378/02/01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ПУЛЬМОЛОР®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UA/10379/01/01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Менаріні-Фон Хейден ГмбХ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(сутність змін: внесення даних про міастенічний синдром та м`язову слабкість)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(сутність змін: внесення інформації "блокування IKr і подовження інтервалу QTc залежать від ранолазину" та видалення інформації про картку пам`ятку) відповідно до матеріалів реєстраційного досьє, а також у текст маркування вторинної упаковки лікарського засобу (видалення вкладки).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у зв’язку з проведенням оцінки регулярно оновлюваного звіту з безпеки (EU-PSUR#10 за період з 27.01.2015 по 26.01.2018) та ПУР (версія оновлена згідно з PRAC рекомендацією EMA/PRAC/543523/2013).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(сутність змін: внесення інформації про навмисне передозування з летальним наслідком та про міоклонус)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розділу "Фармакологічні властивості" (сутність змін: результати фази 3 подвійно сліпого плацебо-контрольованого клінічного дослідження (RIVER-PCI))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"Особливості застосування", "Спосіб застосування та дози" та "Побічні реакції" відповідно до матеріалів реєстраційного досьє (сутність змін: "Особливості застосування" подовження інтервалу QTc від концентрації лікарського засобу в плазмі може бути оцінено як 2,4 мс (було 2,5 мс) та численні редагування з метою повного приведення тексту інструкції у відповідність до тексту короткої характеристики лікарського засобу), а також внесено редакційні правки до тексту розділів «Протипоказання»,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UA/13676/01/01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Менаріні-Фон Хейден ГмбХ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(сутність змін: внесення даних про міастенічний синдром та м`язову слабкість) відповідно до оновленої інформації з безпеки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(сутність змін: внесення інформації "блокування IKr і подовження інтервалу QTc залежать від ранолазину" та видалення інформації про картку пам`ятку) відповідно до матеріалів реєстраційного досьє, а також у текст маркування вторинної упаковки лікарського засобу (видалення вкладки). Введення змін протягом 6-ти місяців після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у зв’язку з проведенням оцінки регулярно оновлюваного звіту з безпеки (EU-PSUR#10 за період з 27.01.2015 по 26.01.2018) та ПУР (версія оновлена згідно з PRAC рекомендацією EMA/PRAC/543523/2013).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та "Побічні реакції" (сутність змін: внесення інформації про навмисне передозування з летальним наслідком та про міоклонус)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та "Особливості застосування" (сутність змін: внесені дані доклінічних досліджень та дані щодо вмісту натрію)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розділу "Фармакологічні властивості" (сутність змін: результати фази 3 подвійно сліпого плацебо-контрольованого клінічного дослідження (RIVER-PCI))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EE4593">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(внесення додаткових застережень), "Особливості застосування", "Спосіб застосування та дози" та "Побічні реакції" відповідно до матеріалів реєстраційного досьє (сутність змін: "Особливості застосування" подовження інтервалу QTc від концентрації лікарського засобу в плазмі може бути оцінено як 2,4 мс (було 2,5 мс) та численні редагування з метою повного приведення тексту інструкції у відповідність до тексту короткої характеристики лікарського засобу), а також внесено редакційні правки до тексту розділів «Протипоказання», "Взаємодія з іншими лікарськими засобами та інші види взаємодій", "Особливості застосування",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UA/13676/01/02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53.1 Зміни внесено до частин: II «Специфікація з безпеки» (модулі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добре вивчених ризиків на підставі оцінки результатів завершених досліджень з фармаконагляду ELT116643 та EBT115AUS18T, також було внесено зміни кінцевих точок дослідження RAD200936 (CETB115E2201).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UA/11300/01/01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РЕВОЛАД™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 Веллком С.А., Іспанiя (виробник для первинного та вторинного пакування та випуск серії); Глаксо Оперейшнс ЮК ЛТД, Велика Британiя (виробництво,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53.1 Зміни внесено до частин: II «Специфікація з безпеки» (модулі CIII «Експозиція пацієнтів, залучених до клінічних випробувань», CV «Післяреєстраційний досвід», CVII «Ідентифіковані та потенційні ризики», CVIII «Резюме проблем безпеки»), III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добре вивчених ризиків на підставі оцінки результатів завершених досліджень з фармаконагляду ELT116643 та EBT115AUS18T, також було внесено зміни кінцевих точок дослідження RAD200936 (CETB115E2201).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UA/11300/01/02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РЕМАНТАДИН-КР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0,05 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UA/5426/01/01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UA/15929/01/01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UA/15929/01/01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UA/15929/01/03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UA/15929/01/04</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ліофілізат для розчину для ін`єкцій по 3000 МО, 1 попередньо наповнений шприц з ліофілізатом у верхній камері та розчинником по 4 мл у нижній камері, 1 шток поршня, 1 система для інфузії, 2 тампони зі спиртом, 1 пластир, 1 марлева подушечка та 1 ковпачок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EE4593">
              <w:rPr>
                <w:rFonts w:ascii="Arial" w:hAnsi="Arial" w:cs="Arial"/>
                <w:color w:val="000000"/>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мороктоког альфа з 36 місяців до 48 місяців при зберіганні при -70ºС.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UA/15929/01/05</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UA/13299/01/01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10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UA/13299/01/02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20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UA/13299/01/03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таблетки, вкриті плівковою оболонкою, по 40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щодо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UA/13299/01/04</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ін'єкцій 0,05 мг/1 мл; по 1 мл в ампулі по 5 ампул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(інші зміни) ): видалення виноски, що вказує на некоректний ліміт допоміжної речовини діоксиду вуглецю, для приведення у відповідність до Ph. Eur., з відповідними змінами в розділи 3.2.Р.4. Контроль допоміжних речовин; 3.2.Р.1. Опис і склад лікарського засобу; 3.2.Р.3.2. Склад на серію. На додаток до вищезазначених змін, назва допоміжної речовини «Маніт (для парентеральних препаратів)» оновлено на «Маніт» Затверджено: 3.2.Р.4. Контроль допоміжних речовин Mannitol (for parenteral preparations) Mannitol, D-Mannitol Carbon dioxide1 1 Carbon dioxide 99,99% Запропоновано: 3.2.Р.4. Контроль допоміжних речовин Mannitol, D-Mannitol Carbon dioxide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UA/9821/01/01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САНДОСТАТИН®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розчин для ін'єкцій 0,1 мг/1 мл; по 1 мл в ампулі по 5 ампул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Опис та склад (інші зміни) ): видалення виноски, що вказує на некоректний ліміт допоміжної речовини діоксиду вуглецю, для приведення у відповідність до Ph. Eur., з відповідними змінами в розділи 3.2.Р.4. Контроль допоміжних речовин; 3.2.Р.1. Опис і склад лікарського засобу; 3.2.Р.3.2. Склад на серію. На додаток до вищезазначених змін, назва допоміжної речовини «Маніт (для парентеральних препаратів)» оновлено на «Маніт» Затверджено: 3.2.Р.4. Контроль допоміжних речовин Mannitol (for parenteral preparations) Mannitol, D-Mannitol Carbon dioxide1 1 Carbon dioxide 99,99% Запропоновано: 3.2.Р.4. Контроль допоміжних речовин Mannitol, D-Mannitol Carbon dioxide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UA/9821/01/02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2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PVC/PE/PVDC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UA/1655/01/01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Туреччина/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пропонується зміна друкуючого праймера, що містить нітроцелюлозу на друкуючий праймер без нітроцелюлози для алюмінієвої фольги, що є основою для блістеру з PVC/PE/PVDC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UA/1655/01/02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2,5 мг, по 14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Сполучені Штати (США)/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UA/7881/01/02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СІАЛІС®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вкриті плівковою оболонкою, по 5 мг, по 14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нерозфасованого продукту: Ліллі дель Карібе Інк., Сполучені Штати (США) Первинна та вторинна упаковка, дозвіл на випуск серії: Ліллі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Сполучені Штати (США)/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UA/7881/01/03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емульсія для інфузій;</w:t>
            </w:r>
            <w:r w:rsidRPr="00EE4593">
              <w:rPr>
                <w:rFonts w:ascii="Arial" w:hAnsi="Arial" w:cs="Arial"/>
                <w:color w:val="000000"/>
                <w:sz w:val="16"/>
                <w:szCs w:val="16"/>
              </w:rPr>
              <w:br/>
              <w:t>по 986 мл, по 1477 мл, по 1970 мл, по 2463 мл в трикамерному пластиковому контейнері «Біофін», який разом з антиокисником вміщують у зовнішній пластиковий мішок;</w:t>
            </w:r>
            <w:r w:rsidRPr="00EE4593">
              <w:rPr>
                <w:rFonts w:ascii="Arial" w:hAnsi="Arial" w:cs="Arial"/>
                <w:color w:val="000000"/>
                <w:sz w:val="16"/>
                <w:szCs w:val="16"/>
              </w:rPr>
              <w:br/>
              <w:t>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w:t>
            </w:r>
            <w:r w:rsidRPr="00EE4593">
              <w:rPr>
                <w:rFonts w:ascii="Arial" w:hAnsi="Arial" w:cs="Arial"/>
                <w:color w:val="000000"/>
                <w:sz w:val="16"/>
                <w:szCs w:val="16"/>
              </w:rPr>
              <w:br/>
              <w:t>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II типу - Зміни з якості. АФІ. (інші зміни) – подано оновлену версію ASMF для діючої речовини таурину від затвердженого виробника Kyowa Hakko Bio Co. Ltd., Японія (затверджено: version 02/20130501; запропоновано 03/20200311).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UA/14346/01/01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СОЛОДКИ КОРЕНЯ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сироп, 250 мг/5 мл, по 100 мл, або по 200 мл у флаконі; по 1 флакону з ложкою дозувальною в пачці; по 100 мл у банці; по 1 банці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кришку з контролем першого розкриття новим показником «Ідентифікація» з відповідним методом випробування (Абсорбційна спектрофотометрія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у специфікації/методах контролю на банку/флакон пластикові в п. «Номінальна місткість», а саме вилучено цей показник для флакона ФВП 200 (200±5% (190-210 мл) у зв’язку з вилученням мітки 200 мл на флаконі ФВП 200.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на банку/флакон пластикові новим показником «Ідентифікація» з відповідним методом випробування (Абсорбційна спектрофотометрія в інфрачервоній області (2.2.24)).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EE4593">
              <w:rPr>
                <w:rFonts w:ascii="Arial" w:hAnsi="Arial" w:cs="Arial"/>
                <w:color w:val="000000"/>
                <w:sz w:val="16"/>
                <w:szCs w:val="16"/>
              </w:rPr>
              <w:br/>
              <w:t xml:space="preserve">доповнення специфікації на ложку дозувальну новим показником «Ідентифікація» з відповідним методом випробування (Абсорбційна спектрофотометрія в інфрачервоній області (2.2.24)).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UA/3359/01/01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та за випуск серії); Рентшлер Біофарма СЕ, Німеччина (виробник, що відповідає за виробництво готової лікарської форми, первинне пакування, випробування/контроль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 /реагенту/проміжного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місця провадження діяльності постачальника піногасника (поліалкіленгліколь) від Fragol Industrieschmierstoff GmbH, Muhlheim a.d. Ruhrto Ohly GmbH до GEO Specialty Chemicals UK Ltd, Саутгемптон, Великобританія. Разом з тим, назву поліпіленгліколевого піногасника оновлено з Ucolub N115 на GEOlube 335.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Лабор ЛС СЕ ен Ко. КГ, Німеччина відповідальної за випуск та випробування серії (стерильність) для АФІ.</w:t>
            </w:r>
            <w:r w:rsidRPr="00EE4593">
              <w:rPr>
                <w:rFonts w:ascii="Arial" w:hAnsi="Arial" w:cs="Arial"/>
                <w:color w:val="000000"/>
                <w:sz w:val="16"/>
                <w:szCs w:val="16"/>
              </w:rPr>
              <w:br/>
              <w:t>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вихідного продукту Солвайс АГ, Швейцарія, що використовуються у виробничому процесі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виробника вихідного продукту Evonik Technology &amp; Infrastructure GmbH, Germany, що використовуються у виробничому процесі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відповідальної за випуск серії та випробування серії (стерильність) для діючої речовини. Перенесення виробничої дільниці Wacker Chemie AG (Johannes-Hess-Strasse 24, 84489 Burghausen, Німеччина) на Wacker Biotech GmbH (Heinrich-Damerow-Straβe 4, 06120 Halle (Saale), Німеччина) як дільницю, відповідальний за хроматографічний аналіз діючої речовини.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додаткової функції для дільниці де проводиться контроль/випробування серії – додаткове випробування на випуск серії (секвенування білків) для затвердженого виробника Solvias AG (Kaiseraugst, Switzerland).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для контролю/випробування серії - Nordmark Arzneimittel GmbH &amp; Co. KG, Німеччина до матеріалів реєстраційного досьє.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специфікації кольоровість розчину з "NMT RS III" до "NMT RS II" за п. Прозорість(Clarity).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- 100% візуального методу контролю цілісності флаконів.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виробництва контролю процедури ліофілізації.</w:t>
            </w:r>
            <w:r w:rsidRPr="00EE4593">
              <w:rPr>
                <w:rFonts w:ascii="Arial" w:hAnsi="Arial" w:cs="Arial"/>
                <w:color w:val="000000"/>
                <w:sz w:val="16"/>
                <w:szCs w:val="16"/>
              </w:rPr>
              <w:br/>
              <w:t>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зважування інгредієнтів вихідних речовин при виробництві готового лікарського засобу.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методиці визначення молекулярного складу методом RP-HPLC лікарського засобу. Як наслідок зміни в специфікації та методах контролю ЛЗ. Зміни I типу: Зміни з якості. Готовий лікарський засіб. Система контейнер /закупорювальний засіб. Зміна у первинній упаковці готового лікарського засобу (інші зміни), оновлення р. 3.2.P.7 Система контейнер/закупорювальний засіб щодо покриття гумової пробки та вторинного пакувального матеріалу відповідно до діючих вимог ЕР.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серії)(Б.II.б.2. (а),ІБ), додавання дільниці, на якій здійснюється контроль/випробування серії: Біокем Лабор фюр біологіке унд кеміше Аналітік ГмбХ, Німеччина до матеріалів реєстраційного досьє.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виробництва готового лікарського засобу - допустиме відхилення при зважуванні допоміжних речовин сахарози(± 0,5 %) та води для ін’єкцій(± 100 g) змінені відповідно до внутрішніх специфікацій компанії Lyocontract. Також параметр контролю біонавантаження (Lyocontract) змінено відповідно до вимог ЕР 2.6.12(</w:t>
            </w:r>
            <w:r w:rsidRPr="00EE4593">
              <w:rPr>
                <w:rStyle w:val="csba2942511"/>
                <w:rFonts w:ascii="Arial" w:hAnsi="Arial" w:cs="Arial"/>
                <w:b w:val="0"/>
                <w:i w:val="0"/>
                <w:sz w:val="16"/>
                <w:szCs w:val="16"/>
              </w:rPr>
              <w:t>≤</w:t>
            </w:r>
            <w:r w:rsidRPr="00EE4593">
              <w:rPr>
                <w:rFonts w:ascii="Arial" w:hAnsi="Arial" w:cs="Arial"/>
                <w:color w:val="000000"/>
                <w:sz w:val="16"/>
                <w:szCs w:val="16"/>
              </w:rPr>
              <w:t xml:space="preserve"> 10 cfu/100 ml). Зміни II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відповідальної за випробування/контроль якості - Ліоконтракт ГмбХ, Німеччина.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виробничої дільниці, що відповідає за виробництво готової лікарської форми - Ліоконтракт ГмбХ, Німеччина. Та разом з тим, зміни до виробничого процесу та розміру серії (збільшення розміру 32-50 L) – адаптовано до виробничих умов виробника Lyocontract GmbH,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UA/17474/01/01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СТОПЕРАН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2 мг, по 4 або 8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виробник відповідальний за упаковку, контроль та випуск серії готового продукту:</w:t>
            </w:r>
            <w:r w:rsidRPr="00EE4593">
              <w:rPr>
                <w:rFonts w:ascii="Arial" w:hAnsi="Arial" w:cs="Arial"/>
                <w:color w:val="000000"/>
                <w:sz w:val="16"/>
                <w:szCs w:val="16"/>
              </w:rPr>
              <w:br/>
              <w:t>ТОВ ЮС Фармація, Польща</w:t>
            </w:r>
            <w:r w:rsidRPr="00EE4593">
              <w:rPr>
                <w:rFonts w:ascii="Arial" w:hAnsi="Arial" w:cs="Arial"/>
                <w:color w:val="000000"/>
                <w:sz w:val="16"/>
                <w:szCs w:val="16"/>
              </w:rPr>
              <w:br/>
              <w:t>виробник відповідальний за виробництво, контроль та випуск продукту in bulk:</w:t>
            </w:r>
            <w:r w:rsidRPr="00EE4593">
              <w:rPr>
                <w:rFonts w:ascii="Arial" w:hAnsi="Arial" w:cs="Arial"/>
                <w:color w:val="000000"/>
                <w:sz w:val="16"/>
                <w:szCs w:val="16"/>
              </w:rPr>
              <w:br/>
              <w:t>СвіссКо Сервісез АГ, Швейцарія</w:t>
            </w:r>
            <w:r w:rsidRPr="00EE4593">
              <w:rPr>
                <w:rFonts w:ascii="Arial" w:hAnsi="Arial" w:cs="Arial"/>
                <w:color w:val="000000"/>
                <w:sz w:val="16"/>
                <w:szCs w:val="16"/>
              </w:rPr>
              <w:br/>
              <w:t xml:space="preserve">виробник відповідальний за виробництво, контроль та випуск продукту in bulk: </w:t>
            </w:r>
            <w:r w:rsidRPr="00EE4593">
              <w:rPr>
                <w:rFonts w:ascii="Arial" w:hAnsi="Arial" w:cs="Arial"/>
                <w:color w:val="000000"/>
                <w:sz w:val="16"/>
                <w:szCs w:val="16"/>
              </w:rPr>
              <w:br/>
              <w:t xml:space="preserve">Страйдс Фарма Сайєнс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Польща/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 якості альтернативного виробника для діючої речовини Loperamide hydrochloride було запропоновано OLON S.P.A. із поданням відповідно нового Сертифіката відповідності Європейській фармакопеї № R1-CEP 2004-132-Rev 05 (затверджений виробник LAKE CHEMICALS PRIVATE LIMITED (СЕР 2009-362).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UA/4685/01/01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СТРУКТУМ®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П'єр Фабр Медикамент Продакшн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розділи "Особливості застосування", "Побічні реакції" з відповідними змінами в тексті маркуванння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UA/7504/01/01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75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w:t>
            </w:r>
            <w:r w:rsidRPr="00EE4593">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«Вода»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«Кількісне визначення»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UA/15871/01/01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капсули тверді по 150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Д-р Редді'с Лабораторіс Лтд, Виробнича дільниця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показника «Опис»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w:t>
            </w:r>
            <w:r w:rsidRPr="00EE4593">
              <w:rPr>
                <w:rFonts w:ascii="Arial" w:hAnsi="Arial" w:cs="Arial"/>
                <w:color w:val="000000"/>
                <w:sz w:val="16"/>
                <w:szCs w:val="16"/>
              </w:rPr>
              <w:b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«Вода»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вилучення несуттєвого показника «Кількісне визначення» зі специфікації in-process, проведення контролю за даним показником проводиться в процесі виробництва валідаційних серій.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UA/15871/01/012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СУМІШ ДЛЯ ІНГАЛЯЦІЙ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ПРАТ "ФІТОФАРМ"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Затверджено: 1000 кг Запропоновано: 500 кг (13622 флаконів по 40 мл), 1000 кг (27244 флаконів по 40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UA/0272/01/01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суспензія для ін'єкцій по 1 дозі (1 мл/дозу) у попередньо наповненому шприці № 1 у комплекті з голкою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RX46), 1330 Rixensart, Belgium відповідальної за стадії формування та наповнення.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GlaxoSmithKline Biologicals S.A., 89, rue de l’Institut (Building RX31), 1330 Rixensart, Belgium, на якій проводилося виробництво поверхневого антигену гепатиту В (bulk HBV).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UA/13056/01/01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 xml:space="preserve">ТИГАЦИЛ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розчину для інфузій по 50 мг,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Ваєт Лєдерлє С.р.Л. , Італiя (виробництво продукції in bulk, первинне та вторинне пакування, контроль якості та випуск серії); Патеон Італія С.п.А., Італiя (виробництво продукції in bulk, первинне пакування, контроль якості); Юрофінс-Байолаб С.р.л., Італiя (дослідження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затвердженого методу визначення вмісту кисню у просторі флакона над препаратом на виробничій дільниці Patheon Italia SpA, Монца, Італія, а саме- збільшення швидкості потоку газу-носія гелію з 25 см</w:t>
            </w:r>
            <w:r w:rsidRPr="00EE4593">
              <w:rPr>
                <w:rFonts w:ascii="Arial" w:hAnsi="Arial" w:cs="Arial"/>
                <w:color w:val="000000"/>
                <w:sz w:val="16"/>
                <w:szCs w:val="16"/>
                <w:vertAlign w:val="superscript"/>
              </w:rPr>
              <w:t>2</w:t>
            </w:r>
            <w:r w:rsidRPr="00EE4593">
              <w:rPr>
                <w:rFonts w:ascii="Arial" w:hAnsi="Arial" w:cs="Arial"/>
                <w:color w:val="000000"/>
                <w:sz w:val="16"/>
                <w:szCs w:val="16"/>
              </w:rPr>
              <w:t>/хвилину до 40 см</w:t>
            </w:r>
            <w:r w:rsidRPr="00EE4593">
              <w:rPr>
                <w:rFonts w:ascii="Arial" w:hAnsi="Arial" w:cs="Arial"/>
                <w:color w:val="000000"/>
                <w:sz w:val="16"/>
                <w:szCs w:val="16"/>
                <w:vertAlign w:val="superscript"/>
              </w:rPr>
              <w:t>2</w:t>
            </w:r>
            <w:r w:rsidRPr="00EE4593">
              <w:rPr>
                <w:rFonts w:ascii="Arial" w:hAnsi="Arial" w:cs="Arial"/>
                <w:color w:val="000000"/>
                <w:sz w:val="16"/>
                <w:szCs w:val="16"/>
              </w:rPr>
              <w:t>/хвилину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UA/12347/01/01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200 мг по 10 таблеток у блістері; по 3 або по 9 блістерів у пачці; по 15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специфікації та методів контролю за показниками «Ідентифікація» (додано тест В (реакція з амонію рейнекату розчин)), «Розчинення» та «Кількісне визначення» (методика), «Супровідні домішки» (зміни допустимих меж та методики) у відповідність до вимог монографії «Морфолінію тіазотату таблетки»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UA/5819/01/02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ФЕМІКЛІН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вагінальні по 10 мг; по 6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2019-026 - Rev 00 для діючої речовини Dequalinium chloride від вже затвердженого виробника Laboratorios Espinos Y Bofill S.A. (LEBSA). Як наслідок відбулись зміни у специфікації та методах контролю АФІ за показником «Супровідні домішки» та «3-хлородеквалінію хлорид».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2019-026 - Rev 01 для діючої речовини Dequalinium chloride від вже затвердженого виробника Laboratorios Espinos Y Bofill S.A. (LEBSA).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UA/17193/01/01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5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UA/4052/01/01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50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UA/4052/01/02</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ФЕНОБАРБІТАЛ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100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безпеки застосування діючої речовини фенобарбітал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UA/4052/01/03</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готового лікарського засобу: Пропонована редакція: 2000 анти-Ха МО/0,2 мл - 10 л розчину (48 тис .шпр.), 30 л розчину (144 тис. шпр.), 100 л розчину (480 тис. шпр.). 4000 анти-Ха МО/0,4 мл - 10 л розчину (24 тис. шпр.), 30 л розчину (72 тис. шпр.), 100 л розчину (240 тис. шпр.). 6000 анти-Ха МО/0,6 мл - 10 л розчину (16 тис. шпр.), 30 л розчину (48 тис. шпр.), 100 л розчину (160 тис. шпр.). 8000 анти-Ха МО/0,8 мл - 10 л розчину (12 тис .шпр.), 30 л розчину (36 тис. шпр.), 100 л розчину (120 тис. шпр.)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UA/13119/01/01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ФЛОТТО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 xml:space="preserve">краплі вушні; по 15 мл розчину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К.O.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та/або допустимих меж ГЛЗ – приведення критеріїв прийнятності і уніфікація кодування та посилання на методики випробування виробника в Специфікації для тестів «Ідентифікація феназону» та «Кількісне визначення феназону», тестів «Ідентифікація лідокаїну гідрохлориду» та «Кількісне визначення лідокаїну гідрохлориду», а також для тестів «Мікробіологічна чистота» - випробування на окремі види мікроорганізмів.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UA/15844/01/01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UA/9824/01/01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UA/9664/01/01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UA/9825/01/01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Угорщина/</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UA/9722/01/01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орального розчину з лимонним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за повним циклом: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UA/15354/01/01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порошок для орального розчину з малиновим смаком по 4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за повним циклом: Алпекс Фарма СА ,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Швейцарія/</w:t>
            </w:r>
          </w:p>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UA/15355/01/01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ЦЕРУКАЛ®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10 мг/2 мл;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Меркле ГмбХ, Німеччина (виробництво нерозфасованого продукту, первинна та вторинна упаковка, дозвіл на випуск серії); Меркле ГмбХ,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EE4593">
              <w:rPr>
                <w:rFonts w:ascii="Arial" w:hAnsi="Arial" w:cs="Arial"/>
                <w:color w:val="000000"/>
                <w:sz w:val="16"/>
                <w:szCs w:val="16"/>
              </w:rPr>
              <w:br/>
              <w:t>Оновлений сертифікат від уже затвердженого виробника(Б.III.1. (а)-2,ІБ). Подання оновленого сертифікату відповідності ЄФ № R0-CEP 2015-304-Rev 02 (затверджено R0-CEP 2015-304-Rev 01) для діючої речовини Метоклопраміду гідрохлорид від вже затвердженого виробника, та як наслідок зміна назви власника СЕР та назви виробничої дільниці без зміни фактичного розташування дільниці. Діюча редакція: ICROM S.р.A. (Italy) Пропонована редакція: ICROM S.R.L. (Italy)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UA/2297/02/01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ЦИБОР 2500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12500 МО антифактора-Ха/мл по 0,2 мл (2500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лікарського засобу "in bulk", кінцеве пакування, контроль та випуск серій:</w:t>
            </w:r>
            <w:r w:rsidRPr="00EE4593">
              <w:rPr>
                <w:rFonts w:ascii="Arial" w:hAnsi="Arial" w:cs="Arial"/>
                <w:color w:val="000000"/>
                <w:sz w:val="16"/>
                <w:szCs w:val="16"/>
              </w:rPr>
              <w:br/>
              <w:t xml:space="preserve">РОВІ ФАРМА ІНДАСТРІАЛ СЕРВІСЕЗ, С.А., Іспанія </w:t>
            </w:r>
            <w:r w:rsidRPr="00EE4593">
              <w:rPr>
                <w:rFonts w:ascii="Arial" w:hAnsi="Arial" w:cs="Arial"/>
                <w:color w:val="000000"/>
                <w:sz w:val="16"/>
                <w:szCs w:val="16"/>
              </w:rPr>
              <w:br/>
              <w:t xml:space="preserve">вторинне пакування: </w:t>
            </w:r>
            <w:r w:rsidRPr="00EE4593">
              <w:rPr>
                <w:rFonts w:ascii="Arial" w:hAnsi="Arial" w:cs="Arial"/>
                <w:color w:val="000000"/>
                <w:sz w:val="16"/>
                <w:szCs w:val="16"/>
              </w:rPr>
              <w:br/>
              <w:t>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UA/6624/01/01</w:t>
            </w:r>
          </w:p>
        </w:tc>
      </w:tr>
      <w:tr w:rsidR="00864C4D" w:rsidRPr="007E524B" w:rsidTr="000F3C53">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64C4D" w:rsidRPr="00EE4593" w:rsidRDefault="00864C4D" w:rsidP="00864C4D">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64C4D" w:rsidRPr="00EE4593" w:rsidRDefault="00864C4D" w:rsidP="002B3B55">
            <w:pPr>
              <w:tabs>
                <w:tab w:val="left" w:pos="12600"/>
              </w:tabs>
              <w:rPr>
                <w:rFonts w:ascii="Arial" w:hAnsi="Arial" w:cs="Arial"/>
                <w:b/>
                <w:i/>
                <w:color w:val="000000"/>
                <w:sz w:val="16"/>
                <w:szCs w:val="16"/>
              </w:rPr>
            </w:pPr>
            <w:r w:rsidRPr="00EE4593">
              <w:rPr>
                <w:rFonts w:ascii="Arial" w:hAnsi="Arial" w:cs="Arial"/>
                <w:b/>
                <w:sz w:val="16"/>
                <w:szCs w:val="16"/>
              </w:rPr>
              <w:t>ЦИБОР 3500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rPr>
                <w:rFonts w:ascii="Arial" w:hAnsi="Arial" w:cs="Arial"/>
                <w:color w:val="000000"/>
                <w:sz w:val="16"/>
                <w:szCs w:val="16"/>
              </w:rPr>
            </w:pPr>
            <w:r w:rsidRPr="00EE4593">
              <w:rPr>
                <w:rFonts w:ascii="Arial" w:hAnsi="Arial" w:cs="Arial"/>
                <w:color w:val="000000"/>
                <w:sz w:val="16"/>
                <w:szCs w:val="16"/>
              </w:rPr>
              <w:t>розчин для ін'єкцій, 17500 МО антифактора-Ха/мл по 0,2 мл (3500 МО антифактора-Ха) у попередньо заповненому шприці; по 2 попередньо заповнені шприци в блістері; по 1, або по 5, або по 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Виробництво лікарського засобу "in bulk", кінцеве пакування, контроль та випуск серії:</w:t>
            </w:r>
            <w:r w:rsidRPr="00EE4593">
              <w:rPr>
                <w:rFonts w:ascii="Arial" w:hAnsi="Arial" w:cs="Arial"/>
                <w:color w:val="000000"/>
                <w:sz w:val="16"/>
                <w:szCs w:val="16"/>
              </w:rPr>
              <w:br/>
              <w:t xml:space="preserve">РОВІ ФАРМА ІНДАСТРІАЛ СЕРВІСЕЗ, С.А., Іспанiя </w:t>
            </w:r>
            <w:r w:rsidRPr="00EE4593">
              <w:rPr>
                <w:rFonts w:ascii="Arial" w:hAnsi="Arial" w:cs="Arial"/>
                <w:color w:val="000000"/>
                <w:sz w:val="16"/>
                <w:szCs w:val="16"/>
              </w:rPr>
              <w:br/>
              <w:t>Вторинне пакування:</w:t>
            </w:r>
            <w:r w:rsidRPr="00EE4593">
              <w:rPr>
                <w:rFonts w:ascii="Arial" w:hAnsi="Arial" w:cs="Arial"/>
                <w:color w:val="000000"/>
                <w:sz w:val="16"/>
                <w:szCs w:val="16"/>
              </w:rPr>
              <w:br/>
              <w:t xml:space="preserve">РОВІ ФАРМА ІНДАСТРІАЛ СЕРВІСЕЗ, С.А.,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color w:val="000000"/>
                <w:sz w:val="16"/>
                <w:szCs w:val="16"/>
              </w:rPr>
            </w:pPr>
            <w:r w:rsidRPr="00EE4593">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 Рекомендовано до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0F3C53">
            <w:pPr>
              <w:tabs>
                <w:tab w:val="left" w:pos="12600"/>
              </w:tabs>
              <w:jc w:val="center"/>
              <w:rPr>
                <w:rFonts w:ascii="Arial" w:hAnsi="Arial" w:cs="Arial"/>
                <w:b/>
                <w:i/>
                <w:color w:val="000000"/>
                <w:sz w:val="16"/>
                <w:szCs w:val="16"/>
              </w:rPr>
            </w:pPr>
            <w:r w:rsidRPr="00EE4593">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C4D" w:rsidRPr="00EE4593" w:rsidRDefault="00864C4D" w:rsidP="002B3B55">
            <w:pPr>
              <w:tabs>
                <w:tab w:val="left" w:pos="12600"/>
              </w:tabs>
              <w:jc w:val="center"/>
              <w:rPr>
                <w:rFonts w:ascii="Arial" w:hAnsi="Arial" w:cs="Arial"/>
                <w:sz w:val="16"/>
                <w:szCs w:val="16"/>
              </w:rPr>
            </w:pPr>
            <w:r w:rsidRPr="00EE4593">
              <w:rPr>
                <w:rFonts w:ascii="Arial" w:hAnsi="Arial" w:cs="Arial"/>
                <w:sz w:val="16"/>
                <w:szCs w:val="16"/>
              </w:rPr>
              <w:t>UA/6625/01/01</w:t>
            </w:r>
          </w:p>
        </w:tc>
      </w:tr>
    </w:tbl>
    <w:p w:rsidR="00864C4D" w:rsidRDefault="00864C4D" w:rsidP="00864C4D">
      <w:pPr>
        <w:pStyle w:val="11"/>
        <w:jc w:val="both"/>
        <w:rPr>
          <w:rFonts w:ascii="Arial" w:hAnsi="Arial" w:cs="Arial"/>
          <w:b/>
          <w:sz w:val="22"/>
          <w:szCs w:val="22"/>
        </w:rPr>
      </w:pPr>
    </w:p>
    <w:p w:rsidR="00864C4D" w:rsidRPr="007E524B" w:rsidRDefault="00864C4D" w:rsidP="00864C4D">
      <w:pPr>
        <w:pStyle w:val="11"/>
      </w:pPr>
    </w:p>
    <w:tbl>
      <w:tblPr>
        <w:tblW w:w="0" w:type="auto"/>
        <w:tblLook w:val="04A0" w:firstRow="1" w:lastRow="0" w:firstColumn="1" w:lastColumn="0" w:noHBand="0" w:noVBand="1"/>
      </w:tblPr>
      <w:tblGrid>
        <w:gridCol w:w="7421"/>
        <w:gridCol w:w="7422"/>
      </w:tblGrid>
      <w:tr w:rsidR="00864C4D" w:rsidRPr="007E524B" w:rsidTr="002B3B55">
        <w:tc>
          <w:tcPr>
            <w:tcW w:w="7421" w:type="dxa"/>
            <w:shd w:val="clear" w:color="auto" w:fill="auto"/>
          </w:tcPr>
          <w:p w:rsidR="00864C4D" w:rsidRPr="007E524B" w:rsidRDefault="00864C4D" w:rsidP="002B3B55">
            <w:pPr>
              <w:ind w:right="20"/>
              <w:rPr>
                <w:rStyle w:val="cs95e872d01"/>
                <w:sz w:val="28"/>
                <w:szCs w:val="28"/>
              </w:rPr>
            </w:pPr>
            <w:r w:rsidRPr="007E524B">
              <w:rPr>
                <w:rStyle w:val="cs7864ebcf1"/>
                <w:sz w:val="28"/>
                <w:szCs w:val="28"/>
              </w:rPr>
              <w:t xml:space="preserve">В.о. Генерального директора Директорату </w:t>
            </w:r>
          </w:p>
          <w:p w:rsidR="00864C4D" w:rsidRPr="007E524B" w:rsidRDefault="00864C4D" w:rsidP="002B3B55">
            <w:pPr>
              <w:ind w:right="20"/>
              <w:rPr>
                <w:rStyle w:val="cs7864ebcf1"/>
                <w:sz w:val="28"/>
                <w:szCs w:val="28"/>
              </w:rPr>
            </w:pPr>
            <w:r w:rsidRPr="007E524B">
              <w:rPr>
                <w:rStyle w:val="cs7864ebcf1"/>
                <w:sz w:val="28"/>
                <w:szCs w:val="28"/>
              </w:rPr>
              <w:t>фармацевтичного забезпечення</w:t>
            </w:r>
            <w:r w:rsidRPr="007E524B">
              <w:rPr>
                <w:rStyle w:val="cs188c92b51"/>
                <w:color w:val="auto"/>
                <w:sz w:val="28"/>
                <w:szCs w:val="28"/>
              </w:rPr>
              <w:t>                                    </w:t>
            </w:r>
          </w:p>
        </w:tc>
        <w:tc>
          <w:tcPr>
            <w:tcW w:w="7422" w:type="dxa"/>
            <w:shd w:val="clear" w:color="auto" w:fill="auto"/>
          </w:tcPr>
          <w:p w:rsidR="00864C4D" w:rsidRPr="007E524B" w:rsidRDefault="00864C4D" w:rsidP="002B3B55">
            <w:pPr>
              <w:pStyle w:val="cs95e872d0"/>
              <w:rPr>
                <w:rStyle w:val="cs7864ebcf1"/>
                <w:sz w:val="28"/>
                <w:szCs w:val="28"/>
              </w:rPr>
            </w:pPr>
          </w:p>
          <w:p w:rsidR="00864C4D" w:rsidRPr="007E524B" w:rsidRDefault="00864C4D" w:rsidP="002B3B55">
            <w:pPr>
              <w:pStyle w:val="cs95e872d0"/>
              <w:jc w:val="right"/>
              <w:rPr>
                <w:rStyle w:val="cs7864ebcf1"/>
                <w:sz w:val="28"/>
                <w:szCs w:val="28"/>
              </w:rPr>
            </w:pPr>
            <w:r w:rsidRPr="007E524B">
              <w:rPr>
                <w:rStyle w:val="cs7864ebcf1"/>
                <w:sz w:val="28"/>
                <w:szCs w:val="28"/>
              </w:rPr>
              <w:t>Іван ЗАДВОРНИХ</w:t>
            </w:r>
          </w:p>
        </w:tc>
      </w:tr>
    </w:tbl>
    <w:p w:rsidR="00864C4D" w:rsidRPr="007E524B" w:rsidRDefault="00864C4D" w:rsidP="00864C4D">
      <w:pPr>
        <w:tabs>
          <w:tab w:val="left" w:pos="1985"/>
        </w:tabs>
        <w:rPr>
          <w:rFonts w:ascii="Arial" w:hAnsi="Arial" w:cs="Arial"/>
          <w:sz w:val="18"/>
          <w:szCs w:val="18"/>
        </w:rPr>
      </w:pPr>
    </w:p>
    <w:p w:rsidR="007F3466" w:rsidRDefault="007F3466" w:rsidP="00FC73F7">
      <w:pPr>
        <w:pStyle w:val="31"/>
        <w:spacing w:after="0"/>
        <w:ind w:left="0"/>
        <w:rPr>
          <w:b/>
          <w:sz w:val="28"/>
          <w:szCs w:val="28"/>
          <w:lang w:val="uk-UA"/>
        </w:rPr>
      </w:pPr>
    </w:p>
    <w:sectPr w:rsidR="007F3466" w:rsidSect="002B3B55">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55" w:rsidRDefault="002B3B55" w:rsidP="00B217C6">
      <w:r>
        <w:separator/>
      </w:r>
    </w:p>
  </w:endnote>
  <w:endnote w:type="continuationSeparator" w:id="0">
    <w:p w:rsidR="002B3B55" w:rsidRDefault="002B3B5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87B" w:rsidRDefault="004B587B">
    <w:pPr>
      <w:pStyle w:val="a5"/>
      <w:jc w:val="center"/>
    </w:pPr>
  </w:p>
  <w:p w:rsidR="004B587B" w:rsidRDefault="004B587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55" w:rsidRDefault="002B3B55">
    <w:pPr>
      <w:pStyle w:val="a5"/>
      <w:jc w:val="center"/>
    </w:pPr>
  </w:p>
  <w:p w:rsidR="002B3B55" w:rsidRDefault="002B3B55">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55" w:rsidRDefault="002B3B55">
    <w:pPr>
      <w:pStyle w:val="a5"/>
      <w:jc w:val="center"/>
    </w:pPr>
  </w:p>
  <w:p w:rsidR="002B3B55" w:rsidRDefault="002B3B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55" w:rsidRDefault="002B3B55" w:rsidP="00B217C6">
      <w:r>
        <w:separator/>
      </w:r>
    </w:p>
  </w:footnote>
  <w:footnote w:type="continuationSeparator" w:id="0">
    <w:p w:rsidR="002B3B55" w:rsidRDefault="002B3B5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E438C">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87B" w:rsidRDefault="004B587B" w:rsidP="002B3B55">
    <w:pPr>
      <w:pStyle w:val="a3"/>
      <w:tabs>
        <w:tab w:val="center" w:pos="7569"/>
        <w:tab w:val="left" w:pos="11988"/>
      </w:tabs>
    </w:pPr>
    <w:r>
      <w:tab/>
    </w:r>
    <w:r>
      <w:tab/>
    </w:r>
    <w:r>
      <w:fldChar w:fldCharType="begin"/>
    </w:r>
    <w:r>
      <w:instrText>PAGE   \* MERGEFORMAT</w:instrText>
    </w:r>
    <w:r>
      <w:fldChar w:fldCharType="separate"/>
    </w:r>
    <w:r w:rsidR="000F3C53">
      <w:rPr>
        <w:noProof/>
      </w:rPr>
      <w:t>14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55" w:rsidRDefault="002B3B55" w:rsidP="002B3B55">
    <w:pPr>
      <w:pStyle w:val="a3"/>
      <w:tabs>
        <w:tab w:val="center" w:pos="7313"/>
        <w:tab w:val="left" w:pos="11256"/>
      </w:tabs>
    </w:pPr>
    <w:r>
      <w:tab/>
    </w:r>
    <w:r>
      <w:tab/>
    </w:r>
    <w:r>
      <w:fldChar w:fldCharType="begin"/>
    </w:r>
    <w:r>
      <w:instrText>PAGE   \* MERGEFORMAT</w:instrText>
    </w:r>
    <w:r>
      <w:fldChar w:fldCharType="separate"/>
    </w:r>
    <w:r w:rsidR="000F3C53">
      <w:rPr>
        <w:noProof/>
      </w:rPr>
      <w:t>32</w:t>
    </w:r>
    <w:r>
      <w:fldChar w:fldCharType="end"/>
    </w:r>
  </w:p>
  <w:p w:rsidR="00EC5798" w:rsidRDefault="00EC5798" w:rsidP="002B3B55">
    <w:pPr>
      <w:pStyle w:val="a3"/>
      <w:tabs>
        <w:tab w:val="center" w:pos="7313"/>
        <w:tab w:val="left" w:pos="1125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B55" w:rsidRDefault="002B3B55" w:rsidP="002B3B55">
    <w:pPr>
      <w:pStyle w:val="a3"/>
      <w:tabs>
        <w:tab w:val="center" w:pos="7313"/>
        <w:tab w:val="left" w:pos="11496"/>
      </w:tabs>
    </w:pPr>
    <w:r>
      <w:tab/>
    </w:r>
    <w:r>
      <w:tab/>
    </w:r>
    <w:r>
      <w:fldChar w:fldCharType="begin"/>
    </w:r>
    <w:r>
      <w:instrText>PAGE   \* MERGEFORMAT</w:instrText>
    </w:r>
    <w:r>
      <w:fldChar w:fldCharType="separate"/>
    </w:r>
    <w:r w:rsidR="000F3C53">
      <w:rPr>
        <w:noProof/>
      </w:rPr>
      <w:t>119</w:t>
    </w:r>
    <w:r>
      <w:fldChar w:fldCharType="end"/>
    </w:r>
  </w:p>
  <w:p w:rsidR="000F3C53" w:rsidRDefault="000F3C53" w:rsidP="002B3B55">
    <w:pPr>
      <w:pStyle w:val="a3"/>
      <w:tabs>
        <w:tab w:val="center" w:pos="7313"/>
        <w:tab w:val="left" w:pos="114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A9246A"/>
    <w:multiLevelType w:val="multilevel"/>
    <w:tmpl w:val="4478FCB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ED91654"/>
    <w:multiLevelType w:val="multilevel"/>
    <w:tmpl w:val="89A4D4D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2"/>
  </w:num>
  <w:num w:numId="3">
    <w:abstractNumId w:val="24"/>
  </w:num>
  <w:num w:numId="4">
    <w:abstractNumId w:val="23"/>
  </w:num>
  <w:num w:numId="5">
    <w:abstractNumId w:val="13"/>
  </w:num>
  <w:num w:numId="6">
    <w:abstractNumId w:val="18"/>
  </w:num>
  <w:num w:numId="7">
    <w:abstractNumId w:val="3"/>
  </w:num>
  <w:num w:numId="8">
    <w:abstractNumId w:val="40"/>
  </w:num>
  <w:num w:numId="9">
    <w:abstractNumId w:val="17"/>
  </w:num>
  <w:num w:numId="10">
    <w:abstractNumId w:val="9"/>
  </w:num>
  <w:num w:numId="11">
    <w:abstractNumId w:val="25"/>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2"/>
  </w:num>
  <w:num w:numId="33">
    <w:abstractNumId w:val="20"/>
  </w:num>
  <w:num w:numId="34">
    <w:abstractNumId w:val="26"/>
  </w:num>
  <w:num w:numId="35">
    <w:abstractNumId w:val="8"/>
  </w:num>
  <w:num w:numId="36">
    <w:abstractNumId w:val="39"/>
  </w:num>
  <w:num w:numId="37">
    <w:abstractNumId w:val="19"/>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0F3C53"/>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64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438C"/>
    <w:rsid w:val="001E7A82"/>
    <w:rsid w:val="001E7B73"/>
    <w:rsid w:val="001F1D94"/>
    <w:rsid w:val="001F2785"/>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3B55"/>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3436"/>
    <w:rsid w:val="002F40E9"/>
    <w:rsid w:val="002F4114"/>
    <w:rsid w:val="002F6DA7"/>
    <w:rsid w:val="002F7BF6"/>
    <w:rsid w:val="00302BCB"/>
    <w:rsid w:val="00304BE4"/>
    <w:rsid w:val="0030634E"/>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87B"/>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4C4D"/>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26C"/>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1217"/>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798"/>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023766-7B16-4DF6-90C3-9859E752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864C4D"/>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864C4D"/>
    <w:rPr>
      <w:rFonts w:ascii="Arial" w:eastAsia="Times New Roman" w:hAnsi="Arial"/>
      <w:b/>
      <w:caps/>
      <w:sz w:val="16"/>
      <w:lang w:val="uk-UA" w:eastAsia="uk-UA"/>
    </w:rPr>
  </w:style>
  <w:style w:type="character" w:customStyle="1" w:styleId="40">
    <w:name w:val="Заголовок 4 Знак"/>
    <w:link w:val="4"/>
    <w:rsid w:val="00864C4D"/>
    <w:rPr>
      <w:rFonts w:ascii="Times New Roman" w:hAnsi="Times New Roman"/>
      <w:b/>
      <w:bCs/>
      <w:sz w:val="28"/>
      <w:szCs w:val="28"/>
      <w:lang w:val="ru-RU" w:eastAsia="ru-RU"/>
    </w:rPr>
  </w:style>
  <w:style w:type="paragraph" w:customStyle="1" w:styleId="11">
    <w:name w:val="Обычный1"/>
    <w:basedOn w:val="a"/>
    <w:qFormat/>
    <w:rsid w:val="00864C4D"/>
    <w:rPr>
      <w:rFonts w:eastAsia="Times New Roman"/>
      <w:sz w:val="24"/>
      <w:szCs w:val="24"/>
      <w:lang w:val="uk-UA" w:eastAsia="uk-UA"/>
    </w:rPr>
  </w:style>
  <w:style w:type="paragraph" w:customStyle="1" w:styleId="msolistparagraph0">
    <w:name w:val="msolistparagraph"/>
    <w:basedOn w:val="a"/>
    <w:uiPriority w:val="34"/>
    <w:qFormat/>
    <w:rsid w:val="00864C4D"/>
    <w:pPr>
      <w:ind w:left="720"/>
      <w:contextualSpacing/>
    </w:pPr>
    <w:rPr>
      <w:rFonts w:eastAsia="Times New Roman"/>
      <w:sz w:val="24"/>
      <w:szCs w:val="24"/>
      <w:lang w:val="uk-UA" w:eastAsia="uk-UA"/>
    </w:rPr>
  </w:style>
  <w:style w:type="paragraph" w:customStyle="1" w:styleId="Encryption">
    <w:name w:val="Encryption"/>
    <w:basedOn w:val="a"/>
    <w:qFormat/>
    <w:rsid w:val="00864C4D"/>
    <w:pPr>
      <w:jc w:val="both"/>
    </w:pPr>
    <w:rPr>
      <w:rFonts w:eastAsia="Times New Roman"/>
      <w:b/>
      <w:bCs/>
      <w:i/>
      <w:iCs/>
      <w:sz w:val="24"/>
      <w:szCs w:val="24"/>
      <w:lang w:val="uk-UA" w:eastAsia="uk-UA"/>
    </w:rPr>
  </w:style>
  <w:style w:type="character" w:customStyle="1" w:styleId="Heading2Char">
    <w:name w:val="Heading 2 Char"/>
    <w:link w:val="21"/>
    <w:locked/>
    <w:rsid w:val="00864C4D"/>
    <w:rPr>
      <w:rFonts w:ascii="Arial" w:eastAsia="Times New Roman" w:hAnsi="Arial"/>
      <w:b/>
      <w:caps/>
      <w:sz w:val="16"/>
      <w:lang w:val="ru-RU" w:eastAsia="ru-RU"/>
    </w:rPr>
  </w:style>
  <w:style w:type="paragraph" w:customStyle="1" w:styleId="21">
    <w:name w:val="Заголовок 21"/>
    <w:basedOn w:val="a"/>
    <w:link w:val="Heading2Char"/>
    <w:rsid w:val="00864C4D"/>
    <w:rPr>
      <w:rFonts w:ascii="Arial" w:eastAsia="Times New Roman" w:hAnsi="Arial"/>
      <w:b/>
      <w:caps/>
      <w:sz w:val="16"/>
    </w:rPr>
  </w:style>
  <w:style w:type="character" w:customStyle="1" w:styleId="Heading4Char">
    <w:name w:val="Heading 4 Char"/>
    <w:link w:val="41"/>
    <w:locked/>
    <w:rsid w:val="00864C4D"/>
    <w:rPr>
      <w:rFonts w:ascii="Arial" w:eastAsia="Times New Roman" w:hAnsi="Arial"/>
      <w:b/>
      <w:lang w:val="ru-RU" w:eastAsia="ru-RU"/>
    </w:rPr>
  </w:style>
  <w:style w:type="paragraph" w:customStyle="1" w:styleId="41">
    <w:name w:val="Заголовок 41"/>
    <w:basedOn w:val="a"/>
    <w:link w:val="Heading4Char"/>
    <w:rsid w:val="00864C4D"/>
    <w:rPr>
      <w:rFonts w:ascii="Arial" w:eastAsia="Times New Roman" w:hAnsi="Arial"/>
      <w:b/>
    </w:rPr>
  </w:style>
  <w:style w:type="table" w:styleId="a8">
    <w:name w:val="Table Grid"/>
    <w:basedOn w:val="a1"/>
    <w:uiPriority w:val="59"/>
    <w:rsid w:val="00864C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64C4D"/>
    <w:rPr>
      <w:lang w:val="uk-UA"/>
    </w:rPr>
    <w:tblPr>
      <w:tblCellMar>
        <w:top w:w="0" w:type="dxa"/>
        <w:left w:w="108" w:type="dxa"/>
        <w:bottom w:w="0" w:type="dxa"/>
        <w:right w:w="108" w:type="dxa"/>
      </w:tblCellMar>
    </w:tblPr>
  </w:style>
  <w:style w:type="character" w:customStyle="1" w:styleId="csb3e8c9cf24">
    <w:name w:val="csb3e8c9cf24"/>
    <w:rsid w:val="00864C4D"/>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864C4D"/>
    <w:rPr>
      <w:rFonts w:ascii="Tahoma" w:eastAsia="Times New Roman" w:hAnsi="Tahoma" w:cs="Tahoma"/>
      <w:sz w:val="16"/>
      <w:szCs w:val="16"/>
    </w:rPr>
  </w:style>
  <w:style w:type="character" w:customStyle="1" w:styleId="aa">
    <w:name w:val="Текст выноски Знак"/>
    <w:link w:val="a9"/>
    <w:semiHidden/>
    <w:rsid w:val="00864C4D"/>
    <w:rPr>
      <w:rFonts w:ascii="Tahoma" w:eastAsia="Times New Roman" w:hAnsi="Tahoma" w:cs="Tahoma"/>
      <w:sz w:val="16"/>
      <w:szCs w:val="16"/>
      <w:lang w:val="ru-RU" w:eastAsia="ru-RU"/>
    </w:rPr>
  </w:style>
  <w:style w:type="paragraph" w:customStyle="1" w:styleId="BodyTextIndent2">
    <w:name w:val="Body Text Indent2"/>
    <w:basedOn w:val="a"/>
    <w:rsid w:val="00864C4D"/>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64C4D"/>
    <w:pPr>
      <w:spacing w:before="120" w:after="120"/>
    </w:pPr>
    <w:rPr>
      <w:rFonts w:ascii="Arial" w:eastAsia="Times New Roman" w:hAnsi="Arial"/>
      <w:sz w:val="18"/>
    </w:rPr>
  </w:style>
  <w:style w:type="character" w:customStyle="1" w:styleId="BodyTextIndentChar">
    <w:name w:val="Body Text Indent Char"/>
    <w:link w:val="12"/>
    <w:locked/>
    <w:rsid w:val="00864C4D"/>
    <w:rPr>
      <w:rFonts w:ascii="Arial" w:eastAsia="Times New Roman" w:hAnsi="Arial"/>
      <w:sz w:val="18"/>
      <w:lang w:val="ru-RU" w:eastAsia="ru-RU"/>
    </w:rPr>
  </w:style>
  <w:style w:type="character" w:customStyle="1" w:styleId="csab6e076947">
    <w:name w:val="csab6e076947"/>
    <w:rsid w:val="00864C4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64C4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64C4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64C4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64C4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64C4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64C4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64C4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64C4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64C4D"/>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864C4D"/>
    <w:rPr>
      <w:rFonts w:eastAsia="Times New Roman"/>
      <w:sz w:val="24"/>
      <w:szCs w:val="24"/>
    </w:rPr>
  </w:style>
  <w:style w:type="character" w:customStyle="1" w:styleId="csab6e076981">
    <w:name w:val="csab6e076981"/>
    <w:rsid w:val="00864C4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64C4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64C4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64C4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64C4D"/>
    <w:rPr>
      <w:rFonts w:ascii="Arial" w:hAnsi="Arial" w:cs="Arial" w:hint="default"/>
      <w:b/>
      <w:bCs/>
      <w:i w:val="0"/>
      <w:iCs w:val="0"/>
      <w:color w:val="000000"/>
      <w:sz w:val="18"/>
      <w:szCs w:val="18"/>
      <w:shd w:val="clear" w:color="auto" w:fill="auto"/>
    </w:rPr>
  </w:style>
  <w:style w:type="character" w:customStyle="1" w:styleId="csab6e076980">
    <w:name w:val="csab6e076980"/>
    <w:rsid w:val="00864C4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64C4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64C4D"/>
    <w:rPr>
      <w:rFonts w:ascii="Arial" w:hAnsi="Arial" w:cs="Arial" w:hint="default"/>
      <w:b/>
      <w:bCs/>
      <w:i w:val="0"/>
      <w:iCs w:val="0"/>
      <w:color w:val="000000"/>
      <w:sz w:val="18"/>
      <w:szCs w:val="18"/>
      <w:shd w:val="clear" w:color="auto" w:fill="auto"/>
    </w:rPr>
  </w:style>
  <w:style w:type="character" w:customStyle="1" w:styleId="csab6e076961">
    <w:name w:val="csab6e076961"/>
    <w:rsid w:val="00864C4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64C4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64C4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64C4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64C4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64C4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64C4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64C4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64C4D"/>
    <w:rPr>
      <w:rFonts w:ascii="Arial" w:hAnsi="Arial" w:cs="Arial" w:hint="default"/>
      <w:b/>
      <w:bCs/>
      <w:i w:val="0"/>
      <w:iCs w:val="0"/>
      <w:color w:val="000000"/>
      <w:sz w:val="18"/>
      <w:szCs w:val="18"/>
      <w:shd w:val="clear" w:color="auto" w:fill="auto"/>
    </w:rPr>
  </w:style>
  <w:style w:type="character" w:customStyle="1" w:styleId="csab6e0769276">
    <w:name w:val="csab6e0769276"/>
    <w:rsid w:val="00864C4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64C4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64C4D"/>
    <w:rPr>
      <w:rFonts w:ascii="Arial" w:hAnsi="Arial" w:cs="Arial" w:hint="default"/>
      <w:b/>
      <w:bCs/>
      <w:i w:val="0"/>
      <w:iCs w:val="0"/>
      <w:color w:val="000000"/>
      <w:sz w:val="18"/>
      <w:szCs w:val="18"/>
      <w:shd w:val="clear" w:color="auto" w:fill="auto"/>
    </w:rPr>
  </w:style>
  <w:style w:type="character" w:customStyle="1" w:styleId="csf229d0ff13">
    <w:name w:val="csf229d0ff13"/>
    <w:rsid w:val="00864C4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64C4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64C4D"/>
    <w:rPr>
      <w:rFonts w:ascii="Arial" w:hAnsi="Arial" w:cs="Arial" w:hint="default"/>
      <w:b/>
      <w:bCs/>
      <w:i w:val="0"/>
      <w:iCs w:val="0"/>
      <w:color w:val="000000"/>
      <w:sz w:val="18"/>
      <w:szCs w:val="18"/>
      <w:shd w:val="clear" w:color="auto" w:fill="auto"/>
    </w:rPr>
  </w:style>
  <w:style w:type="character" w:customStyle="1" w:styleId="csafaf5741100">
    <w:name w:val="csafaf5741100"/>
    <w:rsid w:val="00864C4D"/>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64C4D"/>
    <w:pPr>
      <w:spacing w:after="120"/>
      <w:ind w:left="283"/>
    </w:pPr>
    <w:rPr>
      <w:rFonts w:eastAsia="Times New Roman"/>
      <w:sz w:val="24"/>
      <w:szCs w:val="24"/>
    </w:rPr>
  </w:style>
  <w:style w:type="character" w:customStyle="1" w:styleId="ac">
    <w:name w:val="Основной текст с отступом Знак"/>
    <w:link w:val="ab"/>
    <w:uiPriority w:val="99"/>
    <w:rsid w:val="00864C4D"/>
    <w:rPr>
      <w:rFonts w:ascii="Times New Roman" w:eastAsia="Times New Roman" w:hAnsi="Times New Roman"/>
      <w:sz w:val="24"/>
      <w:szCs w:val="24"/>
      <w:lang w:val="ru-RU" w:eastAsia="ru-RU"/>
    </w:rPr>
  </w:style>
  <w:style w:type="character" w:customStyle="1" w:styleId="csf229d0ff16">
    <w:name w:val="csf229d0ff16"/>
    <w:rsid w:val="00864C4D"/>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64C4D"/>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64C4D"/>
    <w:pPr>
      <w:spacing w:after="120"/>
    </w:pPr>
    <w:rPr>
      <w:rFonts w:eastAsia="Times New Roman"/>
      <w:sz w:val="16"/>
      <w:szCs w:val="16"/>
      <w:lang w:val="uk-UA" w:eastAsia="uk-UA"/>
    </w:rPr>
  </w:style>
  <w:style w:type="character" w:customStyle="1" w:styleId="34">
    <w:name w:val="Основной текст 3 Знак"/>
    <w:link w:val="33"/>
    <w:rsid w:val="00864C4D"/>
    <w:rPr>
      <w:rFonts w:ascii="Times New Roman" w:eastAsia="Times New Roman" w:hAnsi="Times New Roman"/>
      <w:sz w:val="16"/>
      <w:szCs w:val="16"/>
      <w:lang w:val="uk-UA" w:eastAsia="uk-UA"/>
    </w:rPr>
  </w:style>
  <w:style w:type="character" w:customStyle="1" w:styleId="csab6e076931">
    <w:name w:val="csab6e076931"/>
    <w:rsid w:val="00864C4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64C4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64C4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64C4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64C4D"/>
    <w:pPr>
      <w:ind w:firstLine="708"/>
      <w:jc w:val="both"/>
    </w:pPr>
    <w:rPr>
      <w:rFonts w:ascii="Arial" w:eastAsia="Times New Roman" w:hAnsi="Arial"/>
      <w:b/>
      <w:sz w:val="18"/>
      <w:lang w:val="uk-UA"/>
    </w:rPr>
  </w:style>
  <w:style w:type="character" w:customStyle="1" w:styleId="csf229d0ff25">
    <w:name w:val="csf229d0ff25"/>
    <w:rsid w:val="00864C4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64C4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64C4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64C4D"/>
    <w:pPr>
      <w:ind w:firstLine="708"/>
      <w:jc w:val="both"/>
    </w:pPr>
    <w:rPr>
      <w:rFonts w:ascii="Arial" w:eastAsia="Times New Roman" w:hAnsi="Arial"/>
      <w:b/>
      <w:sz w:val="18"/>
      <w:lang w:val="uk-UA" w:eastAsia="uk-UA"/>
    </w:rPr>
  </w:style>
  <w:style w:type="character" w:customStyle="1" w:styleId="cs95e872d01">
    <w:name w:val="cs95e872d01"/>
    <w:rsid w:val="00864C4D"/>
  </w:style>
  <w:style w:type="paragraph" w:customStyle="1" w:styleId="cse71256d6">
    <w:name w:val="cse71256d6"/>
    <w:basedOn w:val="a"/>
    <w:rsid w:val="00864C4D"/>
    <w:pPr>
      <w:ind w:left="1440"/>
    </w:pPr>
    <w:rPr>
      <w:rFonts w:eastAsia="Times New Roman"/>
      <w:sz w:val="24"/>
      <w:szCs w:val="24"/>
      <w:lang w:val="uk-UA" w:eastAsia="uk-UA"/>
    </w:rPr>
  </w:style>
  <w:style w:type="character" w:customStyle="1" w:styleId="csb3e8c9cf10">
    <w:name w:val="csb3e8c9cf10"/>
    <w:rsid w:val="00864C4D"/>
    <w:rPr>
      <w:rFonts w:ascii="Arial" w:hAnsi="Arial" w:cs="Arial" w:hint="default"/>
      <w:b/>
      <w:bCs/>
      <w:i w:val="0"/>
      <w:iCs w:val="0"/>
      <w:color w:val="000000"/>
      <w:sz w:val="18"/>
      <w:szCs w:val="18"/>
      <w:shd w:val="clear" w:color="auto" w:fill="auto"/>
    </w:rPr>
  </w:style>
  <w:style w:type="character" w:customStyle="1" w:styleId="csafaf574127">
    <w:name w:val="csafaf574127"/>
    <w:rsid w:val="00864C4D"/>
    <w:rPr>
      <w:rFonts w:ascii="Arial" w:hAnsi="Arial" w:cs="Arial" w:hint="default"/>
      <w:b/>
      <w:bCs/>
      <w:i w:val="0"/>
      <w:iCs w:val="0"/>
      <w:color w:val="000000"/>
      <w:sz w:val="18"/>
      <w:szCs w:val="18"/>
      <w:shd w:val="clear" w:color="auto" w:fill="auto"/>
    </w:rPr>
  </w:style>
  <w:style w:type="character" w:customStyle="1" w:styleId="csf229d0ff10">
    <w:name w:val="csf229d0ff10"/>
    <w:rsid w:val="00864C4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64C4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64C4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64C4D"/>
    <w:rPr>
      <w:rFonts w:ascii="Arial" w:hAnsi="Arial" w:cs="Arial" w:hint="default"/>
      <w:b/>
      <w:bCs/>
      <w:i w:val="0"/>
      <w:iCs w:val="0"/>
      <w:color w:val="000000"/>
      <w:sz w:val="18"/>
      <w:szCs w:val="18"/>
      <w:shd w:val="clear" w:color="auto" w:fill="auto"/>
    </w:rPr>
  </w:style>
  <w:style w:type="character" w:customStyle="1" w:styleId="csafaf5741106">
    <w:name w:val="csafaf5741106"/>
    <w:rsid w:val="00864C4D"/>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864C4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64C4D"/>
    <w:pPr>
      <w:ind w:firstLine="708"/>
      <w:jc w:val="both"/>
    </w:pPr>
    <w:rPr>
      <w:rFonts w:ascii="Arial" w:eastAsia="Times New Roman" w:hAnsi="Arial"/>
      <w:b/>
      <w:sz w:val="18"/>
      <w:lang w:val="uk-UA" w:eastAsia="uk-UA"/>
    </w:rPr>
  </w:style>
  <w:style w:type="character" w:customStyle="1" w:styleId="csafaf5741216">
    <w:name w:val="csafaf5741216"/>
    <w:rsid w:val="00864C4D"/>
    <w:rPr>
      <w:rFonts w:ascii="Arial" w:hAnsi="Arial" w:cs="Arial" w:hint="default"/>
      <w:b/>
      <w:bCs/>
      <w:i w:val="0"/>
      <w:iCs w:val="0"/>
      <w:color w:val="000000"/>
      <w:sz w:val="18"/>
      <w:szCs w:val="18"/>
      <w:shd w:val="clear" w:color="auto" w:fill="auto"/>
    </w:rPr>
  </w:style>
  <w:style w:type="character" w:customStyle="1" w:styleId="csf229d0ff19">
    <w:name w:val="csf229d0ff19"/>
    <w:rsid w:val="00864C4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64C4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64C4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64C4D"/>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64C4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64C4D"/>
    <w:pPr>
      <w:ind w:firstLine="708"/>
      <w:jc w:val="both"/>
    </w:pPr>
    <w:rPr>
      <w:rFonts w:ascii="Arial" w:eastAsia="Times New Roman" w:hAnsi="Arial"/>
      <w:b/>
      <w:sz w:val="18"/>
      <w:lang w:val="uk-UA" w:eastAsia="uk-UA"/>
    </w:rPr>
  </w:style>
  <w:style w:type="character" w:customStyle="1" w:styleId="csf229d0ff14">
    <w:name w:val="csf229d0ff14"/>
    <w:rsid w:val="00864C4D"/>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64C4D"/>
    <w:rPr>
      <w:rFonts w:eastAsia="Times New Roman"/>
      <w:sz w:val="24"/>
      <w:szCs w:val="24"/>
      <w:lang w:val="uk-UA" w:eastAsia="uk-UA"/>
    </w:rPr>
  </w:style>
  <w:style w:type="paragraph" w:customStyle="1" w:styleId="1100">
    <w:name w:val="Основной текст с отступом110"/>
    <w:basedOn w:val="a"/>
    <w:rsid w:val="00864C4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64C4D"/>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64C4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64C4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64C4D"/>
    <w:pPr>
      <w:ind w:firstLine="708"/>
      <w:jc w:val="both"/>
    </w:pPr>
    <w:rPr>
      <w:rFonts w:ascii="Arial" w:eastAsia="Times New Roman" w:hAnsi="Arial"/>
      <w:b/>
      <w:sz w:val="18"/>
      <w:lang w:val="uk-UA" w:eastAsia="uk-UA"/>
    </w:rPr>
  </w:style>
  <w:style w:type="character" w:customStyle="1" w:styleId="csab6e0769225">
    <w:name w:val="csab6e0769225"/>
    <w:rsid w:val="00864C4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64C4D"/>
    <w:pPr>
      <w:ind w:firstLine="708"/>
      <w:jc w:val="both"/>
    </w:pPr>
    <w:rPr>
      <w:rFonts w:ascii="Arial" w:eastAsia="Times New Roman" w:hAnsi="Arial"/>
      <w:b/>
      <w:sz w:val="18"/>
      <w:lang w:val="uk-UA" w:eastAsia="uk-UA"/>
    </w:rPr>
  </w:style>
  <w:style w:type="character" w:customStyle="1" w:styleId="csb3e8c9cf3">
    <w:name w:val="csb3e8c9cf3"/>
    <w:rsid w:val="00864C4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64C4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64C4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64C4D"/>
    <w:pPr>
      <w:ind w:firstLine="708"/>
      <w:jc w:val="both"/>
    </w:pPr>
    <w:rPr>
      <w:rFonts w:ascii="Arial" w:eastAsia="Times New Roman" w:hAnsi="Arial"/>
      <w:b/>
      <w:sz w:val="18"/>
      <w:lang w:val="uk-UA" w:eastAsia="uk-UA"/>
    </w:rPr>
  </w:style>
  <w:style w:type="character" w:customStyle="1" w:styleId="csb86c8cfe1">
    <w:name w:val="csb86c8cfe1"/>
    <w:rsid w:val="00864C4D"/>
    <w:rPr>
      <w:rFonts w:ascii="Times New Roman" w:hAnsi="Times New Roman" w:cs="Times New Roman" w:hint="default"/>
      <w:b/>
      <w:bCs/>
      <w:i w:val="0"/>
      <w:iCs w:val="0"/>
      <w:color w:val="000000"/>
      <w:sz w:val="24"/>
      <w:szCs w:val="24"/>
    </w:rPr>
  </w:style>
  <w:style w:type="character" w:customStyle="1" w:styleId="csf229d0ff21">
    <w:name w:val="csf229d0ff21"/>
    <w:rsid w:val="00864C4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64C4D"/>
    <w:pPr>
      <w:ind w:firstLine="708"/>
      <w:jc w:val="both"/>
    </w:pPr>
    <w:rPr>
      <w:rFonts w:ascii="Arial" w:eastAsia="Times New Roman" w:hAnsi="Arial"/>
      <w:b/>
      <w:sz w:val="18"/>
      <w:lang w:val="uk-UA" w:eastAsia="uk-UA"/>
    </w:rPr>
  </w:style>
  <w:style w:type="character" w:customStyle="1" w:styleId="csf229d0ff26">
    <w:name w:val="csf229d0ff26"/>
    <w:rsid w:val="00864C4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64C4D"/>
    <w:pPr>
      <w:jc w:val="both"/>
    </w:pPr>
    <w:rPr>
      <w:rFonts w:ascii="Arial" w:eastAsia="Times New Roman" w:hAnsi="Arial"/>
      <w:sz w:val="24"/>
      <w:szCs w:val="24"/>
      <w:lang w:val="uk-UA" w:eastAsia="uk-UA"/>
    </w:rPr>
  </w:style>
  <w:style w:type="character" w:customStyle="1" w:styleId="cs8c2cf3831">
    <w:name w:val="cs8c2cf3831"/>
    <w:rsid w:val="00864C4D"/>
    <w:rPr>
      <w:rFonts w:ascii="Arial" w:hAnsi="Arial" w:cs="Arial" w:hint="default"/>
      <w:b/>
      <w:bCs/>
      <w:i/>
      <w:iCs/>
      <w:color w:val="102B56"/>
      <w:sz w:val="18"/>
      <w:szCs w:val="18"/>
      <w:shd w:val="clear" w:color="auto" w:fill="auto"/>
    </w:rPr>
  </w:style>
  <w:style w:type="character" w:customStyle="1" w:styleId="csd71f5e5a1">
    <w:name w:val="csd71f5e5a1"/>
    <w:rsid w:val="00864C4D"/>
    <w:rPr>
      <w:rFonts w:ascii="Arial" w:hAnsi="Arial" w:cs="Arial" w:hint="default"/>
      <w:b w:val="0"/>
      <w:bCs w:val="0"/>
      <w:i/>
      <w:iCs/>
      <w:color w:val="102B56"/>
      <w:sz w:val="18"/>
      <w:szCs w:val="18"/>
      <w:shd w:val="clear" w:color="auto" w:fill="auto"/>
    </w:rPr>
  </w:style>
  <w:style w:type="character" w:customStyle="1" w:styleId="cs8f6c24af1">
    <w:name w:val="cs8f6c24af1"/>
    <w:rsid w:val="00864C4D"/>
    <w:rPr>
      <w:rFonts w:ascii="Arial" w:hAnsi="Arial" w:cs="Arial" w:hint="default"/>
      <w:b/>
      <w:bCs/>
      <w:i w:val="0"/>
      <w:iCs w:val="0"/>
      <w:color w:val="102B56"/>
      <w:sz w:val="18"/>
      <w:szCs w:val="18"/>
      <w:shd w:val="clear" w:color="auto" w:fill="auto"/>
    </w:rPr>
  </w:style>
  <w:style w:type="character" w:customStyle="1" w:styleId="csa5a0f5421">
    <w:name w:val="csa5a0f5421"/>
    <w:rsid w:val="00864C4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64C4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64C4D"/>
    <w:pPr>
      <w:ind w:firstLine="708"/>
      <w:jc w:val="both"/>
    </w:pPr>
    <w:rPr>
      <w:rFonts w:ascii="Arial" w:eastAsia="Times New Roman" w:hAnsi="Arial"/>
      <w:b/>
      <w:sz w:val="18"/>
      <w:lang w:val="uk-UA" w:eastAsia="uk-UA"/>
    </w:rPr>
  </w:style>
  <w:style w:type="character" w:styleId="ad">
    <w:name w:val="line number"/>
    <w:uiPriority w:val="99"/>
    <w:rsid w:val="00864C4D"/>
    <w:rPr>
      <w:rFonts w:ascii="Segoe UI" w:hAnsi="Segoe UI" w:cs="Segoe UI"/>
      <w:color w:val="000000"/>
      <w:sz w:val="18"/>
      <w:szCs w:val="18"/>
    </w:rPr>
  </w:style>
  <w:style w:type="character" w:styleId="ae">
    <w:name w:val="Hyperlink"/>
    <w:uiPriority w:val="99"/>
    <w:rsid w:val="00864C4D"/>
    <w:rPr>
      <w:rFonts w:ascii="Segoe UI" w:hAnsi="Segoe UI" w:cs="Segoe UI"/>
      <w:color w:val="0000FF"/>
      <w:sz w:val="18"/>
      <w:szCs w:val="18"/>
      <w:u w:val="single"/>
    </w:rPr>
  </w:style>
  <w:style w:type="paragraph" w:customStyle="1" w:styleId="23">
    <w:name w:val="Основной текст с отступом23"/>
    <w:basedOn w:val="a"/>
    <w:rsid w:val="00864C4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64C4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64C4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64C4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64C4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64C4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64C4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64C4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64C4D"/>
    <w:pPr>
      <w:ind w:firstLine="708"/>
      <w:jc w:val="both"/>
    </w:pPr>
    <w:rPr>
      <w:rFonts w:ascii="Arial" w:eastAsia="Times New Roman" w:hAnsi="Arial"/>
      <w:b/>
      <w:sz w:val="18"/>
      <w:lang w:val="uk-UA" w:eastAsia="uk-UA"/>
    </w:rPr>
  </w:style>
  <w:style w:type="character" w:customStyle="1" w:styleId="csa939b0971">
    <w:name w:val="csa939b0971"/>
    <w:rsid w:val="00864C4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64C4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64C4D"/>
    <w:pPr>
      <w:ind w:firstLine="708"/>
      <w:jc w:val="both"/>
    </w:pPr>
    <w:rPr>
      <w:rFonts w:ascii="Arial" w:eastAsia="Times New Roman" w:hAnsi="Arial"/>
      <w:b/>
      <w:sz w:val="18"/>
      <w:lang w:val="uk-UA" w:eastAsia="uk-UA"/>
    </w:rPr>
  </w:style>
  <w:style w:type="character" w:styleId="af">
    <w:name w:val="annotation reference"/>
    <w:semiHidden/>
    <w:unhideWhenUsed/>
    <w:rsid w:val="00864C4D"/>
    <w:rPr>
      <w:sz w:val="16"/>
      <w:szCs w:val="16"/>
    </w:rPr>
  </w:style>
  <w:style w:type="paragraph" w:styleId="af0">
    <w:name w:val="annotation text"/>
    <w:basedOn w:val="a"/>
    <w:link w:val="af1"/>
    <w:semiHidden/>
    <w:unhideWhenUsed/>
    <w:rsid w:val="00864C4D"/>
    <w:rPr>
      <w:rFonts w:eastAsia="Times New Roman"/>
      <w:lang w:val="uk-UA" w:eastAsia="uk-UA"/>
    </w:rPr>
  </w:style>
  <w:style w:type="character" w:customStyle="1" w:styleId="af1">
    <w:name w:val="Текст примечания Знак"/>
    <w:link w:val="af0"/>
    <w:semiHidden/>
    <w:rsid w:val="00864C4D"/>
    <w:rPr>
      <w:rFonts w:ascii="Times New Roman" w:eastAsia="Times New Roman" w:hAnsi="Times New Roman"/>
      <w:lang w:val="uk-UA" w:eastAsia="uk-UA"/>
    </w:rPr>
  </w:style>
  <w:style w:type="paragraph" w:styleId="af2">
    <w:name w:val="annotation subject"/>
    <w:basedOn w:val="af0"/>
    <w:next w:val="af0"/>
    <w:link w:val="af3"/>
    <w:semiHidden/>
    <w:unhideWhenUsed/>
    <w:rsid w:val="00864C4D"/>
    <w:rPr>
      <w:b/>
      <w:bCs/>
    </w:rPr>
  </w:style>
  <w:style w:type="character" w:customStyle="1" w:styleId="af3">
    <w:name w:val="Тема примечания Знак"/>
    <w:link w:val="af2"/>
    <w:semiHidden/>
    <w:rsid w:val="00864C4D"/>
    <w:rPr>
      <w:rFonts w:ascii="Times New Roman" w:eastAsia="Times New Roman" w:hAnsi="Times New Roman"/>
      <w:b/>
      <w:bCs/>
      <w:lang w:val="uk-UA" w:eastAsia="uk-UA"/>
    </w:rPr>
  </w:style>
  <w:style w:type="paragraph" w:styleId="af4">
    <w:name w:val="Revision"/>
    <w:hidden/>
    <w:uiPriority w:val="99"/>
    <w:semiHidden/>
    <w:rsid w:val="00864C4D"/>
    <w:rPr>
      <w:rFonts w:ascii="Times New Roman" w:eastAsia="Times New Roman" w:hAnsi="Times New Roman"/>
      <w:sz w:val="24"/>
      <w:szCs w:val="24"/>
      <w:lang w:val="uk-UA" w:eastAsia="uk-UA"/>
    </w:rPr>
  </w:style>
  <w:style w:type="character" w:customStyle="1" w:styleId="csb3e8c9cf69">
    <w:name w:val="csb3e8c9cf69"/>
    <w:rsid w:val="00864C4D"/>
    <w:rPr>
      <w:rFonts w:ascii="Arial" w:hAnsi="Arial" w:cs="Arial" w:hint="default"/>
      <w:b/>
      <w:bCs/>
      <w:i w:val="0"/>
      <w:iCs w:val="0"/>
      <w:color w:val="000000"/>
      <w:sz w:val="18"/>
      <w:szCs w:val="18"/>
      <w:shd w:val="clear" w:color="auto" w:fill="auto"/>
    </w:rPr>
  </w:style>
  <w:style w:type="character" w:customStyle="1" w:styleId="csf229d0ff64">
    <w:name w:val="csf229d0ff64"/>
    <w:rsid w:val="00864C4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64C4D"/>
    <w:rPr>
      <w:rFonts w:ascii="Arial" w:eastAsia="Times New Roman" w:hAnsi="Arial"/>
      <w:sz w:val="24"/>
      <w:szCs w:val="24"/>
      <w:lang w:val="uk-UA" w:eastAsia="uk-UA"/>
    </w:rPr>
  </w:style>
  <w:style w:type="character" w:customStyle="1" w:styleId="csd398459525">
    <w:name w:val="csd398459525"/>
    <w:rsid w:val="00864C4D"/>
    <w:rPr>
      <w:rFonts w:ascii="Arial" w:hAnsi="Arial" w:cs="Arial" w:hint="default"/>
      <w:b/>
      <w:bCs/>
      <w:i/>
      <w:iCs/>
      <w:color w:val="000000"/>
      <w:sz w:val="18"/>
      <w:szCs w:val="18"/>
      <w:u w:val="single"/>
      <w:shd w:val="clear" w:color="auto" w:fill="auto"/>
    </w:rPr>
  </w:style>
  <w:style w:type="character" w:customStyle="1" w:styleId="csd3c90d4325">
    <w:name w:val="csd3c90d4325"/>
    <w:rsid w:val="00864C4D"/>
    <w:rPr>
      <w:rFonts w:ascii="Arial" w:hAnsi="Arial" w:cs="Arial" w:hint="default"/>
      <w:b w:val="0"/>
      <w:bCs w:val="0"/>
      <w:i/>
      <w:iCs/>
      <w:color w:val="000000"/>
      <w:sz w:val="18"/>
      <w:szCs w:val="18"/>
      <w:shd w:val="clear" w:color="auto" w:fill="auto"/>
    </w:rPr>
  </w:style>
  <w:style w:type="character" w:customStyle="1" w:styleId="csb86c8cfe3">
    <w:name w:val="csb86c8cfe3"/>
    <w:rsid w:val="00864C4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64C4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64C4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64C4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64C4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64C4D"/>
    <w:pPr>
      <w:ind w:firstLine="708"/>
      <w:jc w:val="both"/>
    </w:pPr>
    <w:rPr>
      <w:rFonts w:ascii="Arial" w:eastAsia="Times New Roman" w:hAnsi="Arial"/>
      <w:b/>
      <w:sz w:val="18"/>
      <w:lang w:val="uk-UA" w:eastAsia="uk-UA"/>
    </w:rPr>
  </w:style>
  <w:style w:type="character" w:customStyle="1" w:styleId="csab6e076977">
    <w:name w:val="csab6e076977"/>
    <w:rsid w:val="00864C4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64C4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64C4D"/>
    <w:rPr>
      <w:rFonts w:ascii="Arial" w:hAnsi="Arial" w:cs="Arial" w:hint="default"/>
      <w:b/>
      <w:bCs/>
      <w:i w:val="0"/>
      <w:iCs w:val="0"/>
      <w:color w:val="000000"/>
      <w:sz w:val="18"/>
      <w:szCs w:val="18"/>
      <w:shd w:val="clear" w:color="auto" w:fill="auto"/>
    </w:rPr>
  </w:style>
  <w:style w:type="character" w:customStyle="1" w:styleId="cs607602ac2">
    <w:name w:val="cs607602ac2"/>
    <w:rsid w:val="00864C4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64C4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64C4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64C4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64C4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64C4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64C4D"/>
    <w:pPr>
      <w:ind w:firstLine="708"/>
      <w:jc w:val="both"/>
    </w:pPr>
    <w:rPr>
      <w:rFonts w:ascii="Arial" w:eastAsia="Times New Roman" w:hAnsi="Arial"/>
      <w:b/>
      <w:sz w:val="18"/>
      <w:lang w:val="uk-UA" w:eastAsia="uk-UA"/>
    </w:rPr>
  </w:style>
  <w:style w:type="character" w:customStyle="1" w:styleId="csab6e0769291">
    <w:name w:val="csab6e0769291"/>
    <w:rsid w:val="00864C4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64C4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64C4D"/>
    <w:pPr>
      <w:ind w:firstLine="708"/>
      <w:jc w:val="both"/>
    </w:pPr>
    <w:rPr>
      <w:rFonts w:ascii="Arial" w:eastAsia="Times New Roman" w:hAnsi="Arial"/>
      <w:b/>
      <w:sz w:val="18"/>
      <w:lang w:val="uk-UA" w:eastAsia="uk-UA"/>
    </w:rPr>
  </w:style>
  <w:style w:type="character" w:customStyle="1" w:styleId="csf562b92915">
    <w:name w:val="csf562b92915"/>
    <w:rsid w:val="00864C4D"/>
    <w:rPr>
      <w:rFonts w:ascii="Arial" w:hAnsi="Arial" w:cs="Arial" w:hint="default"/>
      <w:b/>
      <w:bCs/>
      <w:i/>
      <w:iCs/>
      <w:color w:val="000000"/>
      <w:sz w:val="18"/>
      <w:szCs w:val="18"/>
      <w:shd w:val="clear" w:color="auto" w:fill="auto"/>
    </w:rPr>
  </w:style>
  <w:style w:type="character" w:customStyle="1" w:styleId="cseed234731">
    <w:name w:val="cseed234731"/>
    <w:rsid w:val="00864C4D"/>
    <w:rPr>
      <w:rFonts w:ascii="Arial" w:hAnsi="Arial" w:cs="Arial" w:hint="default"/>
      <w:b/>
      <w:bCs/>
      <w:i/>
      <w:iCs/>
      <w:color w:val="000000"/>
      <w:sz w:val="12"/>
      <w:szCs w:val="12"/>
      <w:shd w:val="clear" w:color="auto" w:fill="auto"/>
    </w:rPr>
  </w:style>
  <w:style w:type="character" w:customStyle="1" w:styleId="csb3e8c9cf35">
    <w:name w:val="csb3e8c9cf35"/>
    <w:rsid w:val="00864C4D"/>
    <w:rPr>
      <w:rFonts w:ascii="Arial" w:hAnsi="Arial" w:cs="Arial" w:hint="default"/>
      <w:b/>
      <w:bCs/>
      <w:i w:val="0"/>
      <w:iCs w:val="0"/>
      <w:color w:val="000000"/>
      <w:sz w:val="18"/>
      <w:szCs w:val="18"/>
      <w:shd w:val="clear" w:color="auto" w:fill="auto"/>
    </w:rPr>
  </w:style>
  <w:style w:type="character" w:customStyle="1" w:styleId="csb3e8c9cf28">
    <w:name w:val="csb3e8c9cf28"/>
    <w:rsid w:val="00864C4D"/>
    <w:rPr>
      <w:rFonts w:ascii="Arial" w:hAnsi="Arial" w:cs="Arial" w:hint="default"/>
      <w:b/>
      <w:bCs/>
      <w:i w:val="0"/>
      <w:iCs w:val="0"/>
      <w:color w:val="000000"/>
      <w:sz w:val="18"/>
      <w:szCs w:val="18"/>
      <w:shd w:val="clear" w:color="auto" w:fill="auto"/>
    </w:rPr>
  </w:style>
  <w:style w:type="character" w:customStyle="1" w:styleId="csf562b9296">
    <w:name w:val="csf562b9296"/>
    <w:rsid w:val="00864C4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64C4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64C4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64C4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64C4D"/>
    <w:pPr>
      <w:ind w:firstLine="708"/>
      <w:jc w:val="both"/>
    </w:pPr>
    <w:rPr>
      <w:rFonts w:ascii="Arial" w:eastAsia="Times New Roman" w:hAnsi="Arial"/>
      <w:b/>
      <w:sz w:val="18"/>
      <w:lang w:val="uk-UA" w:eastAsia="uk-UA"/>
    </w:rPr>
  </w:style>
  <w:style w:type="character" w:customStyle="1" w:styleId="csab6e076930">
    <w:name w:val="csab6e076930"/>
    <w:rsid w:val="00864C4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64C4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64C4D"/>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864C4D"/>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864C4D"/>
    <w:pPr>
      <w:ind w:firstLine="708"/>
      <w:jc w:val="both"/>
    </w:pPr>
    <w:rPr>
      <w:rFonts w:ascii="Arial" w:eastAsia="Times New Roman" w:hAnsi="Arial"/>
      <w:b/>
      <w:sz w:val="18"/>
      <w:lang w:val="uk-UA" w:eastAsia="uk-UA"/>
    </w:rPr>
  </w:style>
  <w:style w:type="paragraph" w:customStyle="1" w:styleId="24">
    <w:name w:val="Обычный2"/>
    <w:rsid w:val="00864C4D"/>
    <w:rPr>
      <w:rFonts w:ascii="Times New Roman" w:eastAsia="Times New Roman" w:hAnsi="Times New Roman"/>
      <w:sz w:val="24"/>
      <w:lang w:val="uk-UA" w:eastAsia="ru-RU"/>
    </w:rPr>
  </w:style>
  <w:style w:type="paragraph" w:customStyle="1" w:styleId="220">
    <w:name w:val="Основной текст с отступом22"/>
    <w:basedOn w:val="a"/>
    <w:rsid w:val="00864C4D"/>
    <w:pPr>
      <w:spacing w:before="120" w:after="120"/>
    </w:pPr>
    <w:rPr>
      <w:rFonts w:ascii="Arial" w:eastAsia="Times New Roman" w:hAnsi="Arial"/>
      <w:sz w:val="18"/>
    </w:rPr>
  </w:style>
  <w:style w:type="paragraph" w:customStyle="1" w:styleId="221">
    <w:name w:val="Заголовок 22"/>
    <w:basedOn w:val="a"/>
    <w:rsid w:val="00864C4D"/>
    <w:rPr>
      <w:rFonts w:ascii="Arial" w:eastAsia="Times New Roman" w:hAnsi="Arial"/>
      <w:b/>
      <w:caps/>
      <w:sz w:val="16"/>
    </w:rPr>
  </w:style>
  <w:style w:type="paragraph" w:customStyle="1" w:styleId="421">
    <w:name w:val="Заголовок 42"/>
    <w:basedOn w:val="a"/>
    <w:rsid w:val="00864C4D"/>
    <w:rPr>
      <w:rFonts w:ascii="Arial" w:eastAsia="Times New Roman" w:hAnsi="Arial"/>
      <w:b/>
    </w:rPr>
  </w:style>
  <w:style w:type="paragraph" w:customStyle="1" w:styleId="3a">
    <w:name w:val="Обычный3"/>
    <w:rsid w:val="00864C4D"/>
    <w:rPr>
      <w:rFonts w:ascii="Times New Roman" w:eastAsia="Times New Roman" w:hAnsi="Times New Roman"/>
      <w:sz w:val="24"/>
      <w:lang w:val="uk-UA" w:eastAsia="ru-RU"/>
    </w:rPr>
  </w:style>
  <w:style w:type="paragraph" w:customStyle="1" w:styleId="240">
    <w:name w:val="Основной текст с отступом24"/>
    <w:basedOn w:val="a"/>
    <w:rsid w:val="00864C4D"/>
    <w:pPr>
      <w:spacing w:before="120" w:after="120"/>
    </w:pPr>
    <w:rPr>
      <w:rFonts w:ascii="Arial" w:eastAsia="Times New Roman" w:hAnsi="Arial"/>
      <w:sz w:val="18"/>
    </w:rPr>
  </w:style>
  <w:style w:type="paragraph" w:customStyle="1" w:styleId="230">
    <w:name w:val="Заголовок 23"/>
    <w:basedOn w:val="a"/>
    <w:rsid w:val="00864C4D"/>
    <w:rPr>
      <w:rFonts w:ascii="Arial" w:eastAsia="Times New Roman" w:hAnsi="Arial"/>
      <w:b/>
      <w:caps/>
      <w:sz w:val="16"/>
    </w:rPr>
  </w:style>
  <w:style w:type="paragraph" w:customStyle="1" w:styleId="430">
    <w:name w:val="Заголовок 43"/>
    <w:basedOn w:val="a"/>
    <w:rsid w:val="00864C4D"/>
    <w:rPr>
      <w:rFonts w:ascii="Arial" w:eastAsia="Times New Roman" w:hAnsi="Arial"/>
      <w:b/>
    </w:rPr>
  </w:style>
  <w:style w:type="paragraph" w:customStyle="1" w:styleId="BodyTextIndent">
    <w:name w:val="Body Text Indent"/>
    <w:basedOn w:val="a"/>
    <w:rsid w:val="00864C4D"/>
    <w:pPr>
      <w:spacing w:before="120" w:after="120"/>
    </w:pPr>
    <w:rPr>
      <w:rFonts w:ascii="Arial" w:eastAsia="Times New Roman" w:hAnsi="Arial"/>
      <w:sz w:val="18"/>
    </w:rPr>
  </w:style>
  <w:style w:type="paragraph" w:customStyle="1" w:styleId="Heading2">
    <w:name w:val="Heading 2"/>
    <w:basedOn w:val="a"/>
    <w:rsid w:val="00864C4D"/>
    <w:rPr>
      <w:rFonts w:ascii="Arial" w:eastAsia="Times New Roman" w:hAnsi="Arial"/>
      <w:b/>
      <w:caps/>
      <w:sz w:val="16"/>
    </w:rPr>
  </w:style>
  <w:style w:type="paragraph" w:customStyle="1" w:styleId="Heading4">
    <w:name w:val="Heading 4"/>
    <w:basedOn w:val="a"/>
    <w:rsid w:val="00864C4D"/>
    <w:rPr>
      <w:rFonts w:ascii="Arial" w:eastAsia="Times New Roman" w:hAnsi="Arial"/>
      <w:b/>
    </w:rPr>
  </w:style>
  <w:style w:type="paragraph" w:customStyle="1" w:styleId="62">
    <w:name w:val="Основной текст с отступом62"/>
    <w:basedOn w:val="a"/>
    <w:rsid w:val="00864C4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64C4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64C4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64C4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64C4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64C4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64C4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64C4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64C4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64C4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64C4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64C4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64C4D"/>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64C4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64C4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64C4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64C4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64C4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64C4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64C4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64C4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64C4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64C4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64C4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64C4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64C4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64C4D"/>
    <w:pPr>
      <w:ind w:firstLine="708"/>
      <w:jc w:val="both"/>
    </w:pPr>
    <w:rPr>
      <w:rFonts w:ascii="Arial" w:eastAsia="Times New Roman" w:hAnsi="Arial"/>
      <w:b/>
      <w:sz w:val="18"/>
      <w:lang w:val="uk-UA" w:eastAsia="uk-UA"/>
    </w:rPr>
  </w:style>
  <w:style w:type="character" w:customStyle="1" w:styleId="csab6e076965">
    <w:name w:val="csab6e076965"/>
    <w:rsid w:val="00864C4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64C4D"/>
    <w:pPr>
      <w:ind w:firstLine="708"/>
      <w:jc w:val="both"/>
    </w:pPr>
    <w:rPr>
      <w:rFonts w:ascii="Arial" w:eastAsia="Times New Roman" w:hAnsi="Arial"/>
      <w:b/>
      <w:sz w:val="18"/>
      <w:lang w:val="uk-UA" w:eastAsia="uk-UA"/>
    </w:rPr>
  </w:style>
  <w:style w:type="character" w:customStyle="1" w:styleId="csf229d0ff33">
    <w:name w:val="csf229d0ff33"/>
    <w:rsid w:val="00864C4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64C4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64C4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64C4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64C4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64C4D"/>
    <w:pPr>
      <w:ind w:firstLine="708"/>
      <w:jc w:val="both"/>
    </w:pPr>
    <w:rPr>
      <w:rFonts w:ascii="Arial" w:eastAsia="Times New Roman" w:hAnsi="Arial"/>
      <w:b/>
      <w:sz w:val="18"/>
      <w:lang w:val="uk-UA" w:eastAsia="uk-UA"/>
    </w:rPr>
  </w:style>
  <w:style w:type="character" w:customStyle="1" w:styleId="csab6e076920">
    <w:name w:val="csab6e076920"/>
    <w:rsid w:val="00864C4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64C4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64C4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64C4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64C4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64C4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64C4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64C4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64C4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64C4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64C4D"/>
    <w:pPr>
      <w:ind w:firstLine="708"/>
      <w:jc w:val="both"/>
    </w:pPr>
    <w:rPr>
      <w:rFonts w:ascii="Arial" w:eastAsia="Times New Roman" w:hAnsi="Arial"/>
      <w:b/>
      <w:sz w:val="18"/>
      <w:lang w:val="uk-UA" w:eastAsia="uk-UA"/>
    </w:rPr>
  </w:style>
  <w:style w:type="character" w:customStyle="1" w:styleId="csf229d0ff50">
    <w:name w:val="csf229d0ff50"/>
    <w:rsid w:val="00864C4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64C4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64C4D"/>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64C4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64C4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64C4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64C4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64C4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64C4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64C4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64C4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64C4D"/>
    <w:pPr>
      <w:ind w:firstLine="708"/>
      <w:jc w:val="both"/>
    </w:pPr>
    <w:rPr>
      <w:rFonts w:ascii="Arial" w:eastAsia="Times New Roman" w:hAnsi="Arial"/>
      <w:b/>
      <w:sz w:val="18"/>
      <w:lang w:val="uk-UA" w:eastAsia="uk-UA"/>
    </w:rPr>
  </w:style>
  <w:style w:type="character" w:customStyle="1" w:styleId="csf229d0ff83">
    <w:name w:val="csf229d0ff83"/>
    <w:rsid w:val="00864C4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64C4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64C4D"/>
    <w:pPr>
      <w:ind w:firstLine="708"/>
      <w:jc w:val="both"/>
    </w:pPr>
    <w:rPr>
      <w:rFonts w:ascii="Arial" w:eastAsia="Times New Roman" w:hAnsi="Arial"/>
      <w:b/>
      <w:sz w:val="18"/>
      <w:lang w:val="uk-UA" w:eastAsia="uk-UA"/>
    </w:rPr>
  </w:style>
  <w:style w:type="character" w:customStyle="1" w:styleId="csf229d0ff76">
    <w:name w:val="csf229d0ff76"/>
    <w:rsid w:val="00864C4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64C4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64C4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64C4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64C4D"/>
    <w:pPr>
      <w:ind w:firstLine="708"/>
      <w:jc w:val="both"/>
    </w:pPr>
    <w:rPr>
      <w:rFonts w:ascii="Arial" w:eastAsia="Times New Roman" w:hAnsi="Arial"/>
      <w:b/>
      <w:sz w:val="18"/>
      <w:lang w:val="uk-UA" w:eastAsia="uk-UA"/>
    </w:rPr>
  </w:style>
  <w:style w:type="character" w:customStyle="1" w:styleId="csf229d0ff20">
    <w:name w:val="csf229d0ff20"/>
    <w:rsid w:val="00864C4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64C4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64C4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64C4D"/>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64C4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64C4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64C4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64C4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64C4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64C4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64C4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64C4D"/>
    <w:pPr>
      <w:ind w:firstLine="708"/>
      <w:jc w:val="both"/>
    </w:pPr>
    <w:rPr>
      <w:rFonts w:ascii="Arial" w:eastAsia="Times New Roman" w:hAnsi="Arial"/>
      <w:b/>
      <w:sz w:val="18"/>
      <w:lang w:val="uk-UA" w:eastAsia="uk-UA"/>
    </w:rPr>
  </w:style>
  <w:style w:type="character" w:customStyle="1" w:styleId="csab6e07697">
    <w:name w:val="csab6e07697"/>
    <w:rsid w:val="00864C4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64C4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64C4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64C4D"/>
    <w:pPr>
      <w:ind w:firstLine="708"/>
      <w:jc w:val="both"/>
    </w:pPr>
    <w:rPr>
      <w:rFonts w:ascii="Arial" w:eastAsia="Times New Roman" w:hAnsi="Arial"/>
      <w:b/>
      <w:sz w:val="18"/>
      <w:lang w:val="uk-UA" w:eastAsia="uk-UA"/>
    </w:rPr>
  </w:style>
  <w:style w:type="character" w:customStyle="1" w:styleId="csb3e8c9cf94">
    <w:name w:val="csb3e8c9cf94"/>
    <w:rsid w:val="00864C4D"/>
    <w:rPr>
      <w:rFonts w:ascii="Arial" w:hAnsi="Arial" w:cs="Arial" w:hint="default"/>
      <w:b/>
      <w:bCs/>
      <w:i w:val="0"/>
      <w:iCs w:val="0"/>
      <w:color w:val="000000"/>
      <w:sz w:val="18"/>
      <w:szCs w:val="18"/>
      <w:shd w:val="clear" w:color="auto" w:fill="auto"/>
    </w:rPr>
  </w:style>
  <w:style w:type="character" w:customStyle="1" w:styleId="csf229d0ff91">
    <w:name w:val="csf229d0ff91"/>
    <w:rsid w:val="00864C4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64C4D"/>
    <w:rPr>
      <w:rFonts w:ascii="Arial" w:eastAsia="Times New Roman" w:hAnsi="Arial"/>
      <w:b/>
      <w:caps/>
      <w:sz w:val="16"/>
      <w:lang w:val="ru-RU" w:eastAsia="ru-RU"/>
    </w:rPr>
  </w:style>
  <w:style w:type="character" w:customStyle="1" w:styleId="411">
    <w:name w:val="Заголовок 4 Знак1"/>
    <w:uiPriority w:val="9"/>
    <w:locked/>
    <w:rsid w:val="00864C4D"/>
    <w:rPr>
      <w:rFonts w:ascii="Arial" w:eastAsia="Times New Roman" w:hAnsi="Arial"/>
      <w:b/>
      <w:lang w:val="ru-RU" w:eastAsia="ru-RU"/>
    </w:rPr>
  </w:style>
  <w:style w:type="character" w:customStyle="1" w:styleId="csf229d0ff74">
    <w:name w:val="csf229d0ff74"/>
    <w:rsid w:val="00864C4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64C4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64C4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64C4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64C4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64C4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64C4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64C4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64C4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64C4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64C4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64C4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64C4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64C4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64C4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64C4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64C4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64C4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64C4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64C4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64C4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64C4D"/>
    <w:rPr>
      <w:rFonts w:ascii="Arial" w:hAnsi="Arial" w:cs="Arial" w:hint="default"/>
      <w:b w:val="0"/>
      <w:bCs w:val="0"/>
      <w:i w:val="0"/>
      <w:iCs w:val="0"/>
      <w:color w:val="000000"/>
      <w:sz w:val="18"/>
      <w:szCs w:val="18"/>
      <w:shd w:val="clear" w:color="auto" w:fill="auto"/>
    </w:rPr>
  </w:style>
  <w:style w:type="character" w:customStyle="1" w:styleId="csba294252">
    <w:name w:val="csba294252"/>
    <w:rsid w:val="00864C4D"/>
    <w:rPr>
      <w:rFonts w:ascii="Segoe UI" w:hAnsi="Segoe UI" w:cs="Segoe UI" w:hint="default"/>
      <w:b/>
      <w:bCs/>
      <w:i/>
      <w:iCs/>
      <w:color w:val="102B56"/>
      <w:sz w:val="18"/>
      <w:szCs w:val="18"/>
      <w:shd w:val="clear" w:color="auto" w:fill="auto"/>
    </w:rPr>
  </w:style>
  <w:style w:type="character" w:customStyle="1" w:styleId="csf229d0ff131">
    <w:name w:val="csf229d0ff131"/>
    <w:rsid w:val="00864C4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64C4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64C4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64C4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64C4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64C4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64C4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64C4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64C4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64C4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64C4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64C4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64C4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64C4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64C4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64C4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64C4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64C4D"/>
    <w:rPr>
      <w:rFonts w:ascii="Arial" w:hAnsi="Arial" w:cs="Arial" w:hint="default"/>
      <w:b/>
      <w:bCs/>
      <w:i/>
      <w:iCs/>
      <w:color w:val="000000"/>
      <w:sz w:val="18"/>
      <w:szCs w:val="18"/>
      <w:shd w:val="clear" w:color="auto" w:fill="auto"/>
    </w:rPr>
  </w:style>
  <w:style w:type="character" w:customStyle="1" w:styleId="csf229d0ff144">
    <w:name w:val="csf229d0ff144"/>
    <w:rsid w:val="00864C4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64C4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64C4D"/>
    <w:rPr>
      <w:rFonts w:ascii="Arial" w:hAnsi="Arial" w:cs="Arial" w:hint="default"/>
      <w:b/>
      <w:bCs/>
      <w:i/>
      <w:iCs/>
      <w:color w:val="000000"/>
      <w:sz w:val="18"/>
      <w:szCs w:val="18"/>
      <w:shd w:val="clear" w:color="auto" w:fill="auto"/>
    </w:rPr>
  </w:style>
  <w:style w:type="character" w:customStyle="1" w:styleId="csf229d0ff122">
    <w:name w:val="csf229d0ff122"/>
    <w:rsid w:val="00864C4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64C4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64C4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64C4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64C4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64C4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64C4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64C4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64C4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64C4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64C4D"/>
    <w:rPr>
      <w:rFonts w:ascii="Arial" w:hAnsi="Arial" w:cs="Arial"/>
      <w:sz w:val="18"/>
      <w:szCs w:val="18"/>
      <w:lang w:val="ru-RU"/>
    </w:rPr>
  </w:style>
  <w:style w:type="paragraph" w:customStyle="1" w:styleId="Arial90">
    <w:name w:val="Arial9(без отступов)"/>
    <w:link w:val="Arial9"/>
    <w:semiHidden/>
    <w:rsid w:val="00864C4D"/>
    <w:pPr>
      <w:ind w:left="-113"/>
    </w:pPr>
    <w:rPr>
      <w:rFonts w:ascii="Arial" w:hAnsi="Arial" w:cs="Arial"/>
      <w:sz w:val="18"/>
      <w:szCs w:val="18"/>
      <w:lang w:val="ru-RU"/>
    </w:rPr>
  </w:style>
  <w:style w:type="character" w:customStyle="1" w:styleId="csf229d0ff178">
    <w:name w:val="csf229d0ff178"/>
    <w:rsid w:val="00864C4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64C4D"/>
    <w:rPr>
      <w:rFonts w:ascii="Arial" w:hAnsi="Arial" w:cs="Arial" w:hint="default"/>
      <w:b/>
      <w:bCs/>
      <w:i w:val="0"/>
      <w:iCs w:val="0"/>
      <w:color w:val="000000"/>
      <w:sz w:val="18"/>
      <w:szCs w:val="18"/>
      <w:shd w:val="clear" w:color="auto" w:fill="auto"/>
    </w:rPr>
  </w:style>
  <w:style w:type="character" w:customStyle="1" w:styleId="cs7864ebcf1">
    <w:name w:val="cs7864ebcf1"/>
    <w:rsid w:val="00864C4D"/>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864C4D"/>
    <w:rPr>
      <w:rFonts w:ascii="Arial" w:hAnsi="Arial" w:cs="Arial" w:hint="default"/>
      <w:b w:val="0"/>
      <w:bCs w:val="0"/>
      <w:i w:val="0"/>
      <w:iCs w:val="0"/>
      <w:color w:val="000000"/>
      <w:sz w:val="18"/>
      <w:szCs w:val="18"/>
      <w:shd w:val="clear" w:color="auto" w:fill="auto"/>
    </w:rPr>
  </w:style>
  <w:style w:type="character" w:customStyle="1" w:styleId="cs9b006263">
    <w:name w:val="cs9b006263"/>
    <w:rsid w:val="00864C4D"/>
    <w:rPr>
      <w:rFonts w:ascii="Arial" w:hAnsi="Arial" w:cs="Arial" w:hint="default"/>
      <w:b/>
      <w:bCs/>
      <w:i w:val="0"/>
      <w:iCs w:val="0"/>
      <w:color w:val="000000"/>
      <w:sz w:val="20"/>
      <w:szCs w:val="20"/>
      <w:shd w:val="clear" w:color="auto" w:fill="auto"/>
    </w:rPr>
  </w:style>
  <w:style w:type="character" w:customStyle="1" w:styleId="csf229d0ff36">
    <w:name w:val="csf229d0ff36"/>
    <w:rsid w:val="00864C4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64C4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64C4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64C4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64C4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64C4D"/>
    <w:pPr>
      <w:snapToGrid w:val="0"/>
      <w:ind w:left="720"/>
      <w:contextualSpacing/>
    </w:pPr>
    <w:rPr>
      <w:rFonts w:ascii="Arial" w:eastAsia="Times New Roman" w:hAnsi="Arial"/>
      <w:sz w:val="28"/>
    </w:rPr>
  </w:style>
  <w:style w:type="character" w:customStyle="1" w:styleId="csf229d0ff102">
    <w:name w:val="csf229d0ff102"/>
    <w:rsid w:val="00864C4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64C4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64C4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64C4D"/>
    <w:rPr>
      <w:rFonts w:ascii="Arial" w:hAnsi="Arial" w:cs="Arial" w:hint="default"/>
      <w:b/>
      <w:bCs/>
      <w:i/>
      <w:iCs/>
      <w:color w:val="000000"/>
      <w:sz w:val="18"/>
      <w:szCs w:val="18"/>
      <w:shd w:val="clear" w:color="auto" w:fill="auto"/>
    </w:rPr>
  </w:style>
  <w:style w:type="character" w:customStyle="1" w:styleId="csf229d0ff142">
    <w:name w:val="csf229d0ff142"/>
    <w:rsid w:val="00864C4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64C4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64C4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64C4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64C4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64C4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64C4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64C4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64C4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64C4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64C4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64C4D"/>
    <w:rPr>
      <w:rFonts w:ascii="Arial" w:hAnsi="Arial" w:cs="Arial" w:hint="default"/>
      <w:b/>
      <w:bCs/>
      <w:i w:val="0"/>
      <w:iCs w:val="0"/>
      <w:color w:val="000000"/>
      <w:sz w:val="18"/>
      <w:szCs w:val="18"/>
      <w:shd w:val="clear" w:color="auto" w:fill="auto"/>
    </w:rPr>
  </w:style>
  <w:style w:type="character" w:customStyle="1" w:styleId="csf229d0ff107">
    <w:name w:val="csf229d0ff107"/>
    <w:rsid w:val="00864C4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64C4D"/>
    <w:rPr>
      <w:rFonts w:ascii="Arial" w:hAnsi="Arial" w:cs="Arial" w:hint="default"/>
      <w:b/>
      <w:bCs/>
      <w:i/>
      <w:iCs/>
      <w:color w:val="000000"/>
      <w:sz w:val="18"/>
      <w:szCs w:val="18"/>
      <w:shd w:val="clear" w:color="auto" w:fill="auto"/>
    </w:rPr>
  </w:style>
  <w:style w:type="character" w:customStyle="1" w:styleId="csab6e076993">
    <w:name w:val="csab6e076993"/>
    <w:rsid w:val="00864C4D"/>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64C4D"/>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64C4D"/>
    <w:rPr>
      <w:rFonts w:ascii="Arial" w:hAnsi="Arial"/>
      <w:sz w:val="18"/>
      <w:lang w:val="x-none" w:eastAsia="ru-RU"/>
    </w:rPr>
  </w:style>
  <w:style w:type="paragraph" w:customStyle="1" w:styleId="Arial960">
    <w:name w:val="Arial9+6пт"/>
    <w:basedOn w:val="a"/>
    <w:link w:val="Arial96"/>
    <w:rsid w:val="00864C4D"/>
    <w:pPr>
      <w:snapToGrid w:val="0"/>
      <w:spacing w:before="120"/>
    </w:pPr>
    <w:rPr>
      <w:rFonts w:ascii="Arial" w:hAnsi="Arial"/>
      <w:sz w:val="18"/>
      <w:lang w:val="x-none"/>
    </w:rPr>
  </w:style>
  <w:style w:type="character" w:customStyle="1" w:styleId="csf229d0ff86">
    <w:name w:val="csf229d0ff86"/>
    <w:rsid w:val="00864C4D"/>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64C4D"/>
    <w:rPr>
      <w:rFonts w:ascii="Segoe UI" w:hAnsi="Segoe UI" w:cs="Segoe UI" w:hint="default"/>
      <w:b/>
      <w:bCs/>
      <w:i/>
      <w:iCs/>
      <w:color w:val="102B56"/>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9C42-0918-4707-91E3-8FEB63AA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45841</Words>
  <Characters>261297</Characters>
  <Application>Microsoft Office Word</Application>
  <DocSecurity>0</DocSecurity>
  <Lines>2177</Lines>
  <Paragraphs>613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306525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2022-04-01T05:14:00Z</dcterms:created>
  <dcterms:modified xsi:type="dcterms:W3CDTF">2022-04-01T05:14:00Z</dcterms:modified>
</cp:coreProperties>
</file>