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13E" w:rsidRDefault="0094383F" w:rsidP="00EC4589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A7BE6">
              <w:rPr>
                <w:bCs/>
                <w:color w:val="000000" w:themeColor="text1"/>
                <w:sz w:val="24"/>
                <w:szCs w:val="24"/>
              </w:rPr>
              <w:t>Назва закупівлі:</w:t>
            </w:r>
            <w:r w:rsidRPr="00EC4589">
              <w:rPr>
                <w:color w:val="000000" w:themeColor="text1"/>
              </w:rPr>
              <w:t xml:space="preserve"> </w:t>
            </w:r>
            <w:r w:rsidR="00B4531E" w:rsidRPr="00B4531E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Миючі засоби</w:t>
            </w:r>
          </w:p>
          <w:p w:rsidR="00E00676" w:rsidRPr="00E00676" w:rsidRDefault="0094383F" w:rsidP="00E00676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B4531E" w:rsidRPr="00B4531E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39830000-9: Продукція для чищення</w:t>
            </w:r>
          </w:p>
          <w:p w:rsidR="0084750C" w:rsidRDefault="0084750C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846621" w:rsidRPr="00846621">
              <w:rPr>
                <w:b/>
                <w:color w:val="000000" w:themeColor="text1"/>
                <w:sz w:val="24"/>
                <w:szCs w:val="24"/>
              </w:rPr>
              <w:t>Відкриті торги з особливостями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B4531E">
              <w:rPr>
                <w:b/>
                <w:color w:val="000000" w:themeColor="text1"/>
                <w:sz w:val="24"/>
                <w:szCs w:val="24"/>
                <w:lang w:val="ru-UA"/>
              </w:rPr>
              <w:t>25 5</w:t>
            </w:r>
            <w:r w:rsidR="00E00676" w:rsidRPr="00E00676">
              <w:rPr>
                <w:b/>
                <w:color w:val="000000" w:themeColor="text1"/>
                <w:sz w:val="24"/>
                <w:szCs w:val="24"/>
              </w:rPr>
              <w:t>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B4531E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E00676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0676">
              <w:rPr>
                <w:b/>
                <w:color w:val="000000" w:themeColor="text1"/>
                <w:sz w:val="24"/>
                <w:szCs w:val="24"/>
                <w:lang w:val="ru-UA"/>
              </w:rPr>
              <w:t>трав</w:t>
            </w:r>
            <w:r w:rsidR="008F3A9E">
              <w:rPr>
                <w:b/>
                <w:color w:val="000000" w:themeColor="text1"/>
                <w:sz w:val="24"/>
                <w:szCs w:val="24"/>
              </w:rPr>
              <w:t>ня 2023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78113E" w:rsidRDefault="0094383F" w:rsidP="00FA33B2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Детальна інформація за </w:t>
            </w:r>
            <w:r w:rsidRPr="0042085D">
              <w:rPr>
                <w:color w:val="000000" w:themeColor="text1"/>
                <w:sz w:val="24"/>
                <w:szCs w:val="24"/>
              </w:rPr>
              <w:t>посиланням:</w:t>
            </w:r>
            <w:r w:rsidRPr="00E0067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B4531E" w:rsidRPr="00B4531E">
                <w:rPr>
                  <w:rStyle w:val="a3"/>
                  <w:sz w:val="24"/>
                  <w:szCs w:val="24"/>
                </w:rPr>
                <w:t>https://prozorro.gov.ua/tender/UA-2023-05-11-009906-a</w:t>
              </w:r>
            </w:hyperlink>
          </w:p>
          <w:p w:rsidR="0078113E" w:rsidRPr="00FA33B2" w:rsidRDefault="0078113E" w:rsidP="00FA33B2">
            <w:pPr>
              <w:spacing w:after="0" w:line="276" w:lineRule="auto"/>
            </w:pPr>
          </w:p>
        </w:tc>
      </w:tr>
    </w:tbl>
    <w:p w:rsidR="00BD3662" w:rsidRDefault="00B55729" w:rsidP="00BD3662">
      <w:pPr>
        <w:ind w:left="291" w:right="-23"/>
        <w:jc w:val="center"/>
        <w:rPr>
          <w:b/>
          <w:bCs/>
          <w:smallCaps/>
          <w:spacing w:val="5"/>
          <w:sz w:val="24"/>
          <w:szCs w:val="24"/>
        </w:rPr>
      </w:pPr>
      <w:r w:rsidRPr="00CC5B51">
        <w:rPr>
          <w:b/>
          <w:bCs/>
          <w:smallCaps/>
          <w:spacing w:val="5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B4531E" w:rsidRPr="00B4531E" w:rsidRDefault="00B4531E" w:rsidP="00B4531E">
      <w:pPr>
        <w:tabs>
          <w:tab w:val="left" w:pos="-2160"/>
        </w:tabs>
        <w:jc w:val="both"/>
        <w:rPr>
          <w:i/>
          <w:sz w:val="24"/>
          <w:szCs w:val="24"/>
        </w:rPr>
      </w:pPr>
      <w:r w:rsidRPr="00B4531E">
        <w:rPr>
          <w:sz w:val="24"/>
          <w:szCs w:val="24"/>
          <w:lang w:eastAsia="x-none"/>
        </w:rPr>
        <w:t xml:space="preserve">1.  </w:t>
      </w:r>
      <w:r w:rsidRPr="00B4531E">
        <w:rPr>
          <w:sz w:val="24"/>
          <w:szCs w:val="24"/>
        </w:rPr>
        <w:t xml:space="preserve">Товар має бути належним чином зареєстрований в Україні у передбаченому законодавством порядку та відповідати національним та/або міжнародним стандартам. </w:t>
      </w:r>
    </w:p>
    <w:p w:rsidR="00B4531E" w:rsidRPr="00B4531E" w:rsidRDefault="00B4531E" w:rsidP="00B4531E">
      <w:pPr>
        <w:jc w:val="both"/>
        <w:rPr>
          <w:sz w:val="24"/>
          <w:szCs w:val="24"/>
          <w:lang w:eastAsia="x-none"/>
        </w:rPr>
      </w:pPr>
      <w:r w:rsidRPr="00B4531E">
        <w:rPr>
          <w:sz w:val="24"/>
          <w:szCs w:val="24"/>
          <w:lang w:eastAsia="x-none"/>
        </w:rPr>
        <w:t xml:space="preserve">2. </w:t>
      </w:r>
      <w:r w:rsidRPr="00B4531E">
        <w:rPr>
          <w:sz w:val="24"/>
          <w:szCs w:val="24"/>
        </w:rPr>
        <w:t>Учасник повинен надати інформацію про предмет закупівлі заповнивши</w:t>
      </w:r>
      <w:r w:rsidRPr="00B4531E">
        <w:rPr>
          <w:b/>
          <w:sz w:val="24"/>
          <w:szCs w:val="24"/>
        </w:rPr>
        <w:t xml:space="preserve">  </w:t>
      </w:r>
      <w:r w:rsidRPr="00B4531E">
        <w:rPr>
          <w:sz w:val="24"/>
          <w:szCs w:val="24"/>
        </w:rPr>
        <w:t>вільні поля</w:t>
      </w:r>
      <w:r w:rsidRPr="00B4531E">
        <w:rPr>
          <w:b/>
          <w:sz w:val="24"/>
          <w:szCs w:val="24"/>
        </w:rPr>
        <w:t xml:space="preserve"> </w:t>
      </w:r>
      <w:r w:rsidRPr="00B4531E">
        <w:rPr>
          <w:b/>
          <w:sz w:val="24"/>
          <w:szCs w:val="24"/>
          <w:u w:val="single"/>
        </w:rPr>
        <w:t>Таблиці 1</w:t>
      </w:r>
      <w:r w:rsidRPr="00B4531E">
        <w:rPr>
          <w:spacing w:val="3"/>
          <w:sz w:val="24"/>
          <w:szCs w:val="24"/>
        </w:rPr>
        <w:t xml:space="preserve"> та документи на товар, що вимагаються даним додатком, з обов’язковим вказанням в назві файлу таких документів номеру позиції до якої відноситься, той чи інший документ. Не пронумеровані документи на товар, розглядатися не будуть.</w:t>
      </w:r>
    </w:p>
    <w:p w:rsidR="00B4531E" w:rsidRPr="00B4531E" w:rsidRDefault="00B4531E" w:rsidP="00B4531E">
      <w:pPr>
        <w:jc w:val="both"/>
        <w:rPr>
          <w:sz w:val="24"/>
          <w:szCs w:val="24"/>
        </w:rPr>
      </w:pPr>
      <w:bookmarkStart w:id="0" w:name="_Hlk114495189"/>
      <w:r w:rsidRPr="00B4531E">
        <w:rPr>
          <w:sz w:val="24"/>
          <w:szCs w:val="24"/>
        </w:rPr>
        <w:t xml:space="preserve">3. Технічні, якісні характеристики предмета закупівлі, повинні передбачати необхідність застосування заходів із захисту довкілля, відповідати вимогам </w:t>
      </w:r>
      <w:r w:rsidRPr="00B4531E">
        <w:rPr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B4531E">
        <w:rPr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B4531E">
        <w:rPr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B4531E">
        <w:rPr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B4531E" w:rsidRPr="00B4531E" w:rsidRDefault="00B4531E" w:rsidP="00B4531E">
      <w:pPr>
        <w:tabs>
          <w:tab w:val="left" w:pos="284"/>
        </w:tabs>
        <w:jc w:val="right"/>
        <w:rPr>
          <w:i/>
          <w:sz w:val="24"/>
          <w:szCs w:val="24"/>
        </w:rPr>
      </w:pPr>
      <w:bookmarkStart w:id="1" w:name="_GoBack"/>
      <w:bookmarkEnd w:id="0"/>
      <w:bookmarkEnd w:id="1"/>
      <w:r w:rsidRPr="00B4531E">
        <w:rPr>
          <w:sz w:val="24"/>
          <w:szCs w:val="24"/>
          <w:u w:val="single"/>
        </w:rPr>
        <w:t>Таблиця 1</w:t>
      </w:r>
    </w:p>
    <w:tbl>
      <w:tblPr>
        <w:tblStyle w:val="TableNormal"/>
        <w:tblW w:w="10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44"/>
        <w:gridCol w:w="4263"/>
        <w:gridCol w:w="541"/>
        <w:gridCol w:w="824"/>
        <w:gridCol w:w="1141"/>
        <w:gridCol w:w="1056"/>
      </w:tblGrid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№ з/п</w:t>
            </w:r>
          </w:p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предмету закупівлі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Характеристики предмета закупівлі (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опис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предмета закупівлі)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Од.</w:t>
            </w:r>
            <w:r w:rsidRPr="00B4531E">
              <w:rPr>
                <w:rFonts w:eastAsia="Times New Roman"/>
                <w:spacing w:val="-52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запропонованого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товару 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Виробник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країна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походження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товару</w:t>
            </w: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Характеристики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запропонованого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учасником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товару</w:t>
            </w: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миття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посуду з дозатором, 1л 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1.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антимікробною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дією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миття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посуду та дозволений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лікувально-профілактичних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оздоровчих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санаторних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закладах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харчоблоках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підтверджено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ДСЕЕ)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2. Склад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:  комплекс ПАР (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аніонні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5%,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амфотерні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–не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5%,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неіногенні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–не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5%) та 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1% 2-феноксіетанолу.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3. До складу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повинні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входити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наступні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речовини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: хлор,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кислоти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альдегід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перекис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водню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аміак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похідні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4.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Можливість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від 2 л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1 л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ручного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миття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посуду.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максимальну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показником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 xml:space="preserve">5.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Можливість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від 25 л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1 л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миття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посуду методом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занурення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максимальну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показником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6. 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усувати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неприємний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запах,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видаляти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білкові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жирові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забруднення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легко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змиватися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 7.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повинен 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пошкоджувати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пластику,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кераміки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порцеляни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алюмінію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тефлону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емальовані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 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8.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антимікробний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ефект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9.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дозволений до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10.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Мийна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здатність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по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відношенню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еталону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80%,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підтверджено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сертифікатом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(паспортом)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виробника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11.Рівень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здатності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біологічного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розкладання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поверхнево-активних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речовин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80%,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підтверджено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сертифікатом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(паспортом)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виробника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12.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Термін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придатності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–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7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13.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Фасування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пляшка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об’ємом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1000 мл з дозатором.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14.Можливість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зливання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відпрацьованих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невикористаних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робочих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розчинів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каналізацію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15.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Термін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придатності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засобу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років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16.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висновок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ДСЕЕ, 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інструкцію</w:t>
            </w:r>
            <w:proofErr w:type="spellEnd"/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сертифікат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(паспорт)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ISO 9001, 14001,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незалежним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компетентним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національним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міжнародним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органом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систем менеджменту.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Національний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орган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систем менеджменту (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сертифікаційний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орган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орган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оцінки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відповідності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данні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стандарти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акредитований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стандарти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мають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бути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сфері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акредитації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даного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органу), лист від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виробника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офіційного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представника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території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України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ім’я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Замовника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гарантією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поставки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повному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обсязі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53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Відбілювач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гель, 1000 мл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Гелеподібна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прозора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відбілювання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дезінфекції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легко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видаляє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виробів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бавовни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льону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дезінфікує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посуд,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кахель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ванну,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унітаз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убиває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мікроби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миття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емальованого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фарфорового та фаянсового посуду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необхідно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ретельно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промити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водою.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Забезпечує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дезінфекційний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ефект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При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замерзанні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зберігає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властивості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Безпечно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час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призначенням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побутове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паспорт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1,5кг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посудомийних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машин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посудомийних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машин </w:t>
            </w:r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1,5кг.Спеціальна</w:t>
            </w:r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ефектом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Захищає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посудомийну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машину від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утворення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вапняного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нальоту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тому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продовжує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термін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служби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машини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допомагає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видалити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кальцій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води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запобігає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утворенню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водяного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нальотуь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).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Пральний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порошок для ручного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Пральний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порошок для ручного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Запах: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морський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чудово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пере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розгладжує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бавовняні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волокна,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доглядає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тканиною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зберігає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буде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наповнена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свіжим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ароматом.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хлор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агресивні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відбілювачі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завдяки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чому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руйнується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структура тканин.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набуває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чудової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чистоти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свіжості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фарб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побутове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паспорт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чищення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Сантрі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1л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Санітарно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гігієнічний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вигляді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зеленого </w:t>
            </w:r>
            <w:proofErr w:type="spellStart"/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в</w:t>
            </w:r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пластиковій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1000 мл.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Здатне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швидко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ефективно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очистить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сантехніку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від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вапняного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нальоту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іржі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бруду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знищить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мікроби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додасть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поверхні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блиск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чистоту.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побутове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паспорт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чищення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каналізаційних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труб, 1000 мл 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Рідкий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чищення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Усуває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засмічення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застої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бореться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мікробами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неприємним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запахом.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Дезінфікує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сифони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труби.Формула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гідроксидом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ефективно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швидко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вирішує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проблеми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будь-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якими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відкладеннями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трубах.Засіб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побутове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паспорт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якості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1л д/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виведення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кольорових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тканин РОЖЕВИЙ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1л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виведення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кольорових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тканин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Oxi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Action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Видаляє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навіть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холодній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воді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Яскравість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запахів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Безпечний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повсякденного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кольорових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тканинах</w:t>
            </w:r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1л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виведення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тканин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1л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виведення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тканин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Oxi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Action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Кришталева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білизна.Видаляє</w:t>
            </w:r>
            <w:proofErr w:type="spellEnd"/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стійкі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покращує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колір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речей. Продукт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підходить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всіх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типав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тканин.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Видаляє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плями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навіть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холодній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воді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Яскравість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кольору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видалення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запахів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Безпечний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повсякденного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proofErr w:type="gram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білих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тканинах</w:t>
            </w:r>
            <w:proofErr w:type="gram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повинен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дозволеним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 для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побуті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(повинно бути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вказано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висновку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ДСЕЕ,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30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B4531E" w:rsidRPr="00B4531E" w:rsidTr="00B4531E">
        <w:trPr>
          <w:trHeight w:val="50"/>
        </w:trPr>
        <w:tc>
          <w:tcPr>
            <w:tcW w:w="39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9</w:t>
            </w:r>
          </w:p>
        </w:tc>
        <w:tc>
          <w:tcPr>
            <w:tcW w:w="194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Сода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харчова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, 500г .</w:t>
            </w:r>
          </w:p>
        </w:tc>
        <w:tc>
          <w:tcPr>
            <w:tcW w:w="4263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Сода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Масова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вологи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% -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0,1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Масова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двовуглекислого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% -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99,5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Масова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вуглекислого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% -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0,4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Масова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сульфатів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, в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перерахунку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SO4²-, % - не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0,02</w:t>
            </w: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Всі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кількісні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показники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підтвредити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складі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цінової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документом з державного центру </w:t>
            </w:r>
            <w:proofErr w:type="spellStart"/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сертифікації</w:t>
            </w:r>
            <w:proofErr w:type="spellEnd"/>
          </w:p>
        </w:tc>
        <w:tc>
          <w:tcPr>
            <w:tcW w:w="5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24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4531E">
              <w:rPr>
                <w:rFonts w:eastAsia="Times New Roman"/>
                <w:sz w:val="20"/>
                <w:szCs w:val="20"/>
                <w:lang w:val="ru-RU" w:eastAsia="ru-RU"/>
              </w:rPr>
              <w:t>пак</w:t>
            </w:r>
          </w:p>
        </w:tc>
        <w:tc>
          <w:tcPr>
            <w:tcW w:w="1141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</w:tcPr>
          <w:p w:rsidR="00B4531E" w:rsidRPr="00B4531E" w:rsidRDefault="00B4531E" w:rsidP="00374C7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B4531E" w:rsidRPr="00E3481C" w:rsidRDefault="00B4531E" w:rsidP="00B4531E">
      <w:pPr>
        <w:widowControl w:val="0"/>
        <w:tabs>
          <w:tab w:val="left" w:pos="142"/>
          <w:tab w:val="left" w:pos="360"/>
          <w:tab w:val="num" w:pos="426"/>
        </w:tabs>
        <w:autoSpaceDE w:val="0"/>
        <w:autoSpaceDN w:val="0"/>
        <w:ind w:left="-426"/>
        <w:jc w:val="both"/>
        <w:rPr>
          <w:rFonts w:eastAsia="Tahoma"/>
          <w:color w:val="00000A"/>
          <w:sz w:val="20"/>
          <w:szCs w:val="20"/>
          <w:lang w:bidi="hi-IN"/>
        </w:rPr>
      </w:pPr>
      <w:r w:rsidRPr="00E3481C">
        <w:rPr>
          <w:rFonts w:eastAsia="Tahoma"/>
          <w:color w:val="00000A"/>
          <w:sz w:val="20"/>
          <w:szCs w:val="20"/>
          <w:lang w:bidi="hi-IN"/>
        </w:rPr>
        <w:t>**</w:t>
      </w:r>
      <w:r w:rsidRPr="00E3481C">
        <w:rPr>
          <w:sz w:val="20"/>
          <w:szCs w:val="20"/>
          <w:lang w:eastAsia="ar-SA"/>
        </w:rPr>
        <w:t>У складі тендерної пропозиції Учасник вказує назву товару, що пропонується Учасником до постачання, у тому вигляді, як буде зазначатися у специфікації до майбутнього договору про закупівлю та у видаткових накладних Учасника.</w:t>
      </w:r>
      <w:r w:rsidRPr="00E3481C">
        <w:rPr>
          <w:rFonts w:eastAsia="Tahoma"/>
          <w:color w:val="00000A"/>
          <w:sz w:val="20"/>
          <w:szCs w:val="20"/>
          <w:lang w:bidi="hi-IN"/>
        </w:rPr>
        <w:t xml:space="preserve"> </w:t>
      </w:r>
    </w:p>
    <w:p w:rsidR="00E00676" w:rsidRPr="00E00676" w:rsidRDefault="00E00676" w:rsidP="00B45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mallCaps/>
          <w:spacing w:val="5"/>
          <w:sz w:val="24"/>
          <w:szCs w:val="24"/>
        </w:rPr>
      </w:pPr>
    </w:p>
    <w:sectPr w:rsidR="00E00676" w:rsidRPr="00E00676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342"/>
    <w:multiLevelType w:val="hybridMultilevel"/>
    <w:tmpl w:val="EBA0E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C1D"/>
    <w:multiLevelType w:val="hybridMultilevel"/>
    <w:tmpl w:val="1F6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7" w15:restartNumberingAfterBreak="0">
    <w:nsid w:val="22F306E8"/>
    <w:multiLevelType w:val="hybridMultilevel"/>
    <w:tmpl w:val="49769E0E"/>
    <w:lvl w:ilvl="0" w:tplc="E104EB94">
      <w:start w:val="1"/>
      <w:numFmt w:val="bullet"/>
      <w:lvlText w:val="-"/>
      <w:lvlJc w:val="left"/>
      <w:pPr>
        <w:ind w:left="927" w:hanging="360"/>
      </w:pPr>
      <w:rPr>
        <w:rFonts w:ascii="Times New Roman" w:eastAsia="Tahom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10" w15:restartNumberingAfterBreak="0">
    <w:nsid w:val="298E6E2D"/>
    <w:multiLevelType w:val="multilevel"/>
    <w:tmpl w:val="E31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D2DA6"/>
    <w:multiLevelType w:val="hybridMultilevel"/>
    <w:tmpl w:val="F892C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3" w15:restartNumberingAfterBreak="0">
    <w:nsid w:val="3B19738B"/>
    <w:multiLevelType w:val="hybridMultilevel"/>
    <w:tmpl w:val="DBF85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6910"/>
    <w:multiLevelType w:val="hybridMultilevel"/>
    <w:tmpl w:val="344EE61A"/>
    <w:lvl w:ilvl="0" w:tplc="8B804A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55C6"/>
    <w:multiLevelType w:val="multilevel"/>
    <w:tmpl w:val="AAF4046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4" w:hanging="1800"/>
      </w:pPr>
      <w:rPr>
        <w:rFonts w:hint="default"/>
      </w:rPr>
    </w:lvl>
  </w:abstractNum>
  <w:abstractNum w:abstractNumId="19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6E03A90"/>
    <w:multiLevelType w:val="multilevel"/>
    <w:tmpl w:val="DF16C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2" w15:restartNumberingAfterBreak="0">
    <w:nsid w:val="4C3D161E"/>
    <w:multiLevelType w:val="multilevel"/>
    <w:tmpl w:val="A5425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5" w15:restartNumberingAfterBreak="0">
    <w:nsid w:val="59E45374"/>
    <w:multiLevelType w:val="multilevel"/>
    <w:tmpl w:val="889ADE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8" w15:restartNumberingAfterBreak="0">
    <w:nsid w:val="5F145B72"/>
    <w:multiLevelType w:val="hybridMultilevel"/>
    <w:tmpl w:val="F93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8A30A3"/>
    <w:multiLevelType w:val="hybridMultilevel"/>
    <w:tmpl w:val="20A4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31EDE"/>
    <w:multiLevelType w:val="hybridMultilevel"/>
    <w:tmpl w:val="1F18218C"/>
    <w:lvl w:ilvl="0" w:tplc="3FB804EA">
      <w:start w:val="1"/>
      <w:numFmt w:val="decimal"/>
      <w:lvlText w:val="%1."/>
      <w:lvlJc w:val="left"/>
      <w:pPr>
        <w:ind w:left="105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1" w15:restartNumberingAfterBreak="0">
    <w:nsid w:val="6BAA2E2A"/>
    <w:multiLevelType w:val="hybridMultilevel"/>
    <w:tmpl w:val="80F2505C"/>
    <w:lvl w:ilvl="0" w:tplc="9BE4F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52236"/>
    <w:multiLevelType w:val="hybridMultilevel"/>
    <w:tmpl w:val="767848C2"/>
    <w:lvl w:ilvl="0" w:tplc="98ECFE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95A1B"/>
    <w:multiLevelType w:val="hybridMultilevel"/>
    <w:tmpl w:val="2D30D488"/>
    <w:lvl w:ilvl="0" w:tplc="89A276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66716"/>
    <w:multiLevelType w:val="hybridMultilevel"/>
    <w:tmpl w:val="74D6C5E6"/>
    <w:lvl w:ilvl="0" w:tplc="9DA68CF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785969"/>
    <w:multiLevelType w:val="multilevel"/>
    <w:tmpl w:val="A8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01722"/>
    <w:multiLevelType w:val="hybridMultilevel"/>
    <w:tmpl w:val="729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abstractNum w:abstractNumId="41" w15:restartNumberingAfterBreak="0">
    <w:nsid w:val="7B9F4D0E"/>
    <w:multiLevelType w:val="multilevel"/>
    <w:tmpl w:val="D30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2F179B"/>
    <w:multiLevelType w:val="hybridMultilevel"/>
    <w:tmpl w:val="05B2C10A"/>
    <w:lvl w:ilvl="0" w:tplc="923C7D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6"/>
  </w:num>
  <w:num w:numId="5">
    <w:abstractNumId w:val="2"/>
  </w:num>
  <w:num w:numId="6">
    <w:abstractNumId w:val="32"/>
  </w:num>
  <w:num w:numId="7">
    <w:abstractNumId w:val="8"/>
  </w:num>
  <w:num w:numId="8">
    <w:abstractNumId w:val="5"/>
  </w:num>
  <w:num w:numId="9">
    <w:abstractNumId w:val="17"/>
  </w:num>
  <w:num w:numId="10">
    <w:abstractNumId w:val="15"/>
  </w:num>
  <w:num w:numId="11">
    <w:abstractNumId w:val="9"/>
  </w:num>
  <w:num w:numId="12">
    <w:abstractNumId w:val="27"/>
  </w:num>
  <w:num w:numId="13">
    <w:abstractNumId w:val="40"/>
  </w:num>
  <w:num w:numId="14">
    <w:abstractNumId w:val="26"/>
  </w:num>
  <w:num w:numId="15">
    <w:abstractNumId w:val="4"/>
  </w:num>
  <w:num w:numId="16">
    <w:abstractNumId w:val="24"/>
  </w:num>
  <w:num w:numId="17">
    <w:abstractNumId w:val="19"/>
  </w:num>
  <w:num w:numId="18">
    <w:abstractNumId w:val="36"/>
  </w:num>
  <w:num w:numId="19">
    <w:abstractNumId w:val="34"/>
  </w:num>
  <w:num w:numId="20">
    <w:abstractNumId w:val="23"/>
  </w:num>
  <w:num w:numId="21">
    <w:abstractNumId w:val="29"/>
  </w:num>
  <w:num w:numId="22">
    <w:abstractNumId w:val="3"/>
  </w:num>
  <w:num w:numId="23">
    <w:abstractNumId w:val="14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2"/>
  </w:num>
  <w:num w:numId="27">
    <w:abstractNumId w:val="38"/>
  </w:num>
  <w:num w:numId="28">
    <w:abstractNumId w:val="10"/>
  </w:num>
  <w:num w:numId="29">
    <w:abstractNumId w:val="4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13"/>
  </w:num>
  <w:num w:numId="34">
    <w:abstractNumId w:val="39"/>
  </w:num>
  <w:num w:numId="35">
    <w:abstractNumId w:val="18"/>
  </w:num>
  <w:num w:numId="36">
    <w:abstractNumId w:val="20"/>
  </w:num>
  <w:num w:numId="37">
    <w:abstractNumId w:val="7"/>
  </w:num>
  <w:num w:numId="38">
    <w:abstractNumId w:val="31"/>
  </w:num>
  <w:num w:numId="39">
    <w:abstractNumId w:val="30"/>
  </w:num>
  <w:num w:numId="40">
    <w:abstractNumId w:val="35"/>
  </w:num>
  <w:num w:numId="41">
    <w:abstractNumId w:val="42"/>
  </w:num>
  <w:num w:numId="42">
    <w:abstractNumId w:val="22"/>
  </w:num>
  <w:num w:numId="43">
    <w:abstractNumId w:val="2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A7BE6"/>
    <w:rsid w:val="002B3DD1"/>
    <w:rsid w:val="002E3C14"/>
    <w:rsid w:val="002F48D8"/>
    <w:rsid w:val="00386B1C"/>
    <w:rsid w:val="0042085D"/>
    <w:rsid w:val="00476842"/>
    <w:rsid w:val="0049405A"/>
    <w:rsid w:val="00514A47"/>
    <w:rsid w:val="005828B1"/>
    <w:rsid w:val="0059366D"/>
    <w:rsid w:val="00610CE8"/>
    <w:rsid w:val="006475BF"/>
    <w:rsid w:val="00694674"/>
    <w:rsid w:val="006D4819"/>
    <w:rsid w:val="006D6BAC"/>
    <w:rsid w:val="006E7BB0"/>
    <w:rsid w:val="00703BD9"/>
    <w:rsid w:val="007450D3"/>
    <w:rsid w:val="00757713"/>
    <w:rsid w:val="00771B9F"/>
    <w:rsid w:val="00775504"/>
    <w:rsid w:val="0078113E"/>
    <w:rsid w:val="00805CB7"/>
    <w:rsid w:val="00814D6C"/>
    <w:rsid w:val="00846621"/>
    <w:rsid w:val="0084750C"/>
    <w:rsid w:val="008A4BFA"/>
    <w:rsid w:val="008F3A9E"/>
    <w:rsid w:val="008F5404"/>
    <w:rsid w:val="0094383F"/>
    <w:rsid w:val="00951F25"/>
    <w:rsid w:val="009E7B49"/>
    <w:rsid w:val="00A15E85"/>
    <w:rsid w:val="00A7220B"/>
    <w:rsid w:val="00A7276B"/>
    <w:rsid w:val="00B057C2"/>
    <w:rsid w:val="00B13AE1"/>
    <w:rsid w:val="00B4531E"/>
    <w:rsid w:val="00B55729"/>
    <w:rsid w:val="00BD3662"/>
    <w:rsid w:val="00BE318B"/>
    <w:rsid w:val="00C12D80"/>
    <w:rsid w:val="00C95002"/>
    <w:rsid w:val="00CC5B51"/>
    <w:rsid w:val="00D62982"/>
    <w:rsid w:val="00DD2B68"/>
    <w:rsid w:val="00E00676"/>
    <w:rsid w:val="00E13FF6"/>
    <w:rsid w:val="00E543AA"/>
    <w:rsid w:val="00E6414D"/>
    <w:rsid w:val="00EB3869"/>
    <w:rsid w:val="00EC4589"/>
    <w:rsid w:val="00ED1E9A"/>
    <w:rsid w:val="00ED215F"/>
    <w:rsid w:val="00EE561D"/>
    <w:rsid w:val="00FA33B2"/>
    <w:rsid w:val="00FA4B8E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9ADB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qFormat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5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b">
    <w:name w:val="Normal (Web)"/>
    <w:aliases w:val="Обычный (Web),Знак2,Обычный (веб) Знак Знак Знак Знак Знак Знак Знак Знак Знак Знак,Обычный (веб) Знак Знак Знак Знак Знак Знак Знак Знак Знак, Знак2"/>
    <w:basedOn w:val="a"/>
    <w:link w:val="ac"/>
    <w:uiPriority w:val="99"/>
    <w:qFormat/>
    <w:rsid w:val="00E6414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2 Знак,Обычный (веб) Знак Знак Знак Знак Знак Знак Знак Знак Знак Знак Знак,Обычный (веб) Знак Знак Знак Знак Знак Знак Знак Знак Знак Знак1, Знак2 Знак"/>
    <w:link w:val="ab"/>
    <w:uiPriority w:val="99"/>
    <w:locked/>
    <w:rsid w:val="00E6414D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qFormat/>
    <w:rsid w:val="00E6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6414D"/>
    <w:rPr>
      <w:rFonts w:ascii="Times New Roman" w:eastAsia="Calibri" w:hAnsi="Times New Roman" w:cs="Times New Roman"/>
      <w:sz w:val="20"/>
      <w:szCs w:val="20"/>
      <w:lang w:val="uk-UA" w:eastAsia="uk-UA"/>
    </w:rPr>
  </w:style>
  <w:style w:type="paragraph" w:customStyle="1" w:styleId="ad">
    <w:name w:val="Содержимое таблицы"/>
    <w:basedOn w:val="a"/>
    <w:qFormat/>
    <w:rsid w:val="009E7B49"/>
    <w:pPr>
      <w:widowControl w:val="0"/>
      <w:suppressLineNumbers/>
      <w:suppressAutoHyphens/>
      <w:spacing w:after="0" w:line="240" w:lineRule="auto"/>
    </w:pPr>
    <w:rPr>
      <w:rFonts w:eastAsia="Andale Sans UI"/>
      <w:color w:val="00000A"/>
      <w:sz w:val="24"/>
      <w:szCs w:val="24"/>
      <w:lang w:val="ru-RU" w:eastAsia="zh-CN"/>
    </w:rPr>
  </w:style>
  <w:style w:type="paragraph" w:customStyle="1" w:styleId="11">
    <w:name w:val="Обычный (веб)1"/>
    <w:basedOn w:val="a"/>
    <w:rsid w:val="008A4BFA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unhideWhenUsed/>
    <w:rsid w:val="008A4BFA"/>
    <w:pPr>
      <w:spacing w:after="0" w:line="240" w:lineRule="auto"/>
    </w:pPr>
    <w:rPr>
      <w:rFonts w:ascii="Calibri" w:hAnsi="Calibri"/>
      <w:color w:val="auto"/>
      <w:sz w:val="22"/>
      <w:szCs w:val="21"/>
      <w:lang w:val="en-US"/>
    </w:rPr>
  </w:style>
  <w:style w:type="character" w:customStyle="1" w:styleId="af">
    <w:name w:val="Текст Знак"/>
    <w:basedOn w:val="a0"/>
    <w:link w:val="ae"/>
    <w:uiPriority w:val="99"/>
    <w:rsid w:val="008A4BFA"/>
    <w:rPr>
      <w:rFonts w:ascii="Calibri" w:eastAsia="Calibri" w:hAnsi="Calibri" w:cs="Times New Roman"/>
      <w:szCs w:val="21"/>
    </w:rPr>
  </w:style>
  <w:style w:type="paragraph" w:customStyle="1" w:styleId="TableParagraph">
    <w:name w:val="Table Paragraph"/>
    <w:basedOn w:val="a"/>
    <w:uiPriority w:val="1"/>
    <w:qFormat/>
    <w:rsid w:val="008F3A9E"/>
    <w:pPr>
      <w:widowControl w:val="0"/>
      <w:autoSpaceDE w:val="0"/>
      <w:autoSpaceDN w:val="0"/>
      <w:spacing w:after="0" w:line="240" w:lineRule="auto"/>
      <w:ind w:left="109"/>
    </w:pPr>
    <w:rPr>
      <w:rFonts w:eastAsia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F3A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6">
    <w:name w:val="rvps6"/>
    <w:basedOn w:val="a"/>
    <w:rsid w:val="00A7220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5-11-0099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66</cp:revision>
  <dcterms:created xsi:type="dcterms:W3CDTF">2021-12-15T12:41:00Z</dcterms:created>
  <dcterms:modified xsi:type="dcterms:W3CDTF">2023-05-11T13:24:00Z</dcterms:modified>
</cp:coreProperties>
</file>