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7E7969">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741E47" w:rsidRPr="00741E47">
              <w:rPr>
                <w:rFonts w:eastAsia="Times New Roman"/>
                <w:b/>
                <w:color w:val="000000" w:themeColor="text1"/>
                <w:sz w:val="24"/>
                <w:szCs w:val="24"/>
                <w:lang w:eastAsia="ar-SA"/>
              </w:rPr>
              <w:t>Інжинірингові послуги, а саме: надання інженерно-консультаційних послуг зі здійсненням технічного нагляду за будівництвом об’єкту «Реконструкція об’єкта незавершеного будівництва, та допоміжних споруд для розміщення офісу Державного підприємства «Державний фармакологічний центр» МОЗ України та медико-реабілітаційного центру на вул. Смоленській, 10 у Солом’янському районі м. Києва» (ПУСК-2)</w:t>
            </w:r>
          </w:p>
          <w:p w:rsidR="006C4FAE" w:rsidRPr="006C4FAE" w:rsidRDefault="0094383F" w:rsidP="006C4FAE">
            <w:pPr>
              <w:rPr>
                <w:rFonts w:eastAsia="Times New Roman"/>
                <w:b/>
                <w:color w:val="000000" w:themeColor="text1"/>
                <w:sz w:val="24"/>
                <w:szCs w:val="24"/>
                <w:lang w:eastAsia="ar-SA"/>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741E47" w:rsidRPr="00741E47">
              <w:rPr>
                <w:rFonts w:eastAsia="Times New Roman"/>
                <w:b/>
                <w:color w:val="000000" w:themeColor="text1"/>
                <w:sz w:val="24"/>
                <w:szCs w:val="24"/>
                <w:lang w:eastAsia="ar-SA"/>
              </w:rPr>
              <w:t>71520000-9 — Послуги з нагляду за виконанням будівельних робіт</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C4589" w:rsidRDefault="0094383F" w:rsidP="00EC4589">
            <w:pPr>
              <w:spacing w:after="0" w:line="240" w:lineRule="auto"/>
              <w:rPr>
                <w:rFonts w:ascii="Arial" w:eastAsia="Times New Roman" w:hAnsi="Arial" w:cs="Arial"/>
                <w:color w:val="454545"/>
                <w:sz w:val="24"/>
                <w:szCs w:val="24"/>
              </w:rPr>
            </w:pPr>
            <w:r w:rsidRPr="00EC4589">
              <w:rPr>
                <w:color w:val="000000" w:themeColor="text1"/>
                <w:sz w:val="24"/>
                <w:szCs w:val="24"/>
              </w:rPr>
              <w:t xml:space="preserve">Очікувана вартість: </w:t>
            </w:r>
            <w:r w:rsidR="00741E47" w:rsidRPr="00741E47">
              <w:rPr>
                <w:b/>
                <w:color w:val="000000" w:themeColor="text1"/>
                <w:sz w:val="24"/>
                <w:szCs w:val="24"/>
              </w:rPr>
              <w:t>3 351 057,44</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5B11A3">
              <w:rPr>
                <w:b/>
                <w:color w:val="000000" w:themeColor="text1"/>
                <w:sz w:val="24"/>
                <w:szCs w:val="24"/>
              </w:rPr>
              <w:t>25</w:t>
            </w:r>
            <w:r w:rsidR="006475BF" w:rsidRPr="001C60E2">
              <w:rPr>
                <w:b/>
                <w:color w:val="000000" w:themeColor="text1"/>
                <w:sz w:val="24"/>
                <w:szCs w:val="24"/>
              </w:rPr>
              <w:t xml:space="preserve"> </w:t>
            </w:r>
            <w:r w:rsidR="00EB6869">
              <w:rPr>
                <w:b/>
                <w:color w:val="000000" w:themeColor="text1"/>
                <w:sz w:val="24"/>
                <w:szCs w:val="24"/>
              </w:rPr>
              <w:t>травня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 xml:space="preserve">посиланням: </w:t>
            </w:r>
            <w:hyperlink r:id="rId5" w:history="1">
              <w:r w:rsidR="00741E47" w:rsidRPr="00741E47">
                <w:rPr>
                  <w:rStyle w:val="a3"/>
                  <w:sz w:val="24"/>
                  <w:szCs w:val="24"/>
                </w:rPr>
                <w:t>https://prozorro.gov.ua/tender/UA-2023-05-25-013194-a</w:t>
              </w:r>
            </w:hyperlink>
          </w:p>
          <w:p w:rsidR="00741E47" w:rsidRPr="00FA33B2" w:rsidRDefault="00741E47" w:rsidP="00FA33B2">
            <w:pPr>
              <w:spacing w:after="0" w:line="276" w:lineRule="auto"/>
            </w:pPr>
          </w:p>
        </w:tc>
      </w:tr>
    </w:tbl>
    <w:p w:rsidR="005B11A3" w:rsidRPr="005B11A3" w:rsidRDefault="005B11A3" w:rsidP="005B11A3">
      <w:pPr>
        <w:tabs>
          <w:tab w:val="left" w:pos="9356"/>
        </w:tabs>
        <w:jc w:val="center"/>
        <w:rPr>
          <w:b/>
          <w:bCs/>
          <w:sz w:val="24"/>
          <w:szCs w:val="24"/>
        </w:rPr>
      </w:pPr>
      <w:r w:rsidRPr="005B11A3">
        <w:rPr>
          <w:b/>
          <w:bCs/>
          <w:sz w:val="24"/>
          <w:szCs w:val="24"/>
        </w:rPr>
        <w:t xml:space="preserve">ІНФОРМАЦІЯ ПРО ТЕХНІЧНІ ТА ЯКІСНІ </w:t>
      </w:r>
    </w:p>
    <w:p w:rsidR="005B11A3" w:rsidRDefault="005B11A3" w:rsidP="005B11A3">
      <w:pPr>
        <w:tabs>
          <w:tab w:val="left" w:pos="9356"/>
        </w:tabs>
        <w:jc w:val="center"/>
        <w:rPr>
          <w:b/>
          <w:bCs/>
          <w:sz w:val="24"/>
          <w:szCs w:val="24"/>
        </w:rPr>
      </w:pPr>
      <w:r w:rsidRPr="005B11A3">
        <w:rPr>
          <w:b/>
          <w:bCs/>
          <w:sz w:val="24"/>
          <w:szCs w:val="24"/>
        </w:rPr>
        <w:t>ХАРАКТЕРИСТИКИ ПРЕДМЕТА ЗАКУПІВЛІ</w:t>
      </w:r>
    </w:p>
    <w:p w:rsidR="00741E47" w:rsidRPr="00741E47" w:rsidRDefault="00741E47" w:rsidP="00741E47">
      <w:pPr>
        <w:contextualSpacing/>
        <w:jc w:val="center"/>
        <w:rPr>
          <w:b/>
          <w:sz w:val="24"/>
          <w:szCs w:val="24"/>
          <w:u w:val="single"/>
        </w:rPr>
      </w:pPr>
      <w:r w:rsidRPr="00741E47">
        <w:rPr>
          <w:b/>
          <w:sz w:val="24"/>
          <w:szCs w:val="24"/>
          <w:u w:val="single"/>
        </w:rPr>
        <w:t>ЛОТ 1</w:t>
      </w:r>
    </w:p>
    <w:p w:rsidR="00741E47" w:rsidRPr="00741E47" w:rsidRDefault="00741E47" w:rsidP="00741E47">
      <w:pPr>
        <w:contextualSpacing/>
        <w:jc w:val="center"/>
        <w:rPr>
          <w:b/>
          <w:sz w:val="24"/>
          <w:szCs w:val="24"/>
        </w:rPr>
      </w:pPr>
      <w:r w:rsidRPr="00741E47">
        <w:rPr>
          <w:b/>
          <w:sz w:val="24"/>
          <w:szCs w:val="24"/>
        </w:rPr>
        <w:t xml:space="preserve">Технічне завдання </w:t>
      </w:r>
    </w:p>
    <w:p w:rsidR="00741E47" w:rsidRPr="00741E47" w:rsidRDefault="00741E47" w:rsidP="00741E47">
      <w:pPr>
        <w:keepNext/>
        <w:widowControl w:val="0"/>
        <w:autoSpaceDE w:val="0"/>
        <w:autoSpaceDN w:val="0"/>
        <w:adjustRightInd w:val="0"/>
        <w:jc w:val="center"/>
        <w:rPr>
          <w:b/>
          <w:spacing w:val="-3"/>
          <w:sz w:val="24"/>
          <w:szCs w:val="24"/>
        </w:rPr>
      </w:pPr>
      <w:r w:rsidRPr="00741E47">
        <w:rPr>
          <w:b/>
          <w:sz w:val="24"/>
          <w:szCs w:val="24"/>
        </w:rPr>
        <w:t>На надання інжинірингових послуг, а саме: надання інженерно-консультаційних послуг за будівництвом об’єкту «Реконструкція об’єкта незавершеного будівництва, та допоміжних споруд для розміщення офісу Державного підприємства «Державний фармакологічний центр» МОЗ України та медико-реабілітаційного центру на вул. Смоленській, 10 у Солом’янському районі м. Києва» (ПУСК-2)</w:t>
      </w:r>
      <w:r w:rsidRPr="00741E47">
        <w:rPr>
          <w:b/>
          <w:spacing w:val="-3"/>
          <w:sz w:val="24"/>
          <w:szCs w:val="24"/>
        </w:rPr>
        <w:t xml:space="preserve"> </w:t>
      </w:r>
    </w:p>
    <w:p w:rsidR="00741E47" w:rsidRPr="00741E47" w:rsidRDefault="00741E47" w:rsidP="00741E47">
      <w:pPr>
        <w:keepNext/>
        <w:widowControl w:val="0"/>
        <w:autoSpaceDE w:val="0"/>
        <w:autoSpaceDN w:val="0"/>
        <w:adjustRightInd w:val="0"/>
        <w:jc w:val="center"/>
        <w:rPr>
          <w:b/>
          <w:sz w:val="24"/>
          <w:szCs w:val="24"/>
        </w:rPr>
      </w:pPr>
      <w:r w:rsidRPr="00741E47">
        <w:rPr>
          <w:b/>
          <w:sz w:val="24"/>
          <w:szCs w:val="24"/>
        </w:rPr>
        <w:t>(Код ДК 021:2015 -71520000-9 – Послуги з нагляду за виконанням будівельних робіт)»</w:t>
      </w:r>
    </w:p>
    <w:p w:rsidR="00741E47" w:rsidRPr="00741E47" w:rsidRDefault="00741E47" w:rsidP="00741E47">
      <w:pPr>
        <w:contextualSpacing/>
        <w:jc w:val="center"/>
        <w:rPr>
          <w:b/>
          <w:sz w:val="24"/>
          <w:szCs w:val="24"/>
        </w:rPr>
      </w:pPr>
      <w:r w:rsidRPr="00741E47">
        <w:rPr>
          <w:b/>
          <w:sz w:val="24"/>
          <w:szCs w:val="24"/>
        </w:rPr>
        <w:t xml:space="preserve"> </w:t>
      </w:r>
    </w:p>
    <w:tbl>
      <w:tblPr>
        <w:tblStyle w:val="aa"/>
        <w:tblW w:w="10065" w:type="dxa"/>
        <w:tblInd w:w="-5" w:type="dxa"/>
        <w:tblLook w:val="04A0" w:firstRow="1" w:lastRow="0" w:firstColumn="1" w:lastColumn="0" w:noHBand="0" w:noVBand="1"/>
      </w:tblPr>
      <w:tblGrid>
        <w:gridCol w:w="617"/>
        <w:gridCol w:w="9448"/>
      </w:tblGrid>
      <w:tr w:rsidR="00741E47" w:rsidRPr="00741E47" w:rsidTr="00DC0E64">
        <w:trPr>
          <w:trHeight w:val="723"/>
        </w:trPr>
        <w:tc>
          <w:tcPr>
            <w:tcW w:w="617" w:type="dxa"/>
            <w:vAlign w:val="center"/>
          </w:tcPr>
          <w:p w:rsidR="00741E47" w:rsidRPr="00741E47" w:rsidRDefault="00741E47" w:rsidP="00DC0E64">
            <w:pPr>
              <w:jc w:val="center"/>
              <w:rPr>
                <w:b/>
                <w:sz w:val="24"/>
                <w:szCs w:val="24"/>
              </w:rPr>
            </w:pPr>
            <w:r w:rsidRPr="00741E47">
              <w:rPr>
                <w:b/>
                <w:sz w:val="24"/>
                <w:szCs w:val="24"/>
              </w:rPr>
              <w:t>№</w:t>
            </w:r>
          </w:p>
          <w:p w:rsidR="00741E47" w:rsidRPr="00741E47" w:rsidRDefault="00741E47" w:rsidP="00DC0E64">
            <w:pPr>
              <w:jc w:val="center"/>
              <w:rPr>
                <w:b/>
                <w:sz w:val="24"/>
                <w:szCs w:val="24"/>
              </w:rPr>
            </w:pPr>
            <w:r w:rsidRPr="00741E47">
              <w:rPr>
                <w:b/>
                <w:sz w:val="24"/>
                <w:szCs w:val="24"/>
              </w:rPr>
              <w:t>п/п</w:t>
            </w:r>
          </w:p>
        </w:tc>
        <w:tc>
          <w:tcPr>
            <w:tcW w:w="9448" w:type="dxa"/>
            <w:vAlign w:val="center"/>
          </w:tcPr>
          <w:p w:rsidR="00741E47" w:rsidRPr="00741E47" w:rsidRDefault="00741E47" w:rsidP="00DC0E64">
            <w:pPr>
              <w:jc w:val="center"/>
              <w:rPr>
                <w:b/>
                <w:sz w:val="24"/>
                <w:szCs w:val="24"/>
              </w:rPr>
            </w:pPr>
            <w:r w:rsidRPr="00741E47">
              <w:rPr>
                <w:b/>
                <w:sz w:val="24"/>
                <w:szCs w:val="24"/>
              </w:rPr>
              <w:t>Перелік послуг, що надаються Виконавцем</w:t>
            </w:r>
          </w:p>
        </w:tc>
      </w:tr>
      <w:tr w:rsidR="00741E47" w:rsidRPr="00741E47" w:rsidTr="00DC0E64">
        <w:trPr>
          <w:trHeight w:val="6177"/>
        </w:trPr>
        <w:tc>
          <w:tcPr>
            <w:tcW w:w="617" w:type="dxa"/>
          </w:tcPr>
          <w:p w:rsidR="00741E47" w:rsidRPr="00741E47" w:rsidRDefault="00741E47" w:rsidP="00DC0E64">
            <w:pPr>
              <w:jc w:val="center"/>
              <w:rPr>
                <w:b/>
                <w:sz w:val="24"/>
                <w:szCs w:val="24"/>
              </w:rPr>
            </w:pPr>
            <w:r w:rsidRPr="00741E47">
              <w:rPr>
                <w:b/>
                <w:sz w:val="24"/>
                <w:szCs w:val="24"/>
              </w:rPr>
              <w:lastRenderedPageBreak/>
              <w:t>1</w:t>
            </w:r>
          </w:p>
        </w:tc>
        <w:tc>
          <w:tcPr>
            <w:tcW w:w="9448" w:type="dxa"/>
          </w:tcPr>
          <w:p w:rsidR="00741E47" w:rsidRPr="00741E47" w:rsidRDefault="00741E47" w:rsidP="00DC0E64">
            <w:pPr>
              <w:tabs>
                <w:tab w:val="left" w:pos="9336"/>
              </w:tabs>
              <w:rPr>
                <w:b/>
                <w:sz w:val="24"/>
                <w:szCs w:val="24"/>
              </w:rPr>
            </w:pPr>
            <w:r w:rsidRPr="00741E47">
              <w:rPr>
                <w:b/>
                <w:sz w:val="24"/>
                <w:szCs w:val="24"/>
              </w:rPr>
              <w:t xml:space="preserve">ПОСЛУГИ ІНЖЕНЕРА-КОНСУЛЬТАНТА </w:t>
            </w:r>
          </w:p>
          <w:p w:rsidR="00741E47" w:rsidRPr="00741E47" w:rsidRDefault="00741E47" w:rsidP="00741E47">
            <w:pPr>
              <w:pStyle w:val="a7"/>
              <w:widowControl w:val="0"/>
              <w:numPr>
                <w:ilvl w:val="1"/>
                <w:numId w:val="23"/>
              </w:numPr>
              <w:autoSpaceDE w:val="0"/>
              <w:autoSpaceDN w:val="0"/>
              <w:ind w:left="0" w:firstLine="0"/>
              <w:jc w:val="both"/>
              <w:rPr>
                <w:lang w:val="uk-UA"/>
              </w:rPr>
            </w:pPr>
            <w:r w:rsidRPr="00741E47">
              <w:rPr>
                <w:lang w:val="uk-UA"/>
              </w:rPr>
              <w:t xml:space="preserve"> При наданні послуг, провідний інженер-консультант керується етичними принципами та засадами доброчесності при наданні послуг.</w:t>
            </w:r>
          </w:p>
          <w:p w:rsidR="00741E47" w:rsidRPr="00741E47" w:rsidRDefault="00741E47" w:rsidP="00741E47">
            <w:pPr>
              <w:pStyle w:val="a7"/>
              <w:widowControl w:val="0"/>
              <w:numPr>
                <w:ilvl w:val="1"/>
                <w:numId w:val="23"/>
              </w:numPr>
              <w:autoSpaceDE w:val="0"/>
              <w:autoSpaceDN w:val="0"/>
              <w:ind w:left="0" w:firstLine="0"/>
              <w:jc w:val="both"/>
              <w:rPr>
                <w:lang w:val="uk-UA"/>
              </w:rPr>
            </w:pPr>
            <w:r w:rsidRPr="00741E47">
              <w:rPr>
                <w:lang w:val="uk-UA"/>
              </w:rPr>
              <w:t>Здійснює управління проектом, представлення інтересів замовника та забезпечення взаємодії з органами державної влади, органами місцевого самоврядування, підприємствами, установами та організаціями, зокрема під час отримання адміністративних послуг, у тому числі здійснення дозвільних (погоджувальних) процедур, та проведення перевірок. Забезпечує організації будівельного виробництва у відповідності до вимог ДБН А.3.1-5:2016 (зі змінами).</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Залучає до реалізації Проекту необхідних фахівців </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За необхідності надає замовнику консультації з питань залучення підрядних організацій, виконавця технічного нагляду, вибору постачальників.</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Приймає участь у підготовці і проведенні закупівель, розробленні документації, пов’язаної із закупівлями, переліку вимог і критеріїв до учасників, підготовці договорів, надання пропозицій щодо визначення сторони, відповідальної за страхування (за наявності).</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Забезпечує організацію управління з охорони праці на будівельному майданчику та координації заходів з охорони праці, розроблення плану з охорони праці.</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Проводить аналіз проектної документації та надання замовнику пропозицій щодо удосконалення інженерно-конструкторських рішень, методів виконання робіт, організації будівництва, вибору будівельної продукції та обладнання для забезпечення надійності та оптимізації вартості будівництва.</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При виникненні необхідності виконання додаткових робіт здійснює підготовку та передачу  в  установлені  терміни  проектним  або розвідувальним  організаціям  завдань  на  проектування,  вихідних даних та інших документів,  необхідних для виконання  проектних  і розвідувальних    робіт  та   розроблення   проектно-кошторисної  документації.</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Приймає і перевіряє комплектність одержаної від  проектних або   розвідувальних  організацій  проектно-кошторисної  та  іншої документації,  забезпечує  в  установленому   порядку   проведення державної   експертизи   цієї   документації (за необхідності),   її погодження  і затвердження та передає цю документацію будівельним організаціям.</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Передає  будівельній  організації  будівельний майданчик, устаткування,  що  підлягає  монтажу,   апаратуру   і   матеріали, дозвільні документи забезпечення якими покладено на замовника.</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Контроль наявності у підрядних організацій відповідних дозволів та сертифікатів на проведення відповідних робіт;</w:t>
            </w:r>
          </w:p>
          <w:p w:rsidR="00741E47" w:rsidRPr="00741E47" w:rsidRDefault="00741E47" w:rsidP="00741E47">
            <w:pPr>
              <w:pStyle w:val="a7"/>
              <w:widowControl w:val="0"/>
              <w:numPr>
                <w:ilvl w:val="1"/>
                <w:numId w:val="23"/>
              </w:numPr>
              <w:tabs>
                <w:tab w:val="left" w:pos="0"/>
              </w:tabs>
              <w:autoSpaceDE w:val="0"/>
              <w:autoSpaceDN w:val="0"/>
              <w:ind w:left="0" w:firstLine="0"/>
              <w:jc w:val="both"/>
              <w:rPr>
                <w:lang w:val="ru-RU"/>
              </w:rPr>
            </w:pPr>
            <w:proofErr w:type="spellStart"/>
            <w:r w:rsidRPr="00741E47">
              <w:rPr>
                <w:lang w:val="ru-RU"/>
              </w:rPr>
              <w:t>Перевіряє</w:t>
            </w:r>
            <w:proofErr w:type="spellEnd"/>
            <w:r w:rsidRPr="00741E47">
              <w:rPr>
                <w:lang w:val="ru-RU"/>
              </w:rPr>
              <w:t xml:space="preserve">   </w:t>
            </w:r>
            <w:proofErr w:type="spellStart"/>
            <w:r w:rsidRPr="00741E47">
              <w:rPr>
                <w:lang w:val="ru-RU"/>
              </w:rPr>
              <w:t>подані</w:t>
            </w:r>
            <w:proofErr w:type="spellEnd"/>
            <w:r w:rsidRPr="00741E47">
              <w:rPr>
                <w:lang w:val="ru-RU"/>
              </w:rPr>
              <w:t xml:space="preserve">   до   оплати   </w:t>
            </w:r>
            <w:proofErr w:type="spellStart"/>
            <w:r w:rsidRPr="00741E47">
              <w:rPr>
                <w:lang w:val="ru-RU"/>
              </w:rPr>
              <w:t>документи</w:t>
            </w:r>
            <w:proofErr w:type="spellEnd"/>
            <w:r w:rsidRPr="00741E47">
              <w:rPr>
                <w:lang w:val="ru-RU"/>
              </w:rPr>
              <w:t xml:space="preserve">   </w:t>
            </w:r>
            <w:proofErr w:type="spellStart"/>
            <w:r w:rsidRPr="00741E47">
              <w:rPr>
                <w:lang w:val="ru-RU"/>
              </w:rPr>
              <w:t>підрядних</w:t>
            </w:r>
            <w:proofErr w:type="spellEnd"/>
            <w:r w:rsidRPr="00741E47">
              <w:rPr>
                <w:lang w:val="ru-RU"/>
              </w:rPr>
              <w:t xml:space="preserve">, </w:t>
            </w:r>
            <w:proofErr w:type="spellStart"/>
            <w:proofErr w:type="gramStart"/>
            <w:r w:rsidRPr="00741E47">
              <w:rPr>
                <w:lang w:val="ru-RU"/>
              </w:rPr>
              <w:t>постачальних</w:t>
            </w:r>
            <w:proofErr w:type="spellEnd"/>
            <w:r w:rsidRPr="00741E47">
              <w:rPr>
                <w:lang w:val="ru-RU"/>
              </w:rPr>
              <w:t xml:space="preserve">,  </w:t>
            </w:r>
            <w:proofErr w:type="spellStart"/>
            <w:r w:rsidRPr="00741E47">
              <w:rPr>
                <w:lang w:val="ru-RU"/>
              </w:rPr>
              <w:t>проектних</w:t>
            </w:r>
            <w:proofErr w:type="spellEnd"/>
            <w:proofErr w:type="gramEnd"/>
            <w:r w:rsidRPr="00741E47">
              <w:rPr>
                <w:lang w:val="ru-RU"/>
              </w:rPr>
              <w:t xml:space="preserve">, </w:t>
            </w:r>
            <w:proofErr w:type="spellStart"/>
            <w:r w:rsidRPr="00741E47">
              <w:rPr>
                <w:lang w:val="ru-RU"/>
              </w:rPr>
              <w:t>розвідувальних</w:t>
            </w:r>
            <w:proofErr w:type="spellEnd"/>
            <w:r w:rsidRPr="00741E47">
              <w:rPr>
                <w:lang w:val="ru-RU"/>
              </w:rPr>
              <w:t xml:space="preserve"> та </w:t>
            </w:r>
            <w:proofErr w:type="spellStart"/>
            <w:r w:rsidRPr="00741E47">
              <w:rPr>
                <w:lang w:val="ru-RU"/>
              </w:rPr>
              <w:t>інших</w:t>
            </w:r>
            <w:proofErr w:type="spellEnd"/>
            <w:r w:rsidRPr="00741E47">
              <w:rPr>
                <w:lang w:val="ru-RU"/>
              </w:rPr>
              <w:t xml:space="preserve"> </w:t>
            </w:r>
            <w:proofErr w:type="spellStart"/>
            <w:r w:rsidRPr="00741E47">
              <w:rPr>
                <w:lang w:val="ru-RU"/>
              </w:rPr>
              <w:t>організацій</w:t>
            </w:r>
            <w:proofErr w:type="spellEnd"/>
            <w:r w:rsidRPr="00741E47">
              <w:rPr>
                <w:lang w:val="ru-RU"/>
              </w:rPr>
              <w:t xml:space="preserve"> </w:t>
            </w:r>
            <w:proofErr w:type="spellStart"/>
            <w:r w:rsidRPr="00741E47">
              <w:rPr>
                <w:lang w:val="ru-RU"/>
              </w:rPr>
              <w:t>щодо</w:t>
            </w:r>
            <w:proofErr w:type="spellEnd"/>
            <w:r w:rsidRPr="00741E47">
              <w:rPr>
                <w:lang w:val="ru-RU"/>
              </w:rPr>
              <w:t xml:space="preserve"> </w:t>
            </w:r>
            <w:proofErr w:type="spellStart"/>
            <w:r w:rsidRPr="00741E47">
              <w:rPr>
                <w:lang w:val="ru-RU"/>
              </w:rPr>
              <w:t>виконання</w:t>
            </w:r>
            <w:proofErr w:type="spellEnd"/>
            <w:r w:rsidRPr="00741E47">
              <w:rPr>
                <w:lang w:val="ru-RU"/>
              </w:rPr>
              <w:t xml:space="preserve"> </w:t>
            </w:r>
            <w:proofErr w:type="spellStart"/>
            <w:r w:rsidRPr="00741E47">
              <w:rPr>
                <w:lang w:val="ru-RU"/>
              </w:rPr>
              <w:t>робіт</w:t>
            </w:r>
            <w:proofErr w:type="spellEnd"/>
            <w:r w:rsidRPr="00741E47">
              <w:rPr>
                <w:lang w:val="ru-RU"/>
              </w:rPr>
              <w:t xml:space="preserve">, поставки </w:t>
            </w:r>
            <w:proofErr w:type="spellStart"/>
            <w:r w:rsidRPr="00741E47">
              <w:rPr>
                <w:lang w:val="ru-RU"/>
              </w:rPr>
              <w:t>продукції</w:t>
            </w:r>
            <w:proofErr w:type="spellEnd"/>
            <w:r w:rsidRPr="00741E47">
              <w:rPr>
                <w:lang w:val="ru-RU"/>
              </w:rPr>
              <w:t xml:space="preserve"> та </w:t>
            </w:r>
            <w:proofErr w:type="spellStart"/>
            <w:r w:rsidRPr="00741E47">
              <w:rPr>
                <w:lang w:val="ru-RU"/>
              </w:rPr>
              <w:t>надання</w:t>
            </w:r>
            <w:proofErr w:type="spellEnd"/>
            <w:r w:rsidRPr="00741E47">
              <w:rPr>
                <w:lang w:val="ru-RU"/>
              </w:rPr>
              <w:t xml:space="preserve"> </w:t>
            </w:r>
            <w:proofErr w:type="spellStart"/>
            <w:r w:rsidRPr="00741E47">
              <w:rPr>
                <w:lang w:val="ru-RU"/>
              </w:rPr>
              <w:t>послуг</w:t>
            </w:r>
            <w:proofErr w:type="spellEnd"/>
            <w:r w:rsidRPr="00741E47">
              <w:rPr>
                <w:lang w:val="ru-RU"/>
              </w:rPr>
              <w:t xml:space="preserve">. Контроль </w:t>
            </w:r>
            <w:proofErr w:type="spellStart"/>
            <w:r w:rsidRPr="00741E47">
              <w:rPr>
                <w:lang w:val="ru-RU"/>
              </w:rPr>
              <w:t>відповідності</w:t>
            </w:r>
            <w:proofErr w:type="spellEnd"/>
            <w:r w:rsidRPr="00741E47">
              <w:rPr>
                <w:lang w:val="ru-RU"/>
              </w:rPr>
              <w:t xml:space="preserve"> </w:t>
            </w:r>
            <w:proofErr w:type="spellStart"/>
            <w:r w:rsidRPr="00741E47">
              <w:rPr>
                <w:lang w:val="ru-RU"/>
              </w:rPr>
              <w:t>обсягу</w:t>
            </w:r>
            <w:proofErr w:type="spellEnd"/>
            <w:r w:rsidRPr="00741E47">
              <w:rPr>
                <w:lang w:val="ru-RU"/>
              </w:rPr>
              <w:t xml:space="preserve">, </w:t>
            </w:r>
            <w:proofErr w:type="spellStart"/>
            <w:r w:rsidRPr="00741E47">
              <w:rPr>
                <w:lang w:val="ru-RU"/>
              </w:rPr>
              <w:t>якості</w:t>
            </w:r>
            <w:proofErr w:type="spellEnd"/>
            <w:r w:rsidRPr="00741E47">
              <w:rPr>
                <w:lang w:val="ru-RU"/>
              </w:rPr>
              <w:t xml:space="preserve"> та </w:t>
            </w:r>
            <w:proofErr w:type="spellStart"/>
            <w:r w:rsidRPr="00741E47">
              <w:rPr>
                <w:lang w:val="ru-RU"/>
              </w:rPr>
              <w:t>вартості</w:t>
            </w:r>
            <w:proofErr w:type="spellEnd"/>
            <w:r w:rsidRPr="00741E47">
              <w:rPr>
                <w:lang w:val="ru-RU"/>
              </w:rPr>
              <w:t xml:space="preserve"> </w:t>
            </w:r>
            <w:proofErr w:type="spellStart"/>
            <w:r w:rsidRPr="00741E47">
              <w:rPr>
                <w:lang w:val="ru-RU"/>
              </w:rPr>
              <w:t>виконаних</w:t>
            </w:r>
            <w:proofErr w:type="spellEnd"/>
            <w:r w:rsidRPr="00741E47">
              <w:rPr>
                <w:lang w:val="ru-RU"/>
              </w:rPr>
              <w:t xml:space="preserve"> </w:t>
            </w:r>
            <w:proofErr w:type="spellStart"/>
            <w:r w:rsidRPr="00741E47">
              <w:rPr>
                <w:lang w:val="ru-RU"/>
              </w:rPr>
              <w:t>робіт</w:t>
            </w:r>
            <w:proofErr w:type="spellEnd"/>
            <w:r w:rsidRPr="00741E47">
              <w:rPr>
                <w:lang w:val="ru-RU"/>
              </w:rPr>
              <w:t xml:space="preserve"> (в тому </w:t>
            </w:r>
            <w:proofErr w:type="spellStart"/>
            <w:r w:rsidRPr="00741E47">
              <w:rPr>
                <w:lang w:val="ru-RU"/>
              </w:rPr>
              <w:t>числі</w:t>
            </w:r>
            <w:proofErr w:type="spellEnd"/>
            <w:r w:rsidRPr="00741E47">
              <w:rPr>
                <w:lang w:val="ru-RU"/>
              </w:rPr>
              <w:t xml:space="preserve"> по </w:t>
            </w:r>
            <w:proofErr w:type="spellStart"/>
            <w:r w:rsidRPr="00741E47">
              <w:rPr>
                <w:lang w:val="ru-RU"/>
              </w:rPr>
              <w:t>окремих</w:t>
            </w:r>
            <w:proofErr w:type="spellEnd"/>
            <w:r w:rsidRPr="00741E47">
              <w:rPr>
                <w:lang w:val="ru-RU"/>
              </w:rPr>
              <w:t xml:space="preserve"> </w:t>
            </w:r>
            <w:proofErr w:type="spellStart"/>
            <w:r w:rsidRPr="00741E47">
              <w:rPr>
                <w:lang w:val="ru-RU"/>
              </w:rPr>
              <w:t>її</w:t>
            </w:r>
            <w:proofErr w:type="spellEnd"/>
            <w:r w:rsidRPr="00741E47">
              <w:rPr>
                <w:lang w:val="ru-RU"/>
              </w:rPr>
              <w:t xml:space="preserve"> </w:t>
            </w:r>
            <w:proofErr w:type="spellStart"/>
            <w:r w:rsidRPr="00741E47">
              <w:rPr>
                <w:lang w:val="ru-RU"/>
              </w:rPr>
              <w:t>складових</w:t>
            </w:r>
            <w:proofErr w:type="spellEnd"/>
            <w:r w:rsidRPr="00741E47">
              <w:rPr>
                <w:lang w:val="ru-RU"/>
              </w:rPr>
              <w:t xml:space="preserve">) </w:t>
            </w:r>
            <w:proofErr w:type="spellStart"/>
            <w:r w:rsidRPr="00741E47">
              <w:rPr>
                <w:lang w:val="ru-RU"/>
              </w:rPr>
              <w:t>проектній</w:t>
            </w:r>
            <w:proofErr w:type="spellEnd"/>
            <w:r w:rsidRPr="00741E47">
              <w:rPr>
                <w:lang w:val="ru-RU"/>
              </w:rPr>
              <w:t xml:space="preserve"> </w:t>
            </w:r>
            <w:proofErr w:type="spellStart"/>
            <w:r w:rsidRPr="00741E47">
              <w:rPr>
                <w:lang w:val="ru-RU"/>
              </w:rPr>
              <w:t>документації</w:t>
            </w:r>
            <w:proofErr w:type="spellEnd"/>
            <w:r w:rsidRPr="00741E47">
              <w:rPr>
                <w:lang w:val="ru-RU"/>
              </w:rPr>
              <w:t xml:space="preserve">, </w:t>
            </w:r>
            <w:proofErr w:type="spellStart"/>
            <w:r w:rsidRPr="00741E47">
              <w:rPr>
                <w:lang w:val="ru-RU"/>
              </w:rPr>
              <w:t>вимогам</w:t>
            </w:r>
            <w:proofErr w:type="spellEnd"/>
            <w:r w:rsidRPr="00741E47">
              <w:rPr>
                <w:lang w:val="ru-RU"/>
              </w:rPr>
              <w:t xml:space="preserve"> </w:t>
            </w:r>
            <w:proofErr w:type="spellStart"/>
            <w:r w:rsidRPr="00741E47">
              <w:rPr>
                <w:lang w:val="ru-RU"/>
              </w:rPr>
              <w:t>державних</w:t>
            </w:r>
            <w:proofErr w:type="spellEnd"/>
            <w:r w:rsidRPr="00741E47">
              <w:rPr>
                <w:lang w:val="ru-RU"/>
              </w:rPr>
              <w:t xml:space="preserve"> </w:t>
            </w:r>
            <w:proofErr w:type="spellStart"/>
            <w:r w:rsidRPr="00741E47">
              <w:rPr>
                <w:lang w:val="ru-RU"/>
              </w:rPr>
              <w:t>стандартів</w:t>
            </w:r>
            <w:proofErr w:type="spellEnd"/>
            <w:r w:rsidRPr="00741E47">
              <w:rPr>
                <w:lang w:val="ru-RU"/>
              </w:rPr>
              <w:t xml:space="preserve">, </w:t>
            </w:r>
            <w:proofErr w:type="spellStart"/>
            <w:r w:rsidRPr="00741E47">
              <w:rPr>
                <w:lang w:val="ru-RU"/>
              </w:rPr>
              <w:t>будівельних</w:t>
            </w:r>
            <w:proofErr w:type="spellEnd"/>
            <w:r w:rsidRPr="00741E47">
              <w:rPr>
                <w:lang w:val="ru-RU"/>
              </w:rPr>
              <w:t xml:space="preserve"> норм і правил, </w:t>
            </w:r>
            <w:proofErr w:type="spellStart"/>
            <w:r w:rsidRPr="00741E47">
              <w:rPr>
                <w:lang w:val="ru-RU"/>
              </w:rPr>
              <w:t>технічних</w:t>
            </w:r>
            <w:proofErr w:type="spellEnd"/>
            <w:r w:rsidRPr="00741E47">
              <w:rPr>
                <w:lang w:val="ru-RU"/>
              </w:rPr>
              <w:t xml:space="preserve"> умов, умов Договору </w:t>
            </w:r>
            <w:proofErr w:type="spellStart"/>
            <w:r w:rsidRPr="00741E47">
              <w:rPr>
                <w:lang w:val="ru-RU"/>
              </w:rPr>
              <w:t>Підряду</w:t>
            </w:r>
            <w:proofErr w:type="spellEnd"/>
            <w:r w:rsidRPr="00741E47">
              <w:rPr>
                <w:lang w:val="ru-RU"/>
              </w:rPr>
              <w:t xml:space="preserve"> та </w:t>
            </w:r>
            <w:proofErr w:type="spellStart"/>
            <w:r w:rsidRPr="00741E47">
              <w:rPr>
                <w:lang w:val="ru-RU"/>
              </w:rPr>
              <w:t>інших</w:t>
            </w:r>
            <w:proofErr w:type="spellEnd"/>
            <w:r w:rsidRPr="00741E47">
              <w:rPr>
                <w:lang w:val="ru-RU"/>
              </w:rPr>
              <w:t xml:space="preserve"> </w:t>
            </w:r>
            <w:proofErr w:type="spellStart"/>
            <w:r w:rsidRPr="00741E47">
              <w:rPr>
                <w:lang w:val="ru-RU"/>
              </w:rPr>
              <w:t>нормативних</w:t>
            </w:r>
            <w:proofErr w:type="spellEnd"/>
            <w:r w:rsidRPr="00741E47">
              <w:rPr>
                <w:lang w:val="ru-RU"/>
              </w:rPr>
              <w:t xml:space="preserve"> </w:t>
            </w:r>
            <w:proofErr w:type="spellStart"/>
            <w:r w:rsidRPr="00741E47">
              <w:rPr>
                <w:lang w:val="ru-RU"/>
              </w:rPr>
              <w:t>документів</w:t>
            </w:r>
            <w:proofErr w:type="spellEnd"/>
            <w:r w:rsidRPr="00741E47">
              <w:rPr>
                <w:lang w:val="ru-RU"/>
              </w:rPr>
              <w:t xml:space="preserve">. </w:t>
            </w:r>
            <w:proofErr w:type="spellStart"/>
            <w:r w:rsidRPr="00741E47">
              <w:rPr>
                <w:lang w:val="ru-RU"/>
              </w:rPr>
              <w:t>Підтвердження</w:t>
            </w:r>
            <w:proofErr w:type="spellEnd"/>
            <w:r w:rsidRPr="00741E47">
              <w:rPr>
                <w:lang w:val="ru-RU"/>
              </w:rPr>
              <w:t xml:space="preserve"> </w:t>
            </w:r>
            <w:proofErr w:type="spellStart"/>
            <w:r w:rsidRPr="00741E47">
              <w:rPr>
                <w:lang w:val="ru-RU"/>
              </w:rPr>
              <w:t>відповідності</w:t>
            </w:r>
            <w:proofErr w:type="spellEnd"/>
            <w:r w:rsidRPr="00741E47">
              <w:rPr>
                <w:lang w:val="ru-RU"/>
              </w:rPr>
              <w:t xml:space="preserve"> шляхом </w:t>
            </w:r>
            <w:proofErr w:type="spellStart"/>
            <w:r w:rsidRPr="00741E47">
              <w:rPr>
                <w:lang w:val="ru-RU"/>
              </w:rPr>
              <w:t>перевірки</w:t>
            </w:r>
            <w:proofErr w:type="spellEnd"/>
            <w:r w:rsidRPr="00741E47">
              <w:rPr>
                <w:lang w:val="ru-RU"/>
              </w:rPr>
              <w:t xml:space="preserve"> та </w:t>
            </w:r>
            <w:proofErr w:type="spellStart"/>
            <w:r w:rsidRPr="00741E47">
              <w:rPr>
                <w:lang w:val="ru-RU"/>
              </w:rPr>
              <w:t>візуваня</w:t>
            </w:r>
            <w:proofErr w:type="spellEnd"/>
            <w:r w:rsidRPr="00741E47">
              <w:rPr>
                <w:lang w:val="ru-RU"/>
              </w:rPr>
              <w:t xml:space="preserve"> </w:t>
            </w:r>
            <w:proofErr w:type="spellStart"/>
            <w:r w:rsidRPr="00741E47">
              <w:rPr>
                <w:lang w:val="ru-RU"/>
              </w:rPr>
              <w:t>актів</w:t>
            </w:r>
            <w:proofErr w:type="spellEnd"/>
            <w:r w:rsidRPr="00741E47">
              <w:rPr>
                <w:lang w:val="ru-RU"/>
              </w:rPr>
              <w:t xml:space="preserve"> </w:t>
            </w:r>
            <w:proofErr w:type="spellStart"/>
            <w:r w:rsidRPr="00741E47">
              <w:rPr>
                <w:lang w:val="ru-RU"/>
              </w:rPr>
              <w:t>приймання</w:t>
            </w:r>
            <w:proofErr w:type="spellEnd"/>
            <w:r w:rsidRPr="00741E47">
              <w:rPr>
                <w:lang w:val="ru-RU"/>
              </w:rPr>
              <w:t xml:space="preserve"> </w:t>
            </w:r>
            <w:proofErr w:type="spellStart"/>
            <w:r w:rsidRPr="00741E47">
              <w:rPr>
                <w:lang w:val="ru-RU"/>
              </w:rPr>
              <w:t>виконаних</w:t>
            </w:r>
            <w:proofErr w:type="spellEnd"/>
            <w:r w:rsidRPr="00741E47">
              <w:rPr>
                <w:lang w:val="ru-RU"/>
              </w:rPr>
              <w:t xml:space="preserve"> </w:t>
            </w:r>
            <w:proofErr w:type="spellStart"/>
            <w:r w:rsidRPr="00741E47">
              <w:rPr>
                <w:lang w:val="ru-RU"/>
              </w:rPr>
              <w:t>підрядних</w:t>
            </w:r>
            <w:proofErr w:type="spellEnd"/>
            <w:r w:rsidRPr="00741E47">
              <w:rPr>
                <w:lang w:val="ru-RU"/>
              </w:rPr>
              <w:t xml:space="preserve"> </w:t>
            </w:r>
            <w:proofErr w:type="spellStart"/>
            <w:r w:rsidRPr="00741E47">
              <w:rPr>
                <w:lang w:val="ru-RU"/>
              </w:rPr>
              <w:t>робіт</w:t>
            </w:r>
            <w:proofErr w:type="spellEnd"/>
            <w:r w:rsidRPr="00741E47">
              <w:rPr>
                <w:lang w:val="ru-RU"/>
              </w:rPr>
              <w:t xml:space="preserve"> (форма № КБ-2в) та </w:t>
            </w:r>
            <w:proofErr w:type="spellStart"/>
            <w:r w:rsidRPr="00741E47">
              <w:rPr>
                <w:lang w:val="ru-RU"/>
              </w:rPr>
              <w:t>довідки</w:t>
            </w:r>
            <w:proofErr w:type="spellEnd"/>
            <w:r w:rsidRPr="00741E47">
              <w:rPr>
                <w:lang w:val="ru-RU"/>
              </w:rPr>
              <w:t xml:space="preserve"> </w:t>
            </w:r>
            <w:proofErr w:type="spellStart"/>
            <w:r w:rsidRPr="00741E47">
              <w:rPr>
                <w:lang w:val="ru-RU"/>
              </w:rPr>
              <w:t>вартості</w:t>
            </w:r>
            <w:proofErr w:type="spellEnd"/>
            <w:r w:rsidRPr="00741E47">
              <w:rPr>
                <w:lang w:val="ru-RU"/>
              </w:rPr>
              <w:t xml:space="preserve"> </w:t>
            </w:r>
            <w:proofErr w:type="spellStart"/>
            <w:r w:rsidRPr="00741E47">
              <w:rPr>
                <w:lang w:val="ru-RU"/>
              </w:rPr>
              <w:t>виконаних</w:t>
            </w:r>
            <w:proofErr w:type="spellEnd"/>
            <w:r w:rsidRPr="00741E47">
              <w:rPr>
                <w:lang w:val="ru-RU"/>
              </w:rPr>
              <w:t xml:space="preserve"> </w:t>
            </w:r>
            <w:proofErr w:type="spellStart"/>
            <w:r w:rsidRPr="00741E47">
              <w:rPr>
                <w:lang w:val="ru-RU"/>
              </w:rPr>
              <w:t>підрядних</w:t>
            </w:r>
            <w:proofErr w:type="spellEnd"/>
            <w:r w:rsidRPr="00741E47">
              <w:rPr>
                <w:lang w:val="ru-RU"/>
              </w:rPr>
              <w:t xml:space="preserve"> </w:t>
            </w:r>
            <w:proofErr w:type="spellStart"/>
            <w:r w:rsidRPr="00741E47">
              <w:rPr>
                <w:lang w:val="ru-RU"/>
              </w:rPr>
              <w:t>робіт</w:t>
            </w:r>
            <w:proofErr w:type="spellEnd"/>
            <w:r w:rsidRPr="00741E47">
              <w:rPr>
                <w:lang w:val="ru-RU"/>
              </w:rPr>
              <w:t xml:space="preserve"> (форма № КБ-3). </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Контроль виконання Генпідрядником вказівок і приписів, виданих за результатами технічного або авторського нагляду, органу державного архітектурно-будівельного контролю та нагляду.</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Нагляд за всіма діями Підрядника в межах будівельного майданчику, зокрема в розрізі безпеки виконання робіт, охорони праці та охорони навколишнього середовища. </w:t>
            </w:r>
            <w:r w:rsidRPr="00741E47">
              <w:rPr>
                <w:lang w:val="uk-UA"/>
              </w:rPr>
              <w:lastRenderedPageBreak/>
              <w:t>Підготовка та вручення приписів щодо виправлення порушень або  термінова заборона виконання робіт Підряднику в разі виявлення небезпеки або ризиків пошкодження та/або руйнування об’єкта будівництва та/або порушень техніки безпеки які можуть призвести до травмування людей.</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Моніторинг дотримання підрядником графіків виконання робіт, витрат, відповідності будівництва графікам фінансування.</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Організація нагляду за здійсненням підрядником вхідного та операційного контролю, зокрема перевірка наявності документів, що засвідчують якість будівельних матеріалів, виробів та конструкцій, які надходять до місця виконання робіт.</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 Моніторинг забезпечення інженерами технічного нагляду контролю за якістю та обсягами виконаних робіт, зокрема з використанням візуального та інструментальних методів контролю.</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Ведення реєстру документації, передбаченої Договором, укладеним між Замовником і Підрядником, загальної звітності по Договору, укладеного між Замовником і Підрядником, облік змін у договірній документації.</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Інформування замовника про наявність проблемних питань, які виникли або можуть виникнути в ході виконання робіт з пропозиціями щодо їх вирішення.</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Надання підряднику та інженеру технічного нагляду рекомендацій щодо усунення порушень під час виконання робіт та контроль за ходом виконання таких рекомендацій; </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Аналіз проблем, спорів і претензій, що виникають під час будівництва, розроблення пропозицій щодо їх усунення, вжиття заходів для досудового врегулювання спорів, у </w:t>
            </w:r>
            <w:proofErr w:type="spellStart"/>
            <w:r w:rsidRPr="00741E47">
              <w:rPr>
                <w:lang w:val="uk-UA"/>
              </w:rPr>
              <w:t>т.ч</w:t>
            </w:r>
            <w:proofErr w:type="spellEnd"/>
            <w:r w:rsidRPr="00741E47">
              <w:rPr>
                <w:lang w:val="uk-UA"/>
              </w:rPr>
              <w:t>. медіація.</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Контроль за веденням Підрядником журналів виконання робіт встановленого зразка та інших необхідних документів під час виконання робіт на Об’єкті.</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Розгляд наданих підрядником пропозицій щодо продовження строків виконання робіт, необхідності виконання додаткових робіт, надання відповідних пропозицій замовнику.</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Внесення замовнику пропозицій щодо розірвання в установленому порядку договорів з підрядниками та заміні інженера технічного нагляду, які систематично порушують умови договору </w:t>
            </w:r>
            <w:proofErr w:type="spellStart"/>
            <w:r w:rsidRPr="00741E47">
              <w:rPr>
                <w:lang w:val="uk-UA"/>
              </w:rPr>
              <w:t>підряду</w:t>
            </w:r>
            <w:proofErr w:type="spellEnd"/>
            <w:r w:rsidRPr="00741E47">
              <w:rPr>
                <w:lang w:val="uk-UA"/>
              </w:rPr>
              <w:t>.</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Участь в організації підключення об’єкта будівництва до інженерних мереж та прийнятті в експлуатацію.</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Прийняття від імені замовника відповідних рішень та виконання інших функцій, визначених договором; </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Приймає та аналізує проектну документацію, забезпечує її передачу підряднику для виконання робіт.</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Складання та надання Замовнику необхідних звітів про хід</w:t>
            </w:r>
            <w:r w:rsidRPr="00741E47">
              <w:rPr>
                <w:lang w:val="uk-UA" w:bidi="uk-UA"/>
              </w:rPr>
              <w:t xml:space="preserve"> реалізації Проекту, а у разі виникнення відповідних обставин здійснення підготовки та оперативного надсилання або надання Замовнику тривожних повідомлень та спеціальних звітів</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За необхідності проводить контрольні обміри виконаних робіт.</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Веде облік виконаних та/або оплачених замовником виконаних робіт, формування довідок про вартість виконаних робіт та обсягів виконаних робіт.</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Щомісячне надання Замовнику доповіді про стан реалізації Проекту.</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Бере участь в утворенні й роботі  комісії  з  попередньої перевірки  будівельної  готовності  об’єктів  для  пред’явлення їх приймальній комісії.</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Пред’являє приймальній комісії завершені  будівництвом  і підготовлені до експлуатації об’єкти, забезпечує комісію необхідними для роботи документами, бере участь у її роботі.</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 xml:space="preserve">Передає завершені будівництвом та введені в  дію  об’єкти підприємствам та </w:t>
            </w:r>
            <w:r w:rsidRPr="00741E47">
              <w:rPr>
                <w:lang w:val="uk-UA"/>
              </w:rPr>
              <w:lastRenderedPageBreak/>
              <w:t>організаціям, на які покладено їх експлуатацію.,</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Приймає від підрядника згідно з актом законсервовані  або  припинені будівництвом об’єкти і вживає заходів для їх збереження, вносить  Замовнику  пропозиції   щодо   подальшого   використання об’єктів незавершеного будівництва.</w:t>
            </w:r>
          </w:p>
          <w:p w:rsidR="00741E47" w:rsidRPr="00741E47" w:rsidRDefault="00741E47" w:rsidP="00741E47">
            <w:pPr>
              <w:pStyle w:val="a7"/>
              <w:widowControl w:val="0"/>
              <w:numPr>
                <w:ilvl w:val="1"/>
                <w:numId w:val="23"/>
              </w:numPr>
              <w:autoSpaceDE w:val="0"/>
              <w:autoSpaceDN w:val="0"/>
              <w:ind w:left="-20" w:firstLine="20"/>
              <w:jc w:val="both"/>
              <w:rPr>
                <w:lang w:val="uk-UA"/>
              </w:rPr>
            </w:pPr>
            <w:r w:rsidRPr="00741E47">
              <w:rPr>
                <w:lang w:val="uk-UA"/>
              </w:rPr>
              <w:t>Інші функції передбачені розділом 6 та 7 Професійного стандарту «Інженер-консультант (будівництво)» затвердженого Наказом Міністерства економіки України від 13.01.2022 №108-22 для професійної кваліфікації – провідний інженер-консультант (будівництво).</w:t>
            </w:r>
            <w:bookmarkStart w:id="0" w:name="_GoBack"/>
            <w:bookmarkEnd w:id="0"/>
          </w:p>
        </w:tc>
      </w:tr>
    </w:tbl>
    <w:p w:rsidR="00741E47" w:rsidRPr="00741E47" w:rsidRDefault="00741E47" w:rsidP="00741E47">
      <w:pPr>
        <w:contextualSpacing/>
        <w:jc w:val="center"/>
        <w:rPr>
          <w:b/>
          <w:sz w:val="24"/>
          <w:szCs w:val="24"/>
        </w:rPr>
      </w:pPr>
    </w:p>
    <w:p w:rsidR="00741E47" w:rsidRPr="00741E47" w:rsidRDefault="00741E47" w:rsidP="00741E47">
      <w:pPr>
        <w:rPr>
          <w:b/>
          <w:sz w:val="24"/>
          <w:szCs w:val="24"/>
          <w:lang w:eastAsia="uk-UA"/>
        </w:rPr>
      </w:pPr>
      <w:r w:rsidRPr="00741E47">
        <w:rPr>
          <w:b/>
          <w:sz w:val="24"/>
          <w:szCs w:val="24"/>
          <w:lang w:eastAsia="uk-UA"/>
        </w:rPr>
        <w:br w:type="page"/>
      </w:r>
    </w:p>
    <w:p w:rsidR="00741E47" w:rsidRPr="00741E47" w:rsidRDefault="00741E47" w:rsidP="00741E47">
      <w:pPr>
        <w:contextualSpacing/>
        <w:jc w:val="center"/>
        <w:rPr>
          <w:b/>
          <w:sz w:val="24"/>
          <w:szCs w:val="24"/>
        </w:rPr>
      </w:pPr>
    </w:p>
    <w:p w:rsidR="00741E47" w:rsidRPr="00741E47" w:rsidRDefault="00741E47" w:rsidP="00741E47">
      <w:pPr>
        <w:contextualSpacing/>
        <w:jc w:val="center"/>
        <w:rPr>
          <w:b/>
          <w:sz w:val="24"/>
          <w:szCs w:val="24"/>
          <w:u w:val="single"/>
        </w:rPr>
      </w:pPr>
      <w:r w:rsidRPr="00741E47">
        <w:rPr>
          <w:b/>
          <w:sz w:val="24"/>
          <w:szCs w:val="24"/>
          <w:u w:val="single"/>
        </w:rPr>
        <w:t>ЛОТ 2</w:t>
      </w:r>
    </w:p>
    <w:p w:rsidR="00741E47" w:rsidRPr="00741E47" w:rsidRDefault="00741E47" w:rsidP="00741E47">
      <w:pPr>
        <w:contextualSpacing/>
        <w:jc w:val="center"/>
        <w:rPr>
          <w:b/>
          <w:sz w:val="24"/>
          <w:szCs w:val="24"/>
        </w:rPr>
      </w:pPr>
      <w:r w:rsidRPr="00741E47">
        <w:rPr>
          <w:b/>
          <w:sz w:val="24"/>
          <w:szCs w:val="24"/>
        </w:rPr>
        <w:t xml:space="preserve">Технічне завдання </w:t>
      </w:r>
    </w:p>
    <w:p w:rsidR="00741E47" w:rsidRPr="00741E47" w:rsidRDefault="00741E47" w:rsidP="00741E47">
      <w:pPr>
        <w:contextualSpacing/>
        <w:jc w:val="center"/>
        <w:rPr>
          <w:b/>
          <w:sz w:val="24"/>
          <w:szCs w:val="24"/>
        </w:rPr>
      </w:pPr>
      <w:r w:rsidRPr="00741E47">
        <w:rPr>
          <w:b/>
          <w:sz w:val="24"/>
          <w:szCs w:val="24"/>
        </w:rPr>
        <w:t xml:space="preserve">На надання інжинірингових послуг, а саме: здійснення технічного нагляду за будівництвом об’єкту «Реконструкція об’єкта незавершеного будівництва, та допоміжних споруд для розміщення офісу Державного підприємства «Державний фармакологічний центр» МОЗ України та медико-реабілітаційного центру на </w:t>
      </w:r>
      <w:proofErr w:type="spellStart"/>
      <w:r w:rsidRPr="00741E47">
        <w:rPr>
          <w:b/>
          <w:sz w:val="24"/>
          <w:szCs w:val="24"/>
        </w:rPr>
        <w:t>вул.Смоленській</w:t>
      </w:r>
      <w:proofErr w:type="spellEnd"/>
      <w:r w:rsidRPr="00741E47">
        <w:rPr>
          <w:b/>
          <w:sz w:val="24"/>
          <w:szCs w:val="24"/>
        </w:rPr>
        <w:t xml:space="preserve">, 10 у Солом’янському районі м. Києва» (ПУСК-2) </w:t>
      </w:r>
    </w:p>
    <w:p w:rsidR="00741E47" w:rsidRPr="00741E47" w:rsidRDefault="00741E47" w:rsidP="00741E47">
      <w:pPr>
        <w:contextualSpacing/>
        <w:jc w:val="center"/>
        <w:rPr>
          <w:b/>
          <w:spacing w:val="-3"/>
          <w:sz w:val="24"/>
          <w:szCs w:val="24"/>
        </w:rPr>
      </w:pPr>
      <w:r w:rsidRPr="00741E47">
        <w:rPr>
          <w:b/>
          <w:sz w:val="24"/>
          <w:szCs w:val="24"/>
        </w:rPr>
        <w:t>(Код ДК 021:2015 -71520000-9 – Послуги з нагляду за виконанням будівельних робіт)»</w:t>
      </w:r>
    </w:p>
    <w:p w:rsidR="00741E47" w:rsidRPr="00741E47" w:rsidRDefault="00741E47" w:rsidP="00741E47">
      <w:pPr>
        <w:contextualSpacing/>
        <w:jc w:val="center"/>
        <w:rPr>
          <w:b/>
          <w:sz w:val="24"/>
          <w:szCs w:val="24"/>
          <w:lang w:eastAsia="uk-UA"/>
        </w:rPr>
      </w:pPr>
    </w:p>
    <w:tbl>
      <w:tblPr>
        <w:tblStyle w:val="aa"/>
        <w:tblW w:w="10065" w:type="dxa"/>
        <w:tblInd w:w="-5" w:type="dxa"/>
        <w:tblLook w:val="04A0" w:firstRow="1" w:lastRow="0" w:firstColumn="1" w:lastColumn="0" w:noHBand="0" w:noVBand="1"/>
      </w:tblPr>
      <w:tblGrid>
        <w:gridCol w:w="617"/>
        <w:gridCol w:w="9448"/>
      </w:tblGrid>
      <w:tr w:rsidR="00741E47" w:rsidRPr="00741E47" w:rsidTr="00DC0E64">
        <w:trPr>
          <w:trHeight w:val="723"/>
        </w:trPr>
        <w:tc>
          <w:tcPr>
            <w:tcW w:w="617" w:type="dxa"/>
            <w:vAlign w:val="center"/>
          </w:tcPr>
          <w:p w:rsidR="00741E47" w:rsidRPr="00741E47" w:rsidRDefault="00741E47" w:rsidP="00DC0E64">
            <w:pPr>
              <w:jc w:val="center"/>
              <w:rPr>
                <w:b/>
                <w:sz w:val="24"/>
                <w:szCs w:val="24"/>
              </w:rPr>
            </w:pPr>
            <w:r w:rsidRPr="00741E47">
              <w:rPr>
                <w:b/>
                <w:sz w:val="24"/>
                <w:szCs w:val="24"/>
              </w:rPr>
              <w:t>№</w:t>
            </w:r>
          </w:p>
          <w:p w:rsidR="00741E47" w:rsidRPr="00741E47" w:rsidRDefault="00741E47" w:rsidP="00DC0E64">
            <w:pPr>
              <w:jc w:val="center"/>
              <w:rPr>
                <w:b/>
                <w:sz w:val="24"/>
                <w:szCs w:val="24"/>
              </w:rPr>
            </w:pPr>
            <w:r w:rsidRPr="00741E47">
              <w:rPr>
                <w:b/>
                <w:sz w:val="24"/>
                <w:szCs w:val="24"/>
              </w:rPr>
              <w:t>п/п</w:t>
            </w:r>
          </w:p>
        </w:tc>
        <w:tc>
          <w:tcPr>
            <w:tcW w:w="9448" w:type="dxa"/>
            <w:vAlign w:val="center"/>
          </w:tcPr>
          <w:p w:rsidR="00741E47" w:rsidRPr="00741E47" w:rsidRDefault="00741E47" w:rsidP="00DC0E64">
            <w:pPr>
              <w:jc w:val="center"/>
              <w:rPr>
                <w:b/>
                <w:sz w:val="24"/>
                <w:szCs w:val="24"/>
              </w:rPr>
            </w:pPr>
            <w:r w:rsidRPr="00741E47">
              <w:rPr>
                <w:b/>
                <w:sz w:val="24"/>
                <w:szCs w:val="24"/>
              </w:rPr>
              <w:t>Перелік послуг, що надаються Виконавцем</w:t>
            </w:r>
          </w:p>
        </w:tc>
      </w:tr>
      <w:tr w:rsidR="00741E47" w:rsidRPr="00741E47" w:rsidTr="00DC0E64">
        <w:trPr>
          <w:trHeight w:val="6177"/>
        </w:trPr>
        <w:tc>
          <w:tcPr>
            <w:tcW w:w="617" w:type="dxa"/>
          </w:tcPr>
          <w:p w:rsidR="00741E47" w:rsidRPr="00741E47" w:rsidRDefault="00741E47" w:rsidP="00DC0E64">
            <w:pPr>
              <w:jc w:val="center"/>
              <w:rPr>
                <w:b/>
                <w:sz w:val="24"/>
                <w:szCs w:val="24"/>
              </w:rPr>
            </w:pPr>
            <w:r w:rsidRPr="00741E47">
              <w:rPr>
                <w:b/>
                <w:sz w:val="24"/>
                <w:szCs w:val="24"/>
              </w:rPr>
              <w:t>1</w:t>
            </w:r>
          </w:p>
        </w:tc>
        <w:tc>
          <w:tcPr>
            <w:tcW w:w="9448" w:type="dxa"/>
          </w:tcPr>
          <w:p w:rsidR="00741E47" w:rsidRPr="00741E47" w:rsidRDefault="00741E47" w:rsidP="00DC0E64">
            <w:pPr>
              <w:rPr>
                <w:b/>
                <w:sz w:val="24"/>
                <w:szCs w:val="24"/>
              </w:rPr>
            </w:pPr>
            <w:r w:rsidRPr="00741E47">
              <w:rPr>
                <w:b/>
                <w:sz w:val="24"/>
                <w:szCs w:val="24"/>
              </w:rPr>
              <w:t>ТЕХНІЧНИЙ НАГЛЯД ЗА БУДІВНИЦТВОМ</w:t>
            </w:r>
          </w:p>
          <w:p w:rsidR="00741E47" w:rsidRPr="00741E47" w:rsidRDefault="00741E47" w:rsidP="00DC0E64">
            <w:pPr>
              <w:rPr>
                <w:sz w:val="24"/>
                <w:szCs w:val="24"/>
              </w:rPr>
            </w:pPr>
            <w:r w:rsidRPr="00741E47">
              <w:rPr>
                <w:sz w:val="24"/>
                <w:szCs w:val="24"/>
              </w:rPr>
              <w:t>1.1. Здійснення технічного нагляду за будівництвом Об’єкта, відповідно до положень цього Договору та  Порядку здійснення технічного нагляду під час будівництва об’єкта  архітектури затвердженого постановою Кабінету Міністрів України від 11 липня 2007 р. N 903.</w:t>
            </w:r>
          </w:p>
          <w:p w:rsidR="00741E47" w:rsidRPr="00741E47" w:rsidRDefault="00741E47" w:rsidP="00DC0E64">
            <w:pPr>
              <w:adjustRightInd w:val="0"/>
              <w:jc w:val="both"/>
              <w:rPr>
                <w:sz w:val="24"/>
                <w:szCs w:val="24"/>
              </w:rPr>
            </w:pPr>
            <w:r w:rsidRPr="00741E47">
              <w:rPr>
                <w:sz w:val="24"/>
                <w:szCs w:val="24"/>
              </w:rPr>
              <w:t>1.2. Перевірка та візування актів виконаних робіт, змонтованого обладнання та устаткування в частині підтвердження обсягів та якості виконаних робіт, наявності виконавчої документації (акти прихованих робіт, виконавчі схеми, документи підтверджуючі якість та відповідність використаних матеріалів тощо) підготовка їх для передачі Замовнику.</w:t>
            </w:r>
          </w:p>
          <w:p w:rsidR="00741E47" w:rsidRPr="00741E47" w:rsidRDefault="00741E47" w:rsidP="00DC0E64">
            <w:pPr>
              <w:ind w:right="-1"/>
              <w:jc w:val="both"/>
              <w:rPr>
                <w:sz w:val="24"/>
                <w:szCs w:val="24"/>
              </w:rPr>
            </w:pPr>
            <w:r w:rsidRPr="00741E47">
              <w:rPr>
                <w:sz w:val="24"/>
                <w:szCs w:val="24"/>
              </w:rPr>
              <w:t xml:space="preserve">1.3. </w:t>
            </w:r>
            <w:r w:rsidRPr="00741E47">
              <w:rPr>
                <w:sz w:val="24"/>
                <w:szCs w:val="24"/>
                <w:lang w:bidi="uk-UA"/>
              </w:rPr>
              <w:t xml:space="preserve">Ведення обліку обсягів прийнятих і оплачених будівельно-монтажних робіт, а також будівельно-монтажних робіт, виконаних з недоліками. Отримання від Підрядника  </w:t>
            </w:r>
            <w:r w:rsidRPr="00741E47">
              <w:rPr>
                <w:sz w:val="24"/>
                <w:szCs w:val="24"/>
              </w:rPr>
              <w:t xml:space="preserve">необхідних сертифікатів якості та/або відповідності на матеріали, обладнання, устаткування у разі його поставки Підрядником. </w:t>
            </w:r>
          </w:p>
          <w:p w:rsidR="00741E47" w:rsidRPr="00741E47" w:rsidRDefault="00741E47" w:rsidP="00DC0E64">
            <w:pPr>
              <w:ind w:right="-1"/>
              <w:jc w:val="both"/>
              <w:rPr>
                <w:sz w:val="24"/>
                <w:szCs w:val="24"/>
              </w:rPr>
            </w:pPr>
            <w:r w:rsidRPr="00741E47">
              <w:rPr>
                <w:sz w:val="24"/>
                <w:szCs w:val="24"/>
              </w:rPr>
              <w:t xml:space="preserve">1.4. Вимагання від Підрядника у разі необхідності результатів польових або лабораторних випробувань і вимірів. </w:t>
            </w:r>
          </w:p>
          <w:p w:rsidR="00741E47" w:rsidRPr="00741E47" w:rsidRDefault="00741E47" w:rsidP="00DC0E64">
            <w:pPr>
              <w:ind w:right="-1"/>
              <w:jc w:val="both"/>
              <w:rPr>
                <w:sz w:val="24"/>
                <w:szCs w:val="24"/>
                <w:lang w:bidi="uk-UA"/>
              </w:rPr>
            </w:pPr>
            <w:r w:rsidRPr="00741E47">
              <w:rPr>
                <w:sz w:val="24"/>
                <w:szCs w:val="24"/>
              </w:rPr>
              <w:t>1.5. Повідомлення Підряднику про встановленні невідповідності  виконаних робіт або тих що тільки виконуються, вимагання від Підрядника виправити порушення.</w:t>
            </w:r>
          </w:p>
          <w:p w:rsidR="00741E47" w:rsidRPr="00741E47" w:rsidRDefault="00741E47" w:rsidP="00DC0E64">
            <w:pPr>
              <w:ind w:right="-1"/>
              <w:jc w:val="both"/>
              <w:rPr>
                <w:sz w:val="24"/>
                <w:szCs w:val="24"/>
                <w:lang w:bidi="uk-UA"/>
              </w:rPr>
            </w:pPr>
            <w:r w:rsidRPr="00741E47">
              <w:rPr>
                <w:sz w:val="24"/>
                <w:szCs w:val="24"/>
                <w:lang w:bidi="uk-UA"/>
              </w:rPr>
              <w:t>1.6. Ведення обліку всіх випробувань і тестів, своєчасно інформувати Замовника про всі відхилення і невідповідності.</w:t>
            </w:r>
          </w:p>
          <w:p w:rsidR="00741E47" w:rsidRPr="00741E47" w:rsidRDefault="00741E47" w:rsidP="00DC0E64">
            <w:pPr>
              <w:ind w:right="-1"/>
              <w:jc w:val="both"/>
              <w:rPr>
                <w:sz w:val="24"/>
                <w:szCs w:val="24"/>
                <w:lang w:bidi="uk-UA"/>
              </w:rPr>
            </w:pPr>
            <w:r w:rsidRPr="00741E47">
              <w:rPr>
                <w:rStyle w:val="apple-style-span"/>
                <w:sz w:val="24"/>
                <w:szCs w:val="24"/>
              </w:rPr>
              <w:t>1.7. Фіксування результати технічного нагляду за роботами на об’єкті в журналі виконання робіт із зазначенням дефектів, порушень та винних у роботах, виконаних із порушенням, а також зобов’язувати підрядника усунення виявлених дефектів і порушень</w:t>
            </w:r>
          </w:p>
          <w:p w:rsidR="00741E47" w:rsidRPr="00741E47" w:rsidRDefault="00741E47" w:rsidP="00DC0E64">
            <w:pPr>
              <w:ind w:right="-1"/>
              <w:jc w:val="both"/>
              <w:rPr>
                <w:sz w:val="24"/>
                <w:szCs w:val="24"/>
                <w:lang w:bidi="uk-UA"/>
              </w:rPr>
            </w:pPr>
            <w:r w:rsidRPr="00741E47">
              <w:rPr>
                <w:sz w:val="24"/>
                <w:szCs w:val="24"/>
                <w:lang w:bidi="uk-UA"/>
              </w:rPr>
              <w:t>1.8. Участь у прийманні виконаних будівельно-монтажних робіт, змонтованого обладнання.</w:t>
            </w:r>
          </w:p>
          <w:p w:rsidR="00741E47" w:rsidRPr="00741E47" w:rsidRDefault="00741E47" w:rsidP="00DC0E64">
            <w:pPr>
              <w:tabs>
                <w:tab w:val="left" w:pos="993"/>
              </w:tabs>
              <w:jc w:val="both"/>
              <w:rPr>
                <w:sz w:val="24"/>
                <w:szCs w:val="24"/>
              </w:rPr>
            </w:pPr>
            <w:r w:rsidRPr="00741E47">
              <w:rPr>
                <w:sz w:val="24"/>
                <w:szCs w:val="24"/>
                <w:lang w:bidi="uk-UA"/>
              </w:rPr>
              <w:t>1.9. У</w:t>
            </w:r>
            <w:r w:rsidRPr="00741E47">
              <w:rPr>
                <w:sz w:val="24"/>
                <w:szCs w:val="24"/>
              </w:rPr>
              <w:t>часть у підготовці Актів на приховані роботи, приймання закінчених робіт;</w:t>
            </w:r>
          </w:p>
          <w:p w:rsidR="00741E47" w:rsidRPr="00741E47" w:rsidRDefault="00741E47" w:rsidP="00DC0E64">
            <w:pPr>
              <w:tabs>
                <w:tab w:val="left" w:pos="993"/>
              </w:tabs>
              <w:jc w:val="both"/>
              <w:rPr>
                <w:sz w:val="24"/>
                <w:szCs w:val="24"/>
              </w:rPr>
            </w:pPr>
            <w:r w:rsidRPr="00741E47">
              <w:rPr>
                <w:sz w:val="24"/>
                <w:szCs w:val="24"/>
              </w:rPr>
              <w:t>1.10. Оформлення Актів робіт, виконаних з недоліками</w:t>
            </w:r>
          </w:p>
          <w:p w:rsidR="00741E47" w:rsidRPr="00741E47" w:rsidRDefault="00741E47" w:rsidP="00DC0E64">
            <w:pPr>
              <w:ind w:right="-1"/>
              <w:jc w:val="both"/>
              <w:rPr>
                <w:sz w:val="24"/>
                <w:szCs w:val="24"/>
                <w:lang w:bidi="uk-UA"/>
              </w:rPr>
            </w:pPr>
            <w:r w:rsidRPr="00741E47">
              <w:rPr>
                <w:sz w:val="24"/>
                <w:szCs w:val="24"/>
                <w:lang w:bidi="uk-UA"/>
              </w:rPr>
              <w:t xml:space="preserve">1.11. Фото і </w:t>
            </w:r>
            <w:proofErr w:type="spellStart"/>
            <w:r w:rsidRPr="00741E47">
              <w:rPr>
                <w:sz w:val="24"/>
                <w:szCs w:val="24"/>
                <w:lang w:bidi="uk-UA"/>
              </w:rPr>
              <w:t>відеофіксація</w:t>
            </w:r>
            <w:proofErr w:type="spellEnd"/>
            <w:r w:rsidRPr="00741E47">
              <w:rPr>
                <w:sz w:val="24"/>
                <w:szCs w:val="24"/>
                <w:lang w:bidi="uk-UA"/>
              </w:rPr>
              <w:t xml:space="preserve"> процесу виконання будівельних робіт.</w:t>
            </w:r>
          </w:p>
          <w:p w:rsidR="00741E47" w:rsidRPr="00741E47" w:rsidRDefault="00741E47" w:rsidP="00DC0E64">
            <w:pPr>
              <w:ind w:right="-1"/>
              <w:jc w:val="both"/>
              <w:rPr>
                <w:sz w:val="24"/>
                <w:szCs w:val="24"/>
              </w:rPr>
            </w:pPr>
            <w:r w:rsidRPr="00741E47">
              <w:rPr>
                <w:sz w:val="24"/>
                <w:szCs w:val="24"/>
                <w:lang w:bidi="uk-UA"/>
              </w:rPr>
              <w:t>1.9. І</w:t>
            </w:r>
            <w:r w:rsidRPr="00741E47">
              <w:rPr>
                <w:sz w:val="24"/>
                <w:szCs w:val="24"/>
              </w:rPr>
              <w:t>нженер з технічного нагляду повинен: виконувати вимоги нормативно-правових актів, будівельних норм, інших нормативних документів, виконання яких є обов’язковим відповідно до вимог законодавства, а також правил професійної етики інженерів з технічного нагляду, постійно та неухильно виконувати морально-етичні принципи діяльності інженера з технічного нагляду, основою яких є професіоналізм, сумлінність та доброчесність.</w:t>
            </w:r>
          </w:p>
          <w:p w:rsidR="00741E47" w:rsidRPr="00741E47" w:rsidRDefault="00741E47" w:rsidP="00DC0E64">
            <w:pPr>
              <w:ind w:right="-1"/>
              <w:jc w:val="both"/>
              <w:rPr>
                <w:sz w:val="24"/>
                <w:szCs w:val="24"/>
                <w:lang w:bidi="uk-UA"/>
              </w:rPr>
            </w:pPr>
          </w:p>
        </w:tc>
      </w:tr>
    </w:tbl>
    <w:p w:rsidR="00741E47" w:rsidRPr="00741E47" w:rsidRDefault="00741E47" w:rsidP="00741E47">
      <w:pPr>
        <w:contextualSpacing/>
        <w:jc w:val="center"/>
        <w:rPr>
          <w:b/>
          <w:sz w:val="24"/>
          <w:szCs w:val="24"/>
          <w:lang w:eastAsia="uk-UA"/>
        </w:rPr>
      </w:pPr>
    </w:p>
    <w:p w:rsidR="00741E47" w:rsidRPr="00741E47" w:rsidRDefault="00741E47" w:rsidP="00741E47">
      <w:pPr>
        <w:contextualSpacing/>
        <w:jc w:val="center"/>
        <w:rPr>
          <w:b/>
          <w:strike/>
          <w:sz w:val="24"/>
          <w:szCs w:val="24"/>
        </w:rPr>
      </w:pPr>
    </w:p>
    <w:p w:rsidR="00741E47" w:rsidRPr="00741E47" w:rsidRDefault="00741E47" w:rsidP="00741E47">
      <w:pPr>
        <w:pStyle w:val="HTML"/>
        <w:jc w:val="both"/>
        <w:rPr>
          <w:b/>
          <w:i/>
          <w:sz w:val="24"/>
          <w:szCs w:val="24"/>
        </w:rPr>
      </w:pPr>
      <w:r w:rsidRPr="00741E47">
        <w:rPr>
          <w:b/>
          <w:i/>
          <w:sz w:val="24"/>
          <w:szCs w:val="24"/>
        </w:rPr>
        <w:t>У разі, якщо дане Технічне завдання містить посилання на конкретну марку, фірму, патент, конструкцію або тип товару, то вважається, що Технічне завдання (технічні вимоги) містить(ять) вираз «або еквівалент».</w:t>
      </w:r>
    </w:p>
    <w:p w:rsidR="00741E47" w:rsidRPr="005B11A3" w:rsidRDefault="00741E47" w:rsidP="005B11A3">
      <w:pPr>
        <w:tabs>
          <w:tab w:val="left" w:pos="9356"/>
        </w:tabs>
        <w:jc w:val="center"/>
        <w:rPr>
          <w:b/>
          <w:sz w:val="24"/>
          <w:szCs w:val="24"/>
        </w:rPr>
      </w:pPr>
    </w:p>
    <w:sectPr w:rsidR="00741E47" w:rsidRPr="005B11A3" w:rsidSect="00EB3869">
      <w:pgSz w:w="12240" w:h="15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9"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2"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5"/>
  </w:num>
  <w:num w:numId="2">
    <w:abstractNumId w:val="21"/>
  </w:num>
  <w:num w:numId="3">
    <w:abstractNumId w:val="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8"/>
  </w:num>
  <w:num w:numId="7">
    <w:abstractNumId w:val="10"/>
  </w:num>
  <w:num w:numId="8">
    <w:abstractNumId w:val="19"/>
  </w:num>
  <w:num w:numId="9">
    <w:abstractNumId w:val="2"/>
  </w:num>
  <w:num w:numId="10">
    <w:abstractNumId w:val="7"/>
  </w:num>
  <w:num w:numId="11">
    <w:abstractNumId w:val="11"/>
  </w:num>
  <w:num w:numId="12">
    <w:abstractNumId w:val="12"/>
  </w:num>
  <w:num w:numId="13">
    <w:abstractNumId w:val="3"/>
  </w:num>
  <w:num w:numId="14">
    <w:abstractNumId w:val="13"/>
  </w:num>
  <w:num w:numId="15">
    <w:abstractNumId w:val="22"/>
  </w:num>
  <w:num w:numId="16">
    <w:abstractNumId w:val="6"/>
  </w:num>
  <w:num w:numId="17">
    <w:abstractNumId w:val="17"/>
  </w:num>
  <w:num w:numId="18">
    <w:abstractNumId w:val="1"/>
  </w:num>
  <w:num w:numId="19">
    <w:abstractNumId w:val="18"/>
  </w:num>
  <w:num w:numId="20">
    <w:abstractNumId w:val="16"/>
  </w:num>
  <w:num w:numId="21">
    <w:abstractNumId w:val="14"/>
  </w:num>
  <w:num w:numId="22">
    <w:abstractNumId w:val="4"/>
  </w:num>
  <w:num w:numId="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828B1"/>
    <w:rsid w:val="0059366D"/>
    <w:rsid w:val="005B11A3"/>
    <w:rsid w:val="00610CE8"/>
    <w:rsid w:val="006475BF"/>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E7B49"/>
    <w:rsid w:val="00A15E85"/>
    <w:rsid w:val="00A7220B"/>
    <w:rsid w:val="00A7276B"/>
    <w:rsid w:val="00B057C2"/>
    <w:rsid w:val="00B13AE1"/>
    <w:rsid w:val="00B55729"/>
    <w:rsid w:val="00BD3662"/>
    <w:rsid w:val="00BE318B"/>
    <w:rsid w:val="00C12D80"/>
    <w:rsid w:val="00C95002"/>
    <w:rsid w:val="00CC5B51"/>
    <w:rsid w:val="00D62982"/>
    <w:rsid w:val="00E13FF6"/>
    <w:rsid w:val="00E543AA"/>
    <w:rsid w:val="00E6414D"/>
    <w:rsid w:val="00EB3869"/>
    <w:rsid w:val="00EB6869"/>
    <w:rsid w:val="00EC4589"/>
    <w:rsid w:val="00ED1E9A"/>
    <w:rsid w:val="00ED215F"/>
    <w:rsid w:val="00EE561D"/>
    <w:rsid w:val="00FA33B2"/>
    <w:rsid w:val="00FA4B8E"/>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A327"/>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1"/>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5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5-25-01319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6</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68</cp:revision>
  <dcterms:created xsi:type="dcterms:W3CDTF">2021-12-15T12:41:00Z</dcterms:created>
  <dcterms:modified xsi:type="dcterms:W3CDTF">2023-06-27T12:36:00Z</dcterms:modified>
</cp:coreProperties>
</file>