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621187" w:rsidRPr="00621187">
              <w:rPr>
                <w:rFonts w:eastAsia="Times New Roman"/>
                <w:b/>
                <w:color w:val="000000" w:themeColor="text1"/>
                <w:sz w:val="24"/>
                <w:szCs w:val="24"/>
                <w:lang w:eastAsia="ar-SA"/>
              </w:rPr>
              <w:t>Комплект батарейних модулів до ДБЖ</w:t>
            </w:r>
          </w:p>
          <w:p w:rsidR="00411183" w:rsidRDefault="0094383F" w:rsidP="00EC4589">
            <w:pPr>
              <w:spacing w:line="240" w:lineRule="auto"/>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621187" w:rsidRPr="00621187">
              <w:rPr>
                <w:b/>
                <w:color w:val="000000" w:themeColor="text1"/>
                <w:sz w:val="24"/>
                <w:szCs w:val="24"/>
              </w:rPr>
              <w:t xml:space="preserve">31150000-2: </w:t>
            </w:r>
            <w:proofErr w:type="spellStart"/>
            <w:r w:rsidR="00621187" w:rsidRPr="00621187">
              <w:rPr>
                <w:b/>
                <w:color w:val="000000" w:themeColor="text1"/>
                <w:sz w:val="24"/>
                <w:szCs w:val="24"/>
              </w:rPr>
              <w:t>Баласти</w:t>
            </w:r>
            <w:proofErr w:type="spellEnd"/>
            <w:r w:rsidR="00621187" w:rsidRPr="00621187">
              <w:rPr>
                <w:b/>
                <w:color w:val="000000" w:themeColor="text1"/>
                <w:sz w:val="24"/>
                <w:szCs w:val="24"/>
              </w:rPr>
              <w:t xml:space="preserve"> для розрядних ламп чи трубок</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621187">
              <w:rPr>
                <w:b/>
                <w:color w:val="000000" w:themeColor="text1"/>
                <w:sz w:val="24"/>
                <w:szCs w:val="24"/>
                <w:lang w:val="ru-UA"/>
              </w:rPr>
              <w:t>634</w:t>
            </w:r>
            <w:r w:rsidR="009D09A9" w:rsidRPr="009D09A9">
              <w:rPr>
                <w:b/>
                <w:color w:val="000000" w:themeColor="text1"/>
                <w:sz w:val="24"/>
                <w:szCs w:val="24"/>
              </w:rPr>
              <w:t xml:space="preserve"> 000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621187">
              <w:rPr>
                <w:b/>
                <w:color w:val="000000" w:themeColor="text1"/>
                <w:sz w:val="24"/>
                <w:szCs w:val="24"/>
              </w:rPr>
              <w:t>11</w:t>
            </w:r>
            <w:r w:rsidR="006475BF" w:rsidRPr="001C60E2">
              <w:rPr>
                <w:b/>
                <w:color w:val="000000" w:themeColor="text1"/>
                <w:sz w:val="24"/>
                <w:szCs w:val="24"/>
              </w:rPr>
              <w:t xml:space="preserve"> </w:t>
            </w:r>
            <w:r w:rsidR="00621187">
              <w:rPr>
                <w:b/>
                <w:color w:val="000000" w:themeColor="text1"/>
                <w:sz w:val="24"/>
                <w:szCs w:val="24"/>
                <w:lang w:val="ru-UA"/>
              </w:rPr>
              <w:t>жовт</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41E47"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9D09A9">
              <w:rPr>
                <w:color w:val="000000" w:themeColor="text1"/>
                <w:sz w:val="24"/>
                <w:szCs w:val="24"/>
              </w:rPr>
              <w:t xml:space="preserve"> </w:t>
            </w:r>
            <w:hyperlink r:id="rId5" w:history="1">
              <w:r w:rsidR="00621187" w:rsidRPr="00621187">
                <w:rPr>
                  <w:rStyle w:val="a3"/>
                  <w:sz w:val="24"/>
                  <w:szCs w:val="24"/>
                </w:rPr>
                <w:t>https://prozorro.gov.ua/tender/UA-2023-10-11-014010-a</w:t>
              </w:r>
            </w:hyperlink>
          </w:p>
          <w:p w:rsidR="00621187" w:rsidRDefault="00621187" w:rsidP="00FA33B2">
            <w:pPr>
              <w:spacing w:after="0" w:line="276" w:lineRule="auto"/>
            </w:pPr>
          </w:p>
          <w:p w:rsidR="001612A9" w:rsidRPr="00FA33B2" w:rsidRDefault="001612A9" w:rsidP="00FA33B2">
            <w:pPr>
              <w:spacing w:after="0" w:line="276" w:lineRule="auto"/>
            </w:pPr>
          </w:p>
        </w:tc>
      </w:tr>
    </w:tbl>
    <w:p w:rsidR="00621187" w:rsidRPr="00621187" w:rsidRDefault="00621187" w:rsidP="00621187">
      <w:pPr>
        <w:spacing w:before="240" w:after="0"/>
        <w:ind w:right="-23"/>
        <w:jc w:val="center"/>
        <w:rPr>
          <w:b/>
          <w:bCs/>
          <w:sz w:val="24"/>
          <w:szCs w:val="24"/>
        </w:rPr>
      </w:pPr>
      <w:r w:rsidRPr="00621187">
        <w:rPr>
          <w:b/>
          <w:bCs/>
          <w:sz w:val="24"/>
          <w:szCs w:val="24"/>
        </w:rPr>
        <w:t>ІНФОРМАЦІЯ ПРО НЕОБХІДНІ ТЕХНІЧНІ, ЯКІСНІ ТА КІЛЬКІСНІ ХАРАКТЕРИСТИКИ ПРЕДМЕТА ЗАКУПІВЛІ</w:t>
      </w:r>
    </w:p>
    <w:p w:rsidR="00621187" w:rsidRPr="00621187" w:rsidRDefault="00621187" w:rsidP="00621187">
      <w:pPr>
        <w:spacing w:before="240" w:after="0"/>
        <w:ind w:right="-23"/>
        <w:jc w:val="center"/>
        <w:rPr>
          <w:b/>
          <w:bCs/>
          <w:sz w:val="24"/>
          <w:szCs w:val="24"/>
        </w:rPr>
      </w:pPr>
    </w:p>
    <w:p w:rsidR="00621187" w:rsidRPr="00621187" w:rsidRDefault="00621187" w:rsidP="00621187">
      <w:pPr>
        <w:spacing w:after="0"/>
        <w:ind w:right="-23"/>
        <w:jc w:val="center"/>
        <w:rPr>
          <w:b/>
          <w:bCs/>
          <w:sz w:val="24"/>
          <w:szCs w:val="24"/>
        </w:rPr>
      </w:pPr>
      <w:r w:rsidRPr="00621187">
        <w:rPr>
          <w:b/>
          <w:bCs/>
          <w:sz w:val="24"/>
          <w:szCs w:val="24"/>
        </w:rPr>
        <w:t>Комплект батарейних модулів до ДБЖ</w:t>
      </w:r>
    </w:p>
    <w:p w:rsidR="00621187" w:rsidRPr="00621187" w:rsidRDefault="00621187" w:rsidP="00621187">
      <w:pPr>
        <w:spacing w:after="0"/>
        <w:ind w:right="-23"/>
        <w:jc w:val="center"/>
        <w:rPr>
          <w:b/>
          <w:bCs/>
          <w:sz w:val="24"/>
          <w:szCs w:val="24"/>
        </w:rPr>
      </w:pPr>
      <w:r w:rsidRPr="00621187">
        <w:rPr>
          <w:b/>
          <w:bCs/>
          <w:sz w:val="24"/>
          <w:szCs w:val="24"/>
        </w:rPr>
        <w:t xml:space="preserve">(Код ДК 021:2015 – 31150000-2 </w:t>
      </w:r>
      <w:proofErr w:type="spellStart"/>
      <w:r w:rsidRPr="00621187">
        <w:rPr>
          <w:b/>
          <w:bCs/>
          <w:sz w:val="24"/>
          <w:szCs w:val="24"/>
        </w:rPr>
        <w:t>Баласти</w:t>
      </w:r>
      <w:proofErr w:type="spellEnd"/>
      <w:r w:rsidRPr="00621187">
        <w:rPr>
          <w:b/>
          <w:bCs/>
          <w:sz w:val="24"/>
          <w:szCs w:val="24"/>
        </w:rPr>
        <w:t xml:space="preserve"> для розрядних ламп чи трубок)</w:t>
      </w:r>
    </w:p>
    <w:p w:rsidR="00621187" w:rsidRPr="00621187" w:rsidRDefault="00621187" w:rsidP="00621187">
      <w:pPr>
        <w:suppressAutoHyphens/>
        <w:spacing w:after="0"/>
        <w:jc w:val="center"/>
        <w:rPr>
          <w:b/>
          <w:bCs/>
          <w:sz w:val="24"/>
          <w:szCs w:val="24"/>
          <w:lang w:eastAsia="ar-SA"/>
        </w:rPr>
      </w:pPr>
      <w:bookmarkStart w:id="0" w:name="_Toc297680863"/>
      <w:bookmarkStart w:id="1" w:name="_Toc533680705"/>
    </w:p>
    <w:p w:rsidR="00621187" w:rsidRPr="00621187" w:rsidRDefault="00621187" w:rsidP="00621187">
      <w:pPr>
        <w:suppressAutoHyphens/>
        <w:spacing w:after="0"/>
        <w:jc w:val="center"/>
        <w:rPr>
          <w:b/>
          <w:bCs/>
          <w:sz w:val="24"/>
          <w:szCs w:val="24"/>
          <w:lang w:eastAsia="ar-SA"/>
        </w:rPr>
      </w:pPr>
      <w:r w:rsidRPr="00621187">
        <w:rPr>
          <w:b/>
          <w:bCs/>
          <w:sz w:val="24"/>
          <w:szCs w:val="24"/>
          <w:lang w:eastAsia="ar-SA"/>
        </w:rPr>
        <w:t xml:space="preserve">Вимоги необхідні до обладнання технічні (якісні), кількісні характеристики </w:t>
      </w:r>
    </w:p>
    <w:p w:rsidR="00621187" w:rsidRPr="00621187" w:rsidRDefault="00621187" w:rsidP="00621187">
      <w:pPr>
        <w:numPr>
          <w:ilvl w:val="0"/>
          <w:numId w:val="6"/>
        </w:numPr>
        <w:suppressAutoHyphens/>
        <w:spacing w:after="0" w:line="240" w:lineRule="auto"/>
        <w:contextualSpacing/>
        <w:jc w:val="both"/>
        <w:rPr>
          <w:sz w:val="24"/>
          <w:szCs w:val="24"/>
        </w:rPr>
      </w:pPr>
      <w:r w:rsidRPr="00621187">
        <w:rPr>
          <w:sz w:val="24"/>
          <w:szCs w:val="24"/>
        </w:rPr>
        <w:t>Обладнання має бути скомплектовано. Система після заміни має бути налаштована, запрограмована і готова до роботи.</w:t>
      </w:r>
    </w:p>
    <w:p w:rsidR="00621187" w:rsidRPr="00621187" w:rsidRDefault="00621187" w:rsidP="00621187">
      <w:pPr>
        <w:numPr>
          <w:ilvl w:val="0"/>
          <w:numId w:val="6"/>
        </w:numPr>
        <w:suppressAutoHyphens/>
        <w:spacing w:after="0" w:line="240" w:lineRule="auto"/>
        <w:contextualSpacing/>
        <w:jc w:val="both"/>
        <w:rPr>
          <w:sz w:val="24"/>
          <w:szCs w:val="24"/>
        </w:rPr>
      </w:pPr>
      <w:r w:rsidRPr="00621187">
        <w:rPr>
          <w:sz w:val="24"/>
          <w:szCs w:val="24"/>
        </w:rPr>
        <w:t>Все обладнання повинно бути новим, не бувшим у використанні або відновленим.</w:t>
      </w:r>
    </w:p>
    <w:p w:rsidR="00621187" w:rsidRPr="00621187" w:rsidRDefault="00621187" w:rsidP="00621187">
      <w:pPr>
        <w:numPr>
          <w:ilvl w:val="0"/>
          <w:numId w:val="6"/>
        </w:numPr>
        <w:suppressAutoHyphens/>
        <w:spacing w:after="0" w:line="240" w:lineRule="auto"/>
        <w:contextualSpacing/>
        <w:jc w:val="both"/>
        <w:rPr>
          <w:sz w:val="24"/>
          <w:szCs w:val="24"/>
        </w:rPr>
      </w:pPr>
      <w:r w:rsidRPr="00621187">
        <w:rPr>
          <w:sz w:val="24"/>
          <w:szCs w:val="24"/>
        </w:rPr>
        <w:t>Пропоновані моделі обладнання повинні бути сучасними, та такими, що мають останні стабільні версії програмного забезпечення.</w:t>
      </w:r>
    </w:p>
    <w:p w:rsidR="00621187" w:rsidRPr="00621187" w:rsidRDefault="00621187" w:rsidP="00621187">
      <w:pPr>
        <w:numPr>
          <w:ilvl w:val="0"/>
          <w:numId w:val="6"/>
        </w:numPr>
        <w:suppressAutoHyphens/>
        <w:spacing w:after="0" w:line="240" w:lineRule="auto"/>
        <w:contextualSpacing/>
        <w:jc w:val="both"/>
        <w:rPr>
          <w:sz w:val="24"/>
          <w:szCs w:val="24"/>
        </w:rPr>
      </w:pPr>
      <w:r w:rsidRPr="00621187">
        <w:rPr>
          <w:sz w:val="24"/>
          <w:szCs w:val="24"/>
        </w:rPr>
        <w:t>Обладнання, повинно бути виготовлено в країнах, на які не розповсюджуються обмеження в торговельних відносинах по торгових міжнародних договорах уряду України.</w:t>
      </w:r>
    </w:p>
    <w:p w:rsidR="00621187" w:rsidRPr="00621187" w:rsidRDefault="00621187" w:rsidP="00621187">
      <w:pPr>
        <w:suppressAutoHyphens/>
        <w:spacing w:after="0"/>
        <w:ind w:left="578"/>
        <w:contextualSpacing/>
        <w:jc w:val="both"/>
        <w:rPr>
          <w:sz w:val="24"/>
          <w:szCs w:val="24"/>
        </w:rPr>
      </w:pPr>
    </w:p>
    <w:p w:rsidR="00621187" w:rsidRPr="00621187" w:rsidRDefault="00621187" w:rsidP="00621187">
      <w:pPr>
        <w:spacing w:after="0"/>
        <w:rPr>
          <w:b/>
          <w:bCs/>
          <w:sz w:val="24"/>
          <w:szCs w:val="24"/>
          <w:lang w:val="ru-RU"/>
        </w:rPr>
      </w:pPr>
      <w:bookmarkStart w:id="2" w:name="_Hlk136868184"/>
      <w:bookmarkEnd w:id="0"/>
      <w:bookmarkEnd w:id="1"/>
    </w:p>
    <w:p w:rsidR="00621187" w:rsidRPr="00621187" w:rsidRDefault="00621187" w:rsidP="00621187">
      <w:pPr>
        <w:spacing w:after="0"/>
        <w:rPr>
          <w:b/>
          <w:bCs/>
          <w:sz w:val="24"/>
          <w:szCs w:val="24"/>
          <w:lang w:val="ru-RU"/>
        </w:rPr>
      </w:pPr>
      <w:r w:rsidRPr="00621187">
        <w:rPr>
          <w:b/>
          <w:bCs/>
          <w:sz w:val="24"/>
          <w:szCs w:val="24"/>
          <w:lang w:val="ru-RU"/>
        </w:rPr>
        <w:t xml:space="preserve">Комплект </w:t>
      </w:r>
      <w:proofErr w:type="spellStart"/>
      <w:r w:rsidRPr="00621187">
        <w:rPr>
          <w:b/>
          <w:bCs/>
          <w:sz w:val="24"/>
          <w:szCs w:val="24"/>
          <w:lang w:val="ru-RU"/>
        </w:rPr>
        <w:t>батарейних</w:t>
      </w:r>
      <w:proofErr w:type="spellEnd"/>
      <w:r w:rsidRPr="00621187">
        <w:rPr>
          <w:b/>
          <w:bCs/>
          <w:sz w:val="24"/>
          <w:szCs w:val="24"/>
          <w:lang w:val="ru-RU"/>
        </w:rPr>
        <w:t xml:space="preserve"> </w:t>
      </w:r>
      <w:proofErr w:type="spellStart"/>
      <w:r w:rsidRPr="00621187">
        <w:rPr>
          <w:b/>
          <w:bCs/>
          <w:sz w:val="24"/>
          <w:szCs w:val="24"/>
          <w:lang w:val="ru-RU"/>
        </w:rPr>
        <w:t>модулів</w:t>
      </w:r>
      <w:proofErr w:type="spellEnd"/>
      <w:r w:rsidRPr="00621187">
        <w:rPr>
          <w:b/>
          <w:bCs/>
          <w:sz w:val="24"/>
          <w:szCs w:val="24"/>
          <w:lang w:val="ru-RU"/>
        </w:rPr>
        <w:t xml:space="preserve"> до ДБЖ – 1 шт.</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2238"/>
        <w:gridCol w:w="6816"/>
      </w:tblGrid>
      <w:tr w:rsidR="00621187" w:rsidRPr="00621187" w:rsidTr="00E01AB1">
        <w:trPr>
          <w:trHeight w:val="239"/>
          <w:jc w:val="center"/>
        </w:trPr>
        <w:tc>
          <w:tcPr>
            <w:tcW w:w="877"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rPr>
                <w:b/>
                <w:bCs/>
                <w:sz w:val="24"/>
                <w:szCs w:val="24"/>
                <w:lang w:val="en-US"/>
              </w:rPr>
            </w:pPr>
            <w:r w:rsidRPr="00621187">
              <w:rPr>
                <w:b/>
                <w:bCs/>
                <w:sz w:val="24"/>
                <w:szCs w:val="24"/>
                <w:lang w:val="en-US"/>
              </w:rPr>
              <w:t>№ з/п</w:t>
            </w:r>
          </w:p>
        </w:tc>
        <w:tc>
          <w:tcPr>
            <w:tcW w:w="2279" w:type="dxa"/>
            <w:tcBorders>
              <w:top w:val="single" w:sz="4" w:space="0" w:color="auto"/>
              <w:left w:val="single" w:sz="4" w:space="0" w:color="auto"/>
              <w:bottom w:val="single" w:sz="4" w:space="0" w:color="auto"/>
              <w:right w:val="single" w:sz="4" w:space="0" w:color="auto"/>
            </w:tcBorders>
            <w:vAlign w:val="center"/>
          </w:tcPr>
          <w:p w:rsidR="00621187" w:rsidRPr="00621187" w:rsidRDefault="00621187" w:rsidP="00621187">
            <w:pPr>
              <w:spacing w:after="0"/>
              <w:rPr>
                <w:b/>
                <w:bCs/>
                <w:sz w:val="24"/>
                <w:szCs w:val="24"/>
                <w:lang w:val="en-US"/>
              </w:rPr>
            </w:pPr>
            <w:proofErr w:type="spellStart"/>
            <w:r w:rsidRPr="00621187">
              <w:rPr>
                <w:b/>
                <w:bCs/>
                <w:sz w:val="24"/>
                <w:szCs w:val="24"/>
                <w:lang w:val="en-US"/>
              </w:rPr>
              <w:t>Назва</w:t>
            </w:r>
            <w:proofErr w:type="spellEnd"/>
          </w:p>
        </w:tc>
        <w:tc>
          <w:tcPr>
            <w:tcW w:w="6950" w:type="dxa"/>
            <w:tcBorders>
              <w:top w:val="single" w:sz="4" w:space="0" w:color="auto"/>
              <w:left w:val="single" w:sz="4" w:space="0" w:color="auto"/>
              <w:bottom w:val="single" w:sz="4" w:space="0" w:color="auto"/>
              <w:right w:val="single" w:sz="4" w:space="0" w:color="auto"/>
            </w:tcBorders>
            <w:vAlign w:val="center"/>
          </w:tcPr>
          <w:p w:rsidR="00621187" w:rsidRPr="00621187" w:rsidRDefault="00621187" w:rsidP="00621187">
            <w:pPr>
              <w:spacing w:after="0"/>
              <w:rPr>
                <w:b/>
                <w:bCs/>
                <w:sz w:val="24"/>
                <w:szCs w:val="24"/>
              </w:rPr>
            </w:pPr>
            <w:proofErr w:type="spellStart"/>
            <w:r w:rsidRPr="00621187">
              <w:rPr>
                <w:b/>
                <w:bCs/>
                <w:sz w:val="24"/>
                <w:szCs w:val="24"/>
                <w:lang w:val="en-US"/>
              </w:rPr>
              <w:t>Вимоги</w:t>
            </w:r>
            <w:proofErr w:type="spellEnd"/>
            <w:r w:rsidRPr="00621187">
              <w:rPr>
                <w:b/>
                <w:bCs/>
                <w:sz w:val="24"/>
                <w:szCs w:val="24"/>
              </w:rPr>
              <w:t xml:space="preserve"> до компонентів</w:t>
            </w:r>
          </w:p>
        </w:tc>
      </w:tr>
      <w:tr w:rsidR="00621187" w:rsidRPr="00621187" w:rsidTr="00E01AB1">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ind w:left="164"/>
              <w:rPr>
                <w:sz w:val="24"/>
                <w:szCs w:val="24"/>
                <w:lang w:val="en-US"/>
              </w:rPr>
            </w:pPr>
            <w:r w:rsidRPr="00621187">
              <w:rPr>
                <w:sz w:val="24"/>
                <w:szCs w:val="24"/>
                <w:lang w:val="en-US"/>
              </w:rPr>
              <w:t>1.</w:t>
            </w:r>
          </w:p>
        </w:tc>
        <w:tc>
          <w:tcPr>
            <w:tcW w:w="2279"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rPr>
                <w:sz w:val="24"/>
                <w:szCs w:val="24"/>
              </w:rPr>
            </w:pPr>
            <w:r w:rsidRPr="00621187">
              <w:rPr>
                <w:sz w:val="24"/>
                <w:szCs w:val="24"/>
              </w:rPr>
              <w:t>Стислий опис</w:t>
            </w:r>
          </w:p>
        </w:tc>
        <w:tc>
          <w:tcPr>
            <w:tcW w:w="6950"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jc w:val="both"/>
              <w:rPr>
                <w:sz w:val="24"/>
                <w:szCs w:val="24"/>
              </w:rPr>
            </w:pPr>
            <w:r w:rsidRPr="00621187">
              <w:rPr>
                <w:sz w:val="24"/>
                <w:szCs w:val="24"/>
              </w:rPr>
              <w:t xml:space="preserve">Оригінальний змінний акумуляторний картридж (батарейний модуль) APCRBC140 </w:t>
            </w:r>
            <w:proofErr w:type="spellStart"/>
            <w:r w:rsidRPr="00621187">
              <w:rPr>
                <w:sz w:val="24"/>
                <w:szCs w:val="24"/>
              </w:rPr>
              <w:t>суміснісний</w:t>
            </w:r>
            <w:proofErr w:type="spellEnd"/>
            <w:r w:rsidRPr="00621187">
              <w:rPr>
                <w:sz w:val="24"/>
                <w:szCs w:val="24"/>
              </w:rPr>
              <w:t xml:space="preserve"> із конкретним ДБЖ APC . Комплект поставляється повністю зібраним у кількості оригінальних картриджів з оригінальних компонентів і готовим до встановлення, </w:t>
            </w:r>
            <w:proofErr w:type="spellStart"/>
            <w:r w:rsidRPr="00621187">
              <w:rPr>
                <w:sz w:val="24"/>
                <w:szCs w:val="24"/>
              </w:rPr>
              <w:t>пусконалагодження</w:t>
            </w:r>
            <w:proofErr w:type="spellEnd"/>
            <w:r w:rsidRPr="00621187">
              <w:rPr>
                <w:sz w:val="24"/>
                <w:szCs w:val="24"/>
              </w:rPr>
              <w:t xml:space="preserve"> та використання.</w:t>
            </w:r>
          </w:p>
          <w:p w:rsidR="00621187" w:rsidRPr="00621187" w:rsidRDefault="00621187" w:rsidP="00621187">
            <w:pPr>
              <w:spacing w:after="0"/>
              <w:jc w:val="both"/>
              <w:rPr>
                <w:b/>
                <w:sz w:val="24"/>
                <w:szCs w:val="24"/>
              </w:rPr>
            </w:pPr>
            <w:r w:rsidRPr="00621187">
              <w:rPr>
                <w:b/>
                <w:sz w:val="24"/>
                <w:szCs w:val="24"/>
              </w:rPr>
              <w:t xml:space="preserve">Повна сумісність та відповідність кількості наявним у замовника джерел безперебійного живлення APC </w:t>
            </w:r>
            <w:proofErr w:type="spellStart"/>
            <w:r w:rsidRPr="00621187">
              <w:rPr>
                <w:b/>
                <w:sz w:val="24"/>
                <w:szCs w:val="24"/>
              </w:rPr>
              <w:t>Smart</w:t>
            </w:r>
            <w:proofErr w:type="spellEnd"/>
            <w:r w:rsidRPr="00621187">
              <w:rPr>
                <w:b/>
                <w:sz w:val="24"/>
                <w:szCs w:val="24"/>
              </w:rPr>
              <w:t xml:space="preserve">-UPS SRT 10000VA – 2 шт. та </w:t>
            </w:r>
            <w:proofErr w:type="spellStart"/>
            <w:r w:rsidRPr="00621187">
              <w:rPr>
                <w:b/>
                <w:sz w:val="24"/>
                <w:szCs w:val="24"/>
              </w:rPr>
              <w:t>Smart</w:t>
            </w:r>
            <w:proofErr w:type="spellEnd"/>
            <w:r w:rsidRPr="00621187">
              <w:rPr>
                <w:b/>
                <w:sz w:val="24"/>
                <w:szCs w:val="24"/>
              </w:rPr>
              <w:t>-UPS RT 8000VA – 4 шт.</w:t>
            </w:r>
          </w:p>
          <w:p w:rsidR="00621187" w:rsidRPr="00621187" w:rsidRDefault="00621187" w:rsidP="00621187">
            <w:pPr>
              <w:spacing w:after="0"/>
              <w:jc w:val="both"/>
              <w:rPr>
                <w:sz w:val="24"/>
                <w:szCs w:val="24"/>
              </w:rPr>
            </w:pPr>
            <w:r w:rsidRPr="00621187">
              <w:rPr>
                <w:sz w:val="24"/>
                <w:szCs w:val="24"/>
              </w:rPr>
              <w:t xml:space="preserve">Встановлення, </w:t>
            </w:r>
            <w:proofErr w:type="spellStart"/>
            <w:r w:rsidRPr="00621187">
              <w:rPr>
                <w:sz w:val="24"/>
                <w:szCs w:val="24"/>
              </w:rPr>
              <w:t>пусконалагодження</w:t>
            </w:r>
            <w:proofErr w:type="spellEnd"/>
            <w:r w:rsidRPr="00621187">
              <w:rPr>
                <w:sz w:val="24"/>
                <w:szCs w:val="24"/>
              </w:rPr>
              <w:t xml:space="preserve"> та запуск обладнання на місці експлуатації, що експлуатується і передбачає:</w:t>
            </w:r>
          </w:p>
          <w:p w:rsidR="00621187" w:rsidRPr="00621187" w:rsidRDefault="00621187" w:rsidP="00621187">
            <w:pPr>
              <w:spacing w:after="0"/>
              <w:jc w:val="both"/>
              <w:rPr>
                <w:sz w:val="24"/>
                <w:szCs w:val="24"/>
              </w:rPr>
            </w:pPr>
            <w:r w:rsidRPr="00621187">
              <w:rPr>
                <w:sz w:val="24"/>
                <w:szCs w:val="24"/>
              </w:rPr>
              <w:t xml:space="preserve">Планування та координацію виконання заміни та </w:t>
            </w:r>
            <w:proofErr w:type="spellStart"/>
            <w:r w:rsidRPr="00621187">
              <w:rPr>
                <w:sz w:val="24"/>
                <w:szCs w:val="24"/>
              </w:rPr>
              <w:t>пусконалагодження</w:t>
            </w:r>
            <w:proofErr w:type="spellEnd"/>
            <w:r w:rsidRPr="00621187">
              <w:rPr>
                <w:sz w:val="24"/>
                <w:szCs w:val="24"/>
              </w:rPr>
              <w:t xml:space="preserve"> з представниками Замовника, включаючи перевірку необхідних умов, узгодження часу виконання, проведення попередньої консультації для уточнення потреб Замовника, складання плану встановлення.</w:t>
            </w:r>
          </w:p>
          <w:p w:rsidR="00621187" w:rsidRPr="00621187" w:rsidRDefault="00621187" w:rsidP="00621187">
            <w:pPr>
              <w:spacing w:after="0"/>
              <w:jc w:val="both"/>
              <w:rPr>
                <w:sz w:val="24"/>
                <w:szCs w:val="24"/>
              </w:rPr>
            </w:pPr>
            <w:r w:rsidRPr="00621187">
              <w:rPr>
                <w:sz w:val="24"/>
                <w:szCs w:val="24"/>
              </w:rPr>
              <w:lastRenderedPageBreak/>
              <w:t>Встановлення та розгортання рішення, включаючи встановлення батарейних модулів у шафи/відсіки, підключення батарейних модулів до джерела безперебійного живлення, перший запуск обладнання, тестування системи в цілому під навантаженням при вимкненні електроживлення від ІТ обладнання з коректним згортанням на ньому запущених процесів.</w:t>
            </w:r>
          </w:p>
          <w:p w:rsidR="00621187" w:rsidRPr="00621187" w:rsidRDefault="00621187" w:rsidP="00621187">
            <w:pPr>
              <w:spacing w:after="0"/>
              <w:jc w:val="both"/>
              <w:rPr>
                <w:sz w:val="24"/>
                <w:szCs w:val="24"/>
              </w:rPr>
            </w:pPr>
            <w:r w:rsidRPr="00621187">
              <w:rPr>
                <w:sz w:val="24"/>
                <w:szCs w:val="24"/>
              </w:rPr>
              <w:t>Підготовка до експлуатації, включно демонстрацію основних операцій; надання інформації щодо можливостей гарантійного обслуговування та як звернутися до системи технічної підтримки виробника, надання відповідей на оперативні запитання.</w:t>
            </w:r>
          </w:p>
        </w:tc>
      </w:tr>
      <w:tr w:rsidR="00621187" w:rsidRPr="00621187" w:rsidTr="00E01AB1">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ind w:left="166"/>
              <w:rPr>
                <w:sz w:val="24"/>
                <w:szCs w:val="24"/>
              </w:rPr>
            </w:pPr>
            <w:r w:rsidRPr="00621187">
              <w:rPr>
                <w:sz w:val="24"/>
                <w:szCs w:val="24"/>
              </w:rPr>
              <w:lastRenderedPageBreak/>
              <w:t>2.</w:t>
            </w:r>
          </w:p>
        </w:tc>
        <w:tc>
          <w:tcPr>
            <w:tcW w:w="2279"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rPr>
                <w:sz w:val="24"/>
                <w:szCs w:val="24"/>
              </w:rPr>
            </w:pPr>
            <w:r w:rsidRPr="00621187">
              <w:rPr>
                <w:sz w:val="24"/>
                <w:szCs w:val="24"/>
              </w:rPr>
              <w:t>Фізичний розмір</w:t>
            </w:r>
          </w:p>
        </w:tc>
        <w:tc>
          <w:tcPr>
            <w:tcW w:w="6950"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rPr>
                <w:sz w:val="24"/>
                <w:szCs w:val="24"/>
              </w:rPr>
            </w:pPr>
            <w:r w:rsidRPr="00621187">
              <w:rPr>
                <w:sz w:val="24"/>
                <w:szCs w:val="24"/>
              </w:rPr>
              <w:t>597х122х197 мм (</w:t>
            </w:r>
            <w:proofErr w:type="spellStart"/>
            <w:r w:rsidRPr="00621187">
              <w:rPr>
                <w:sz w:val="24"/>
                <w:szCs w:val="24"/>
              </w:rPr>
              <w:t>ГхВхШ</w:t>
            </w:r>
            <w:proofErr w:type="spellEnd"/>
            <w:r w:rsidRPr="00621187">
              <w:rPr>
                <w:sz w:val="24"/>
                <w:szCs w:val="24"/>
              </w:rPr>
              <w:t>)</w:t>
            </w:r>
          </w:p>
        </w:tc>
      </w:tr>
      <w:tr w:rsidR="00621187" w:rsidRPr="00621187" w:rsidTr="00E01AB1">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ind w:left="166"/>
              <w:rPr>
                <w:sz w:val="24"/>
                <w:szCs w:val="24"/>
              </w:rPr>
            </w:pPr>
            <w:r w:rsidRPr="00621187">
              <w:rPr>
                <w:sz w:val="24"/>
                <w:szCs w:val="24"/>
              </w:rPr>
              <w:t>3.</w:t>
            </w:r>
          </w:p>
        </w:tc>
        <w:tc>
          <w:tcPr>
            <w:tcW w:w="2279"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rPr>
                <w:sz w:val="24"/>
                <w:szCs w:val="24"/>
              </w:rPr>
            </w:pPr>
            <w:r w:rsidRPr="00621187">
              <w:rPr>
                <w:sz w:val="24"/>
                <w:szCs w:val="24"/>
              </w:rPr>
              <w:t>Тип</w:t>
            </w:r>
          </w:p>
        </w:tc>
        <w:tc>
          <w:tcPr>
            <w:tcW w:w="6950"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rPr>
                <w:sz w:val="24"/>
                <w:szCs w:val="24"/>
              </w:rPr>
            </w:pPr>
            <w:r w:rsidRPr="00621187">
              <w:rPr>
                <w:sz w:val="24"/>
                <w:szCs w:val="24"/>
              </w:rPr>
              <w:t>Свинцево-кислотна акумуляторна батарея</w:t>
            </w:r>
          </w:p>
        </w:tc>
      </w:tr>
      <w:tr w:rsidR="00621187" w:rsidRPr="00621187" w:rsidTr="00E01AB1">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ind w:left="166"/>
              <w:rPr>
                <w:sz w:val="24"/>
                <w:szCs w:val="24"/>
                <w:lang w:val="en-US"/>
              </w:rPr>
            </w:pPr>
            <w:r w:rsidRPr="00621187">
              <w:rPr>
                <w:sz w:val="24"/>
                <w:szCs w:val="24"/>
              </w:rPr>
              <w:t>4</w:t>
            </w:r>
            <w:r w:rsidRPr="00621187">
              <w:rPr>
                <w:sz w:val="24"/>
                <w:szCs w:val="24"/>
                <w:lang w:val="en-US"/>
              </w:rPr>
              <w:t>.</w:t>
            </w:r>
          </w:p>
        </w:tc>
        <w:tc>
          <w:tcPr>
            <w:tcW w:w="2279"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rPr>
                <w:sz w:val="24"/>
                <w:szCs w:val="24"/>
              </w:rPr>
            </w:pPr>
            <w:r w:rsidRPr="00621187">
              <w:rPr>
                <w:sz w:val="24"/>
                <w:szCs w:val="24"/>
              </w:rPr>
              <w:t>Тип виробу або компоненту</w:t>
            </w:r>
          </w:p>
        </w:tc>
        <w:tc>
          <w:tcPr>
            <w:tcW w:w="6950"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rPr>
                <w:sz w:val="24"/>
                <w:szCs w:val="24"/>
              </w:rPr>
            </w:pPr>
            <w:proofErr w:type="spellStart"/>
            <w:r w:rsidRPr="00621187">
              <w:rPr>
                <w:sz w:val="24"/>
                <w:szCs w:val="24"/>
              </w:rPr>
              <w:t>Replacement</w:t>
            </w:r>
            <w:proofErr w:type="spellEnd"/>
            <w:r w:rsidRPr="00621187">
              <w:rPr>
                <w:sz w:val="24"/>
                <w:szCs w:val="24"/>
              </w:rPr>
              <w:t xml:space="preserve"> </w:t>
            </w:r>
            <w:proofErr w:type="spellStart"/>
            <w:r w:rsidRPr="00621187">
              <w:rPr>
                <w:sz w:val="24"/>
                <w:szCs w:val="24"/>
              </w:rPr>
              <w:t>battery</w:t>
            </w:r>
            <w:proofErr w:type="spellEnd"/>
            <w:r w:rsidRPr="00621187">
              <w:rPr>
                <w:sz w:val="24"/>
                <w:szCs w:val="24"/>
              </w:rPr>
              <w:t xml:space="preserve"> </w:t>
            </w:r>
            <w:proofErr w:type="spellStart"/>
            <w:r w:rsidRPr="00621187">
              <w:rPr>
                <w:sz w:val="24"/>
                <w:szCs w:val="24"/>
              </w:rPr>
              <w:t>cartridge</w:t>
            </w:r>
            <w:proofErr w:type="spellEnd"/>
          </w:p>
        </w:tc>
      </w:tr>
      <w:tr w:rsidR="00621187" w:rsidRPr="00621187" w:rsidTr="00E01AB1">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ind w:left="166"/>
              <w:rPr>
                <w:sz w:val="24"/>
                <w:szCs w:val="24"/>
                <w:lang w:val="en-US"/>
              </w:rPr>
            </w:pPr>
            <w:r w:rsidRPr="00621187">
              <w:rPr>
                <w:sz w:val="24"/>
                <w:szCs w:val="24"/>
              </w:rPr>
              <w:t>5</w:t>
            </w:r>
            <w:r w:rsidRPr="00621187">
              <w:rPr>
                <w:sz w:val="24"/>
                <w:szCs w:val="24"/>
                <w:lang w:val="en-US"/>
              </w:rPr>
              <w:t>.</w:t>
            </w:r>
          </w:p>
        </w:tc>
        <w:tc>
          <w:tcPr>
            <w:tcW w:w="2279"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rPr>
                <w:sz w:val="24"/>
                <w:szCs w:val="24"/>
              </w:rPr>
            </w:pPr>
            <w:r w:rsidRPr="00621187">
              <w:rPr>
                <w:sz w:val="24"/>
                <w:szCs w:val="24"/>
              </w:rPr>
              <w:t>Напруга батареї</w:t>
            </w:r>
          </w:p>
        </w:tc>
        <w:tc>
          <w:tcPr>
            <w:tcW w:w="6950"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rPr>
                <w:sz w:val="24"/>
                <w:szCs w:val="24"/>
              </w:rPr>
            </w:pPr>
            <w:r w:rsidRPr="00621187">
              <w:rPr>
                <w:sz w:val="24"/>
                <w:szCs w:val="24"/>
              </w:rPr>
              <w:t>192 В</w:t>
            </w:r>
          </w:p>
        </w:tc>
      </w:tr>
      <w:tr w:rsidR="00621187" w:rsidRPr="00621187" w:rsidTr="00E01AB1">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ind w:left="166"/>
              <w:rPr>
                <w:sz w:val="24"/>
                <w:szCs w:val="24"/>
                <w:lang w:val="en-US"/>
              </w:rPr>
            </w:pPr>
            <w:r w:rsidRPr="00621187">
              <w:rPr>
                <w:sz w:val="24"/>
                <w:szCs w:val="24"/>
                <w:lang w:val="en-US"/>
              </w:rPr>
              <w:t>6.</w:t>
            </w:r>
          </w:p>
        </w:tc>
        <w:tc>
          <w:tcPr>
            <w:tcW w:w="2279"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rPr>
                <w:sz w:val="24"/>
                <w:szCs w:val="24"/>
              </w:rPr>
            </w:pPr>
            <w:r w:rsidRPr="00621187">
              <w:rPr>
                <w:sz w:val="24"/>
                <w:szCs w:val="24"/>
              </w:rPr>
              <w:t>Робоча температура навколишнього середовища</w:t>
            </w:r>
          </w:p>
        </w:tc>
        <w:tc>
          <w:tcPr>
            <w:tcW w:w="6950"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rPr>
                <w:sz w:val="24"/>
                <w:szCs w:val="24"/>
              </w:rPr>
            </w:pPr>
            <w:r w:rsidRPr="00621187">
              <w:rPr>
                <w:sz w:val="24"/>
                <w:szCs w:val="24"/>
              </w:rPr>
              <w:t>0…40⁰С</w:t>
            </w:r>
          </w:p>
        </w:tc>
      </w:tr>
      <w:tr w:rsidR="00621187" w:rsidRPr="00621187" w:rsidTr="00E01AB1">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ind w:left="166"/>
              <w:rPr>
                <w:sz w:val="24"/>
                <w:szCs w:val="24"/>
                <w:lang w:val="en-US"/>
              </w:rPr>
            </w:pPr>
            <w:r w:rsidRPr="00621187">
              <w:rPr>
                <w:sz w:val="24"/>
                <w:szCs w:val="24"/>
              </w:rPr>
              <w:t>7.</w:t>
            </w:r>
          </w:p>
        </w:tc>
        <w:tc>
          <w:tcPr>
            <w:tcW w:w="2279" w:type="dxa"/>
            <w:tcBorders>
              <w:top w:val="single" w:sz="8" w:space="0" w:color="auto"/>
              <w:left w:val="single" w:sz="8" w:space="0" w:color="auto"/>
              <w:bottom w:val="single" w:sz="8" w:space="0" w:color="auto"/>
              <w:right w:val="single" w:sz="8" w:space="0" w:color="auto"/>
            </w:tcBorders>
          </w:tcPr>
          <w:p w:rsidR="00621187" w:rsidRPr="00621187" w:rsidRDefault="00621187" w:rsidP="00621187">
            <w:pPr>
              <w:spacing w:after="0"/>
              <w:rPr>
                <w:sz w:val="24"/>
                <w:szCs w:val="24"/>
              </w:rPr>
            </w:pPr>
            <w:r w:rsidRPr="00621187">
              <w:rPr>
                <w:sz w:val="24"/>
                <w:szCs w:val="24"/>
              </w:rPr>
              <w:t xml:space="preserve">Вага </w:t>
            </w:r>
            <w:proofErr w:type="spellStart"/>
            <w:r w:rsidRPr="00621187">
              <w:rPr>
                <w:sz w:val="24"/>
                <w:szCs w:val="24"/>
              </w:rPr>
              <w:t>нетто</w:t>
            </w:r>
            <w:proofErr w:type="spellEnd"/>
          </w:p>
        </w:tc>
        <w:tc>
          <w:tcPr>
            <w:tcW w:w="6950" w:type="dxa"/>
            <w:tcBorders>
              <w:top w:val="single" w:sz="8" w:space="0" w:color="auto"/>
              <w:left w:val="single" w:sz="8" w:space="0" w:color="auto"/>
              <w:bottom w:val="single" w:sz="8" w:space="0" w:color="auto"/>
              <w:right w:val="single" w:sz="8" w:space="0" w:color="auto"/>
            </w:tcBorders>
          </w:tcPr>
          <w:p w:rsidR="00621187" w:rsidRPr="00621187" w:rsidRDefault="00621187" w:rsidP="00621187">
            <w:pPr>
              <w:spacing w:after="0"/>
              <w:rPr>
                <w:sz w:val="24"/>
                <w:szCs w:val="24"/>
              </w:rPr>
            </w:pPr>
            <w:r w:rsidRPr="00621187">
              <w:rPr>
                <w:sz w:val="24"/>
                <w:szCs w:val="24"/>
              </w:rPr>
              <w:t>Не менше 34 кг</w:t>
            </w:r>
          </w:p>
        </w:tc>
      </w:tr>
      <w:tr w:rsidR="00621187" w:rsidRPr="00621187" w:rsidTr="00E01AB1">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ind w:left="166"/>
              <w:rPr>
                <w:sz w:val="24"/>
                <w:szCs w:val="24"/>
              </w:rPr>
            </w:pPr>
            <w:r w:rsidRPr="00621187">
              <w:rPr>
                <w:sz w:val="24"/>
                <w:szCs w:val="24"/>
              </w:rPr>
              <w:t>8.</w:t>
            </w:r>
          </w:p>
        </w:tc>
        <w:tc>
          <w:tcPr>
            <w:tcW w:w="2279" w:type="dxa"/>
            <w:tcBorders>
              <w:top w:val="single" w:sz="8" w:space="0" w:color="auto"/>
              <w:left w:val="single" w:sz="8" w:space="0" w:color="auto"/>
              <w:bottom w:val="single" w:sz="8" w:space="0" w:color="auto"/>
              <w:right w:val="single" w:sz="8" w:space="0" w:color="auto"/>
            </w:tcBorders>
          </w:tcPr>
          <w:p w:rsidR="00621187" w:rsidRPr="00621187" w:rsidRDefault="00621187" w:rsidP="00621187">
            <w:pPr>
              <w:spacing w:after="0"/>
              <w:rPr>
                <w:sz w:val="24"/>
                <w:szCs w:val="24"/>
              </w:rPr>
            </w:pPr>
            <w:r w:rsidRPr="00621187">
              <w:rPr>
                <w:sz w:val="24"/>
                <w:szCs w:val="24"/>
              </w:rPr>
              <w:t>Інформація про сертифікації та стандарти</w:t>
            </w:r>
          </w:p>
        </w:tc>
        <w:tc>
          <w:tcPr>
            <w:tcW w:w="6950" w:type="dxa"/>
            <w:tcBorders>
              <w:top w:val="single" w:sz="8" w:space="0" w:color="auto"/>
              <w:left w:val="single" w:sz="8" w:space="0" w:color="auto"/>
              <w:bottom w:val="single" w:sz="8" w:space="0" w:color="auto"/>
              <w:right w:val="single" w:sz="8" w:space="0" w:color="auto"/>
            </w:tcBorders>
          </w:tcPr>
          <w:p w:rsidR="00621187" w:rsidRPr="00621187" w:rsidRDefault="00621187" w:rsidP="00621187">
            <w:pPr>
              <w:spacing w:after="0"/>
              <w:rPr>
                <w:sz w:val="24"/>
                <w:szCs w:val="24"/>
              </w:rPr>
            </w:pPr>
            <w:r w:rsidRPr="00621187">
              <w:rPr>
                <w:sz w:val="24"/>
                <w:szCs w:val="24"/>
              </w:rPr>
              <w:t xml:space="preserve">Регламент </w:t>
            </w:r>
            <w:proofErr w:type="spellStart"/>
            <w:r w:rsidRPr="00621187">
              <w:rPr>
                <w:sz w:val="24"/>
                <w:szCs w:val="24"/>
              </w:rPr>
              <w:t>REACh</w:t>
            </w:r>
            <w:proofErr w:type="spellEnd"/>
          </w:p>
          <w:p w:rsidR="00621187" w:rsidRPr="00621187" w:rsidRDefault="00621187" w:rsidP="00621187">
            <w:pPr>
              <w:spacing w:after="0"/>
              <w:rPr>
                <w:sz w:val="24"/>
                <w:szCs w:val="24"/>
                <w:lang w:val="ru-RU"/>
              </w:rPr>
            </w:pPr>
            <w:r w:rsidRPr="00621187">
              <w:rPr>
                <w:sz w:val="24"/>
                <w:szCs w:val="24"/>
              </w:rPr>
              <w:t xml:space="preserve">Директива ЄС </w:t>
            </w:r>
            <w:proofErr w:type="spellStart"/>
            <w:r w:rsidRPr="00621187">
              <w:rPr>
                <w:sz w:val="24"/>
                <w:szCs w:val="24"/>
              </w:rPr>
              <w:t>RoHS</w:t>
            </w:r>
            <w:proofErr w:type="spellEnd"/>
          </w:p>
        </w:tc>
      </w:tr>
      <w:tr w:rsidR="00621187" w:rsidRPr="00621187" w:rsidTr="00E01AB1">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621187" w:rsidRPr="00621187" w:rsidRDefault="00621187" w:rsidP="00621187">
            <w:pPr>
              <w:spacing w:after="0"/>
              <w:ind w:left="166"/>
              <w:rPr>
                <w:sz w:val="24"/>
                <w:szCs w:val="24"/>
              </w:rPr>
            </w:pPr>
            <w:r w:rsidRPr="00621187">
              <w:rPr>
                <w:sz w:val="24"/>
                <w:szCs w:val="24"/>
              </w:rPr>
              <w:t>9</w:t>
            </w:r>
            <w:r w:rsidRPr="00621187">
              <w:rPr>
                <w:sz w:val="24"/>
                <w:szCs w:val="24"/>
                <w:lang w:val="en-US"/>
              </w:rPr>
              <w:t>.</w:t>
            </w:r>
          </w:p>
        </w:tc>
        <w:tc>
          <w:tcPr>
            <w:tcW w:w="2279" w:type="dxa"/>
            <w:tcBorders>
              <w:top w:val="single" w:sz="8" w:space="0" w:color="auto"/>
              <w:left w:val="single" w:sz="8" w:space="0" w:color="auto"/>
              <w:bottom w:val="single" w:sz="8" w:space="0" w:color="auto"/>
              <w:right w:val="single" w:sz="8" w:space="0" w:color="auto"/>
            </w:tcBorders>
          </w:tcPr>
          <w:p w:rsidR="00621187" w:rsidRPr="00621187" w:rsidRDefault="00621187" w:rsidP="00621187">
            <w:pPr>
              <w:spacing w:after="0"/>
              <w:rPr>
                <w:b/>
                <w:sz w:val="24"/>
                <w:szCs w:val="24"/>
              </w:rPr>
            </w:pPr>
            <w:r w:rsidRPr="00621187">
              <w:rPr>
                <w:b/>
                <w:sz w:val="24"/>
                <w:szCs w:val="24"/>
              </w:rPr>
              <w:t>Строк служби, не менше</w:t>
            </w:r>
          </w:p>
        </w:tc>
        <w:tc>
          <w:tcPr>
            <w:tcW w:w="6950" w:type="dxa"/>
            <w:tcBorders>
              <w:top w:val="single" w:sz="8" w:space="0" w:color="auto"/>
              <w:left w:val="single" w:sz="8" w:space="0" w:color="auto"/>
              <w:bottom w:val="single" w:sz="8" w:space="0" w:color="auto"/>
              <w:right w:val="single" w:sz="8" w:space="0" w:color="auto"/>
            </w:tcBorders>
          </w:tcPr>
          <w:p w:rsidR="00621187" w:rsidRPr="00621187" w:rsidRDefault="00621187" w:rsidP="00621187">
            <w:pPr>
              <w:spacing w:after="0"/>
              <w:rPr>
                <w:b/>
                <w:sz w:val="24"/>
                <w:szCs w:val="24"/>
              </w:rPr>
            </w:pPr>
            <w:r w:rsidRPr="00621187">
              <w:rPr>
                <w:b/>
                <w:sz w:val="24"/>
                <w:szCs w:val="24"/>
              </w:rPr>
              <w:t>3-5 років</w:t>
            </w:r>
          </w:p>
        </w:tc>
      </w:tr>
    </w:tbl>
    <w:p w:rsidR="00621187" w:rsidRPr="00621187" w:rsidRDefault="00621187" w:rsidP="00621187">
      <w:pPr>
        <w:spacing w:after="0"/>
        <w:jc w:val="both"/>
        <w:rPr>
          <w:b/>
          <w:bCs/>
          <w:sz w:val="24"/>
          <w:szCs w:val="24"/>
        </w:rPr>
      </w:pPr>
      <w:r w:rsidRPr="00621187">
        <w:rPr>
          <w:b/>
          <w:sz w:val="24"/>
          <w:szCs w:val="24"/>
        </w:rPr>
        <w:t xml:space="preserve">Встановлені вимоги є НЕОБХІДНИМИ, оскільки ДБЖ APC </w:t>
      </w:r>
      <w:proofErr w:type="spellStart"/>
      <w:r w:rsidRPr="00621187">
        <w:rPr>
          <w:b/>
          <w:sz w:val="24"/>
          <w:szCs w:val="24"/>
        </w:rPr>
        <w:t>Smart</w:t>
      </w:r>
      <w:proofErr w:type="spellEnd"/>
      <w:r w:rsidRPr="00621187">
        <w:rPr>
          <w:b/>
          <w:sz w:val="24"/>
          <w:szCs w:val="24"/>
        </w:rPr>
        <w:t xml:space="preserve">-UPS SRT 10000VA  та </w:t>
      </w:r>
      <w:proofErr w:type="spellStart"/>
      <w:r w:rsidRPr="00621187">
        <w:rPr>
          <w:b/>
          <w:sz w:val="24"/>
          <w:szCs w:val="24"/>
        </w:rPr>
        <w:t>Smart</w:t>
      </w:r>
      <w:proofErr w:type="spellEnd"/>
      <w:r w:rsidRPr="00621187">
        <w:rPr>
          <w:b/>
          <w:sz w:val="24"/>
          <w:szCs w:val="24"/>
        </w:rPr>
        <w:t>-UPS RT 8000VA використовуються для проведення високоточних досліджень на обладнанні лабораторії фармацевтичного аналізу, такому як високоефективний рідинний хроматограф, атомно-абсорбційний спектрометр, ультрафіолетовий спектрофотометр, і повинні ГАРАНТОВАНО ЗАБЕЗПЕЧУВАТИ БЕЗПЕРЕБІЙНУ РОБОТУ ЗАЗНАЧЕНОГО ОБЛАДНАННЯ!!</w:t>
      </w:r>
    </w:p>
    <w:p w:rsidR="00621187" w:rsidRPr="00621187" w:rsidRDefault="00621187" w:rsidP="00621187">
      <w:pPr>
        <w:spacing w:after="0"/>
        <w:rPr>
          <w:b/>
          <w:bCs/>
          <w:sz w:val="24"/>
          <w:szCs w:val="24"/>
        </w:rPr>
      </w:pPr>
    </w:p>
    <w:bookmarkEnd w:id="2"/>
    <w:p w:rsidR="00621187" w:rsidRPr="00621187" w:rsidRDefault="00621187" w:rsidP="00621187">
      <w:pPr>
        <w:widowControl w:val="0"/>
        <w:snapToGrid w:val="0"/>
        <w:spacing w:after="0"/>
        <w:ind w:firstLine="567"/>
        <w:jc w:val="both"/>
        <w:rPr>
          <w:sz w:val="24"/>
          <w:szCs w:val="24"/>
        </w:rPr>
      </w:pPr>
      <w:r w:rsidRPr="00621187">
        <w:rPr>
          <w:sz w:val="24"/>
          <w:szCs w:val="24"/>
        </w:rPr>
        <w:t>Учасник має надати гарантійний лист про відповідність запропонованого товару вимогам до предмету закупівлі та відповідність технічним вимогам, визначеним у додатку 4 до тендерної документації.</w:t>
      </w:r>
    </w:p>
    <w:p w:rsidR="00621187" w:rsidRPr="00621187" w:rsidRDefault="00621187" w:rsidP="00621187">
      <w:pPr>
        <w:widowControl w:val="0"/>
        <w:snapToGrid w:val="0"/>
        <w:spacing w:after="0"/>
        <w:ind w:firstLine="567"/>
        <w:jc w:val="both"/>
        <w:rPr>
          <w:sz w:val="24"/>
          <w:szCs w:val="24"/>
        </w:rPr>
      </w:pPr>
      <w:r w:rsidRPr="00621187">
        <w:rPr>
          <w:sz w:val="24"/>
          <w:szCs w:val="24"/>
        </w:rPr>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621187" w:rsidRPr="00621187" w:rsidRDefault="00621187" w:rsidP="00621187">
      <w:pPr>
        <w:widowControl w:val="0"/>
        <w:snapToGrid w:val="0"/>
        <w:spacing w:after="0"/>
        <w:ind w:firstLine="567"/>
        <w:jc w:val="both"/>
        <w:rPr>
          <w:sz w:val="24"/>
          <w:szCs w:val="24"/>
        </w:rPr>
      </w:pPr>
      <w:r w:rsidRPr="00621187">
        <w:rPr>
          <w:sz w:val="24"/>
          <w:szCs w:val="24"/>
        </w:rPr>
        <w:t>Учасник має надати документ (</w:t>
      </w:r>
      <w:proofErr w:type="spellStart"/>
      <w:r w:rsidRPr="00621187">
        <w:rPr>
          <w:sz w:val="24"/>
          <w:szCs w:val="24"/>
        </w:rPr>
        <w:t>авторизаційний</w:t>
      </w:r>
      <w:proofErr w:type="spellEnd"/>
      <w:r w:rsidRPr="00621187">
        <w:rPr>
          <w:sz w:val="24"/>
          <w:szCs w:val="24"/>
        </w:rPr>
        <w:t xml:space="preserve"> лист, </w:t>
      </w:r>
      <w:proofErr w:type="spellStart"/>
      <w:r w:rsidRPr="00621187">
        <w:rPr>
          <w:sz w:val="24"/>
          <w:szCs w:val="24"/>
        </w:rPr>
        <w:t>авторизаційна</w:t>
      </w:r>
      <w:proofErr w:type="spellEnd"/>
      <w:r w:rsidRPr="00621187">
        <w:rPr>
          <w:sz w:val="24"/>
          <w:szCs w:val="24"/>
        </w:rPr>
        <w:t xml:space="preserve"> форма виробника тощо) від компанії APC </w:t>
      </w:r>
      <w:proofErr w:type="spellStart"/>
      <w:r w:rsidRPr="00621187">
        <w:rPr>
          <w:sz w:val="24"/>
          <w:szCs w:val="24"/>
        </w:rPr>
        <w:t>by</w:t>
      </w:r>
      <w:proofErr w:type="spellEnd"/>
      <w:r w:rsidRPr="00621187">
        <w:rPr>
          <w:sz w:val="24"/>
          <w:szCs w:val="24"/>
        </w:rPr>
        <w:t xml:space="preserve"> </w:t>
      </w:r>
      <w:proofErr w:type="spellStart"/>
      <w:r w:rsidRPr="00621187">
        <w:rPr>
          <w:sz w:val="24"/>
          <w:szCs w:val="24"/>
        </w:rPr>
        <w:t>Schneider</w:t>
      </w:r>
      <w:proofErr w:type="spellEnd"/>
      <w:r w:rsidRPr="00621187">
        <w:rPr>
          <w:sz w:val="24"/>
          <w:szCs w:val="24"/>
        </w:rPr>
        <w:t xml:space="preserve"> </w:t>
      </w:r>
      <w:proofErr w:type="spellStart"/>
      <w:r w:rsidRPr="00621187">
        <w:rPr>
          <w:sz w:val="24"/>
          <w:szCs w:val="24"/>
        </w:rPr>
        <w:t>Electric</w:t>
      </w:r>
      <w:proofErr w:type="spellEnd"/>
      <w:r w:rsidRPr="00621187">
        <w:rPr>
          <w:sz w:val="24"/>
          <w:szCs w:val="24"/>
        </w:rPr>
        <w:t xml:space="preserve"> або її офіційного представництва, який підтверджує, що учасник є офіційним партнером компанії APC </w:t>
      </w:r>
      <w:proofErr w:type="spellStart"/>
      <w:r w:rsidRPr="00621187">
        <w:rPr>
          <w:sz w:val="24"/>
          <w:szCs w:val="24"/>
        </w:rPr>
        <w:t>by</w:t>
      </w:r>
      <w:proofErr w:type="spellEnd"/>
      <w:r w:rsidRPr="00621187">
        <w:rPr>
          <w:sz w:val="24"/>
          <w:szCs w:val="24"/>
        </w:rPr>
        <w:t xml:space="preserve"> </w:t>
      </w:r>
      <w:proofErr w:type="spellStart"/>
      <w:r w:rsidRPr="00621187">
        <w:rPr>
          <w:sz w:val="24"/>
          <w:szCs w:val="24"/>
        </w:rPr>
        <w:t>Schneider</w:t>
      </w:r>
      <w:proofErr w:type="spellEnd"/>
      <w:r w:rsidRPr="00621187">
        <w:rPr>
          <w:sz w:val="24"/>
          <w:szCs w:val="24"/>
        </w:rPr>
        <w:t xml:space="preserve"> </w:t>
      </w:r>
      <w:proofErr w:type="spellStart"/>
      <w:r w:rsidRPr="00621187">
        <w:rPr>
          <w:sz w:val="24"/>
          <w:szCs w:val="24"/>
        </w:rPr>
        <w:t>Electric</w:t>
      </w:r>
      <w:proofErr w:type="spellEnd"/>
      <w:r w:rsidRPr="00621187">
        <w:rPr>
          <w:sz w:val="24"/>
          <w:szCs w:val="24"/>
        </w:rPr>
        <w:t xml:space="preserve"> зі статусом, не нижче </w:t>
      </w:r>
      <w:proofErr w:type="spellStart"/>
      <w:r w:rsidRPr="00621187">
        <w:rPr>
          <w:sz w:val="24"/>
          <w:szCs w:val="24"/>
        </w:rPr>
        <w:t>Select</w:t>
      </w:r>
      <w:proofErr w:type="spellEnd"/>
      <w:r w:rsidRPr="00621187">
        <w:rPr>
          <w:sz w:val="24"/>
          <w:szCs w:val="24"/>
        </w:rPr>
        <w:t xml:space="preserve"> </w:t>
      </w:r>
      <w:proofErr w:type="spellStart"/>
      <w:r w:rsidRPr="00621187">
        <w:rPr>
          <w:sz w:val="24"/>
          <w:szCs w:val="24"/>
        </w:rPr>
        <w:t>Partner</w:t>
      </w:r>
      <w:proofErr w:type="spellEnd"/>
      <w:r w:rsidRPr="00621187">
        <w:rPr>
          <w:sz w:val="24"/>
          <w:szCs w:val="24"/>
        </w:rPr>
        <w:t>. У документі має бути чітко визначено назву замовника, назву та ідентифікатор предмета закупівлі.</w:t>
      </w:r>
    </w:p>
    <w:p w:rsidR="00621187" w:rsidRPr="00621187" w:rsidRDefault="00621187" w:rsidP="00621187">
      <w:pPr>
        <w:widowControl w:val="0"/>
        <w:snapToGrid w:val="0"/>
        <w:spacing w:after="0"/>
        <w:ind w:firstLine="567"/>
        <w:jc w:val="both"/>
        <w:rPr>
          <w:sz w:val="24"/>
          <w:szCs w:val="24"/>
        </w:rPr>
      </w:pPr>
      <w:bookmarkStart w:id="3" w:name="_GoBack"/>
      <w:bookmarkEnd w:id="3"/>
    </w:p>
    <w:p w:rsidR="00621187" w:rsidRPr="00621187" w:rsidRDefault="00621187" w:rsidP="00621187">
      <w:pPr>
        <w:widowControl w:val="0"/>
        <w:tabs>
          <w:tab w:val="left" w:pos="142"/>
          <w:tab w:val="left" w:pos="360"/>
          <w:tab w:val="num" w:pos="426"/>
        </w:tabs>
        <w:autoSpaceDE w:val="0"/>
        <w:autoSpaceDN w:val="0"/>
        <w:spacing w:after="0"/>
        <w:ind w:firstLine="567"/>
        <w:jc w:val="both"/>
        <w:rPr>
          <w:rFonts w:eastAsia="Tahoma"/>
          <w:color w:val="00000A"/>
          <w:sz w:val="24"/>
          <w:szCs w:val="24"/>
          <w:lang w:bidi="hi-IN"/>
        </w:rPr>
      </w:pPr>
      <w:r w:rsidRPr="00621187">
        <w:rPr>
          <w:rFonts w:eastAsia="Tahoma"/>
          <w:color w:val="00000A"/>
          <w:sz w:val="24"/>
          <w:szCs w:val="24"/>
          <w:lang w:bidi="hi-I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посилання на вільні джерела інформації (сайт), де міститься інформація з технічними та якісним характеристикам запропонованого товару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Pr="00621187">
        <w:rPr>
          <w:rFonts w:eastAsia="Tahoma"/>
          <w:color w:val="00000A"/>
          <w:sz w:val="24"/>
          <w:szCs w:val="24"/>
          <w:lang w:val="ru-RU" w:bidi="hi-IN"/>
        </w:rPr>
        <w:t xml:space="preserve"> </w:t>
      </w:r>
      <w:r w:rsidRPr="00621187">
        <w:rPr>
          <w:rFonts w:eastAsia="Tahoma"/>
          <w:color w:val="00000A"/>
          <w:sz w:val="24"/>
          <w:szCs w:val="24"/>
          <w:lang w:bidi="hi-IN"/>
        </w:rPr>
        <w:t xml:space="preserve">(сертифікат відповідності),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621187">
        <w:rPr>
          <w:rFonts w:eastAsia="Tahoma"/>
          <w:color w:val="00000A"/>
          <w:sz w:val="24"/>
          <w:szCs w:val="24"/>
          <w:lang w:bidi="hi-IN"/>
        </w:rPr>
        <w:t>Додадтку</w:t>
      </w:r>
      <w:proofErr w:type="spellEnd"/>
      <w:r w:rsidRPr="00621187">
        <w:rPr>
          <w:rFonts w:eastAsia="Tahoma"/>
          <w:color w:val="00000A"/>
          <w:sz w:val="24"/>
          <w:szCs w:val="24"/>
          <w:lang w:bidi="hi-IN"/>
        </w:rPr>
        <w:t xml:space="preserve"> 4 до тендерної документації.</w:t>
      </w:r>
    </w:p>
    <w:p w:rsidR="00621187" w:rsidRPr="00621187" w:rsidRDefault="00621187" w:rsidP="00621187">
      <w:pPr>
        <w:widowControl w:val="0"/>
        <w:tabs>
          <w:tab w:val="left" w:pos="142"/>
          <w:tab w:val="left" w:pos="360"/>
          <w:tab w:val="num" w:pos="426"/>
        </w:tabs>
        <w:autoSpaceDE w:val="0"/>
        <w:autoSpaceDN w:val="0"/>
        <w:spacing w:after="0"/>
        <w:ind w:firstLine="567"/>
        <w:jc w:val="both"/>
        <w:rPr>
          <w:rFonts w:eastAsia="Tahoma"/>
          <w:color w:val="00000A"/>
          <w:sz w:val="24"/>
          <w:szCs w:val="24"/>
          <w:lang w:bidi="hi-IN"/>
        </w:rPr>
      </w:pPr>
    </w:p>
    <w:p w:rsidR="005B11A3" w:rsidRPr="00621187" w:rsidRDefault="00621187" w:rsidP="00621187">
      <w:pPr>
        <w:widowControl w:val="0"/>
        <w:snapToGrid w:val="0"/>
        <w:spacing w:after="0"/>
        <w:ind w:firstLine="567"/>
        <w:jc w:val="both"/>
        <w:rPr>
          <w:i/>
        </w:rPr>
      </w:pPr>
      <w:r w:rsidRPr="00621187">
        <w:rPr>
          <w:rFonts w:eastAsia="Tahoma"/>
          <w:color w:val="00000A"/>
          <w:sz w:val="24"/>
          <w:szCs w:val="24"/>
          <w:lang w:bidi="hi-IN"/>
        </w:rPr>
        <w:t>**</w:t>
      </w:r>
      <w:r w:rsidRPr="00621187">
        <w:rPr>
          <w:sz w:val="24"/>
          <w:szCs w:val="24"/>
          <w:lang w:eastAsia="ar-SA"/>
        </w:rPr>
        <w:t>У складі тендерної пропозиції Учасник вказує найменування послуг/товару,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p>
    <w:sectPr w:rsidR="005B11A3" w:rsidRPr="00621187"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2"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5"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4"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5"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8"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34"/>
  </w:num>
  <w:num w:numId="3">
    <w:abstractNumId w:val="5"/>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4"/>
  </w:num>
  <w:num w:numId="7">
    <w:abstractNumId w:val="16"/>
  </w:num>
  <w:num w:numId="8">
    <w:abstractNumId w:val="30"/>
  </w:num>
  <w:num w:numId="9">
    <w:abstractNumId w:val="2"/>
  </w:num>
  <w:num w:numId="10">
    <w:abstractNumId w:val="12"/>
  </w:num>
  <w:num w:numId="11">
    <w:abstractNumId w:val="17"/>
  </w:num>
  <w:num w:numId="12">
    <w:abstractNumId w:val="18"/>
  </w:num>
  <w:num w:numId="13">
    <w:abstractNumId w:val="3"/>
  </w:num>
  <w:num w:numId="14">
    <w:abstractNumId w:val="20"/>
  </w:num>
  <w:num w:numId="15">
    <w:abstractNumId w:val="35"/>
  </w:num>
  <w:num w:numId="16">
    <w:abstractNumId w:val="7"/>
  </w:num>
  <w:num w:numId="17">
    <w:abstractNumId w:val="27"/>
  </w:num>
  <w:num w:numId="18">
    <w:abstractNumId w:val="1"/>
  </w:num>
  <w:num w:numId="19">
    <w:abstractNumId w:val="29"/>
  </w:num>
  <w:num w:numId="20">
    <w:abstractNumId w:val="26"/>
  </w:num>
  <w:num w:numId="21">
    <w:abstractNumId w:val="22"/>
  </w:num>
  <w:num w:numId="22">
    <w:abstractNumId w:val="4"/>
  </w:num>
  <w:num w:numId="23">
    <w:abstractNumId w:val="15"/>
  </w:num>
  <w:num w:numId="24">
    <w:abstractNumId w:val="23"/>
  </w:num>
  <w:num w:numId="25">
    <w:abstractNumId w:val="24"/>
  </w:num>
  <w:num w:numId="26">
    <w:abstractNumId w:val="10"/>
  </w:num>
  <w:num w:numId="27">
    <w:abstractNumId w:val="8"/>
  </w:num>
  <w:num w:numId="28">
    <w:abstractNumId w:val="28"/>
  </w:num>
  <w:num w:numId="29">
    <w:abstractNumId w:val="21"/>
  </w:num>
  <w:num w:numId="30">
    <w:abstractNumId w:val="38"/>
  </w:num>
  <w:num w:numId="31">
    <w:abstractNumId w:val="13"/>
  </w:num>
  <w:num w:numId="32">
    <w:abstractNumId w:val="39"/>
  </w:num>
  <w:num w:numId="33">
    <w:abstractNumId w:val="11"/>
  </w:num>
  <w:num w:numId="34">
    <w:abstractNumId w:val="19"/>
  </w:num>
  <w:num w:numId="35">
    <w:abstractNumId w:val="9"/>
  </w:num>
  <w:num w:numId="36">
    <w:abstractNumId w:val="31"/>
  </w:num>
  <w:num w:numId="37">
    <w:abstractNumId w:val="36"/>
  </w:num>
  <w:num w:numId="38">
    <w:abstractNumId w:val="33"/>
  </w:num>
  <w:num w:numId="3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612A9"/>
    <w:rsid w:val="001C60E2"/>
    <w:rsid w:val="002400B7"/>
    <w:rsid w:val="002A58A2"/>
    <w:rsid w:val="002A7BE6"/>
    <w:rsid w:val="002B3DD1"/>
    <w:rsid w:val="002E3C14"/>
    <w:rsid w:val="002F48D8"/>
    <w:rsid w:val="00386B1C"/>
    <w:rsid w:val="00411183"/>
    <w:rsid w:val="0042085D"/>
    <w:rsid w:val="00476842"/>
    <w:rsid w:val="0049405A"/>
    <w:rsid w:val="004A1C83"/>
    <w:rsid w:val="00514A47"/>
    <w:rsid w:val="005267EB"/>
    <w:rsid w:val="005828B1"/>
    <w:rsid w:val="0059366D"/>
    <w:rsid w:val="005B11A3"/>
    <w:rsid w:val="00603045"/>
    <w:rsid w:val="00610CE8"/>
    <w:rsid w:val="00621187"/>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D09A9"/>
    <w:rsid w:val="009E7B49"/>
    <w:rsid w:val="00A049E3"/>
    <w:rsid w:val="00A15E85"/>
    <w:rsid w:val="00A52A5A"/>
    <w:rsid w:val="00A7220B"/>
    <w:rsid w:val="00A7276B"/>
    <w:rsid w:val="00AD7148"/>
    <w:rsid w:val="00B057C2"/>
    <w:rsid w:val="00B13AE1"/>
    <w:rsid w:val="00B55729"/>
    <w:rsid w:val="00B86B83"/>
    <w:rsid w:val="00BD3662"/>
    <w:rsid w:val="00BE318B"/>
    <w:rsid w:val="00C04CEE"/>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D8CF"/>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0-11-01401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3</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89</cp:revision>
  <dcterms:created xsi:type="dcterms:W3CDTF">2021-12-15T12:41:00Z</dcterms:created>
  <dcterms:modified xsi:type="dcterms:W3CDTF">2023-10-23T07:52:00Z</dcterms:modified>
</cp:coreProperties>
</file>