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E19D3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E19D3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E19D3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1E19D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E19D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1E19D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1E19D3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1E19D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E19D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E19D3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1276"/>
        <w:gridCol w:w="2693"/>
        <w:gridCol w:w="1276"/>
        <w:gridCol w:w="2410"/>
        <w:gridCol w:w="1134"/>
        <w:gridCol w:w="1559"/>
      </w:tblGrid>
      <w:tr w:rsidR="005223F1" w:rsidRPr="001E19D3" w:rsidTr="00DD570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E19D3" w:rsidRDefault="005223F1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E19D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223F1" w:rsidRPr="001E19D3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223F1" w:rsidRPr="001E19D3" w:rsidRDefault="005223F1" w:rsidP="00651F0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2126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223F1" w:rsidRPr="001E19D3" w:rsidRDefault="005223F1" w:rsidP="005223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чистота: СГС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C.I.11.b type II – Introduction of, or change(s) to, the obligations and conditions of a marketing </w:t>
            </w: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authorisation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, including the RMP - Implementation of change(s) which require to be further substantiated by new additional data to be submitted by the MAH where significant assessment is required.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  <w:t>Submission of an updated RMP version 10.2 in order to remove safety concerns that were classified as important identified risks, important potential risks and missing information, based on cumulative post-marketing experience. The MAH is also proposing an update of the ATC code, an update of post-marketing exposure, the removal of adverse event follow-up forms and an update of search strategies.</w:t>
            </w:r>
          </w:p>
        </w:tc>
        <w:tc>
          <w:tcPr>
            <w:tcW w:w="1134" w:type="dxa"/>
            <w:shd w:val="clear" w:color="auto" w:fill="FFFFFF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E1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223F1" w:rsidRPr="001E19D3" w:rsidRDefault="005223F1" w:rsidP="00651F0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9D3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5638C9" w:rsidRPr="001E19D3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638C9" w:rsidRPr="001E19D3" w:rsidRDefault="005638C9" w:rsidP="005638C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2126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відповідає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капсул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Ебербах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ФармЛог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Лоджістік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Штегеманн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Логістішер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Штабтест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чистота: СГС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C.I.11.b type II – Introduction of, or change(s) to, the obligations and conditions of a marketing </w:t>
            </w: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authorisation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, including the RMP - Implementation of change(s) which require to be further substantiated by new additional data to be submitted by the MAH where significant assessment is required.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  <w:t>Submission of an updated RMP version 10.2 in order to remove safety concerns that were classified as important identified risks, important potential risks and missing information, based on cumulative post-marketing experience. The MAH is also proposing an update of the ATC code, an update of post-marketing exposure, the removal of adverse event follow-up forms and an update of search strategies.</w:t>
            </w:r>
          </w:p>
        </w:tc>
        <w:tc>
          <w:tcPr>
            <w:tcW w:w="1134" w:type="dxa"/>
            <w:shd w:val="clear" w:color="auto" w:fill="FFFFFF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E1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638C9" w:rsidRPr="001E19D3" w:rsidRDefault="005638C9" w:rsidP="00563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9D3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F865EB" w:rsidRPr="00AE6E6E" w:rsidTr="00DD570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65EB" w:rsidRPr="001E19D3" w:rsidRDefault="00F865EB" w:rsidP="00F865E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F865EB" w:rsidRPr="001E19D3" w:rsidRDefault="00F865EB" w:rsidP="00F865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1E19D3">
              <w:rPr>
                <w:rFonts w:ascii="Arial" w:hAnsi="Arial" w:cs="Arial"/>
                <w:b/>
                <w:sz w:val="16"/>
                <w:szCs w:val="16"/>
                <w:lang w:val="uk-UA"/>
              </w:rPr>
              <w:t>ЕФАВІРЕНЗ/ЕМТРИЦИТАБІН/ТЕНОФОВІРУ ДИЗОПРОКСИЛ КРКА</w:t>
            </w:r>
          </w:p>
        </w:tc>
        <w:tc>
          <w:tcPr>
            <w:tcW w:w="2126" w:type="dxa"/>
            <w:shd w:val="clear" w:color="auto" w:fill="FFFFFF"/>
          </w:tcPr>
          <w:p w:rsidR="00F865EB" w:rsidRPr="001E19D3" w:rsidRDefault="00F865EB" w:rsidP="00F865E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600 мг/200 мг/245 мг, по 30 таблеток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865EB" w:rsidRPr="001E19D3" w:rsidRDefault="00F865EB" w:rsidP="005274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F865EB" w:rsidRPr="001E19D3" w:rsidRDefault="00F865EB" w:rsidP="005274B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F865EB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КРКА,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ТАД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контроль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КРКА,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ТАД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Л+С АГ,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Престиж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Промоушен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Веркауфсфоердерунг&amp;Вербесервіс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РАФАРМ СА,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Грец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F865EB" w:rsidRPr="001E19D3" w:rsidRDefault="005274B5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Словенія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274B5" w:rsidRPr="001E19D3" w:rsidRDefault="005274B5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274B5" w:rsidRPr="001E19D3" w:rsidRDefault="005274B5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Греція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57278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C.I.z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type </w:t>
            </w: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IAin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Changes (Safety/Efficacy) of Human and Veterinary Medicinal Products - Other variation.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57278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To update sections 4.4 and 4.8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implement the signal recommendations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on '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Antiretrovirals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- Autoimmune hepatitis (EPITT no 18956)' adopted at the 9-12 July 2018 PRAC.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вноситься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і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». </w:t>
            </w:r>
          </w:p>
          <w:p w:rsidR="003C446D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C.I.2.a type IB – Change in the SPC, Labelling or PL of a generic/hybrid/biosimilar products following assessment of the same change for the reference product - Implementation of change(s) for which NO new additional data is required to be submitted by the MAH.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C.I.2.a type IB – Change in the SPC, Labelling or PL of a generic/hybrid/biosimilar products following assessment of the same change for the reference product - Implementation of change(s) for which NO new additional data is required to be submitted by the MAH.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Update of sections 4.3 and 4.5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to add a new contraindication. Co administration of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Efavirenz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Emtricitabine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Tenofovir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disoproxil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Krka with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elbasvir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grazoprevir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is contraindicated as it may lead to loss of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virologic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response to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elbasvir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grazoprevir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The Package Leaflet has been updated accordingly. Furthermore, minor changes were introduced in clinical data of studies in pregnancy in section 4.6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Update of sections 4.4 and 4.5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add a warning on the co-administration with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elbasvir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grazoprevir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due to the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expected significant decreases in plasma concentrations of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elbasvir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grazoprevir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Section 2 of the Package Leaflet is updated accordingly. All changes were made in line with the reference medicinal product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Atripla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The MAH also took the opportunity to update the Sodium wording in section 4.4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line with latest published guideline and to update the local representative for HI-J. Minor editorial changes were introduces to the following languages in line with the latest QRD template: CS, DK, DE, EE, FR, HU, HR, IS, LT, LV, MT - all changes are in line with the text of the originator.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вноситься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розділи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: 1.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Протипоказання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період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вагітності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годування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груддю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». 2.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період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вагітності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годування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груддю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».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незначні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Фармакодинаміка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Фармакокінетика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». </w:t>
            </w:r>
          </w:p>
          <w:p w:rsidR="003C446D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C.I.3.z type IB - Change(s) in the SPC, Labelling or PL intended to implement the outcome of a procedure concerning PSI-JR or PASS or the outcome of the assessment done under A 45/46 - Other variation.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C446D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To update the table "Interactions between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efavirenz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other medicinal products in adults" in section 4.5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: to delete the sentence "Interaction not studied." for the interaction with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etonogestrel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implant in line with the published PSUSA outcome of EMEA/H/C/PSUSA/00001200/201804 for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efavirenz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вноситься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». </w:t>
            </w:r>
          </w:p>
          <w:p w:rsidR="003C446D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C.I.2.a type IB – Change in the SPC, Labelling or PL of a generic/hybrid/biosimilar products following assessment of the same change for the reference product - Implementation of change(s) for which NO new additional data is required to be submitted by the MAH. </w:t>
            </w:r>
          </w:p>
          <w:p w:rsidR="003C446D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C.I.2.a type IB – Change in the SPC, Labelling or PL of a generic/hybrid/biosimilar products following assessment of the same change for the reference product - Implementation of change(s) for which NO new additional data is required to be submitted by the MAH. </w:t>
            </w:r>
          </w:p>
          <w:p w:rsidR="00985E0C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To update sections 4.4, 4.5 and 4.8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regarding the drug-drug interaction with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didanosine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of section 4.8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regarding lactic acidosis, as agreed by the PRAC in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Viread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procedure EMEA/H/C/PSUSA/00002892/201903. To update section 4.5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to state that co-administration of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glecaprevir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pibrentasvir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is not recommended following the same changes adopted for parent product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Atripla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the Package Leaflet is updated accordingly.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вноситься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розділи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: 1.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». 2.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». </w:t>
            </w:r>
          </w:p>
          <w:p w:rsidR="00F865EB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C.I.3.z type IB - Change(s) in the SPC, Labelling or PL intended to implement the outcome of a procedure concerning PSI-JR or PASS or the outcome of the assessment done under A 45/46 - Other variation.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4.4 and 5.1 of the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following assessment PSI-JR procedure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EMEA/H/C/PSUSA/00001210/202004 for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Truvada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emtricitabine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tenofovir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disoproxil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) adopted on 12 November 2020 and related to bone abnormalities associated with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tenofovir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disoproxil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. The PL was updated accordingly.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вноситься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: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».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C.I.3.z type IB - Change(s) in the SPC, Labelling or PL intended to implement the outcome of a procedure concerning PSI-JR or PASS or the outcome of the assessment done under A 45/46 - Other variation.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4.5 of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2 of PL contain new information regarding interaction between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praziquantel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efavirenz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line with the wording recommended by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CMDh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 xml:space="preserve"> following PSUSA/00002503/202104 procedure.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вноситься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засобами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взаємодій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».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 типу ІБ (</w:t>
            </w:r>
            <w:proofErr w:type="spellStart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безпека</w:t>
            </w:r>
            <w:proofErr w:type="spellEnd"/>
            <w:r w:rsidRPr="001E19D3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)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вноситься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«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Одночасне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ефавіренцу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метамізолом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індуктором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метаболізуючих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ферментів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CYP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6 і 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CYP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4,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може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призвести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зниження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концентрації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ефавіренцу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плазмі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потенційним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зниженням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клінічної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Тому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рекомендується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бути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обережним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одночасному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метамізолу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ефавірензу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необхідно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контролювати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клінічну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відповідь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рівні</w:t>
            </w:r>
            <w:proofErr w:type="spellEnd"/>
            <w:r w:rsidRPr="001E1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препарату.</w:t>
            </w:r>
          </w:p>
        </w:tc>
        <w:tc>
          <w:tcPr>
            <w:tcW w:w="1134" w:type="dxa"/>
            <w:shd w:val="clear" w:color="auto" w:fill="FFFFFF"/>
          </w:tcPr>
          <w:p w:rsidR="00F865EB" w:rsidRPr="001E19D3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E1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E1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865EB" w:rsidRPr="00651F00" w:rsidRDefault="00F865EB" w:rsidP="00F865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9D3">
              <w:rPr>
                <w:rFonts w:ascii="Arial" w:hAnsi="Arial" w:cs="Arial"/>
                <w:sz w:val="16"/>
                <w:szCs w:val="16"/>
              </w:rPr>
              <w:t>UA/17160/01/01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19D3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BE7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97864"/>
    <w:rsid w:val="00DB6A68"/>
    <w:rsid w:val="00DB7977"/>
    <w:rsid w:val="00DC1329"/>
    <w:rsid w:val="00DC7DE3"/>
    <w:rsid w:val="00DD27CE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3169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E0926C-9999-44DA-AE54-1982B3A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761B-C56D-4925-A814-8A45B6B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2023-02-09T14:42:00Z</dcterms:created>
  <dcterms:modified xsi:type="dcterms:W3CDTF">2023-02-09T14:42:00Z</dcterms:modified>
</cp:coreProperties>
</file>