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6939A1">
        <w:tc>
          <w:tcPr>
            <w:tcW w:w="3271" w:type="dxa"/>
          </w:tcPr>
          <w:p w:rsidR="006939A1" w:rsidRDefault="006939A1" w:rsidP="00A93E77">
            <w:pPr>
              <w:rPr>
                <w:sz w:val="28"/>
                <w:szCs w:val="28"/>
                <w:lang w:val="uk-UA"/>
              </w:rPr>
            </w:pPr>
          </w:p>
          <w:p w:rsidR="006F7E05" w:rsidRDefault="006939A1" w:rsidP="00A93E77">
            <w:pPr>
              <w:rPr>
                <w:sz w:val="28"/>
                <w:szCs w:val="28"/>
                <w:lang w:val="uk-UA"/>
              </w:rPr>
            </w:pPr>
            <w:r>
              <w:rPr>
                <w:sz w:val="28"/>
                <w:szCs w:val="28"/>
                <w:lang w:val="uk-UA"/>
              </w:rPr>
              <w:t>08 червня 2023 року</w:t>
            </w:r>
          </w:p>
          <w:p w:rsidR="004E5F69" w:rsidRDefault="004E5F69" w:rsidP="00A93E77">
            <w:pPr>
              <w:rPr>
                <w:sz w:val="28"/>
                <w:szCs w:val="28"/>
                <w:lang w:val="uk-UA"/>
              </w:rPr>
            </w:pP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6939A1" w:rsidRDefault="006939A1" w:rsidP="00A93E77">
            <w:pPr>
              <w:ind w:firstLine="72"/>
              <w:jc w:val="center"/>
              <w:rPr>
                <w:sz w:val="28"/>
                <w:szCs w:val="28"/>
                <w:lang w:val="uk-UA"/>
              </w:rPr>
            </w:pPr>
          </w:p>
          <w:p w:rsidR="006F7E05" w:rsidRDefault="006939A1" w:rsidP="00A93E77">
            <w:pPr>
              <w:ind w:firstLine="72"/>
              <w:jc w:val="center"/>
              <w:rPr>
                <w:sz w:val="28"/>
                <w:szCs w:val="28"/>
                <w:lang w:val="uk-UA"/>
              </w:rPr>
            </w:pPr>
            <w:r>
              <w:rPr>
                <w:sz w:val="28"/>
                <w:szCs w:val="28"/>
                <w:lang w:val="uk-UA"/>
              </w:rPr>
              <w:t xml:space="preserve">                                             № 1037</w:t>
            </w:r>
          </w:p>
          <w:p w:rsidR="004E5F69" w:rsidRDefault="006F7E05" w:rsidP="00A93E77">
            <w:pPr>
              <w:ind w:firstLine="72"/>
              <w:jc w:val="center"/>
              <w:rPr>
                <w:sz w:val="28"/>
                <w:szCs w:val="28"/>
                <w:lang w:val="uk-UA"/>
              </w:rPr>
            </w:pPr>
            <w:r>
              <w:rPr>
                <w:sz w:val="28"/>
                <w:szCs w:val="28"/>
                <w:lang w:val="uk-UA"/>
              </w:rPr>
              <w:t xml:space="preserve">                                                  </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Pr>
          <w:rFonts w:ascii="Times New Roman" w:hAnsi="Times New Roman"/>
          <w:sz w:val="28"/>
          <w:szCs w:val="28"/>
          <w:lang w:val="uk-UA"/>
        </w:rPr>
        <w:t>5,</w:t>
      </w:r>
      <w:r w:rsidR="003E30C2" w:rsidRPr="00AB2E73">
        <w:rPr>
          <w:rFonts w:ascii="Times New Roman" w:hAnsi="Times New Roman"/>
          <w:sz w:val="28"/>
          <w:szCs w:val="28"/>
          <w:lang w:val="uk-UA"/>
        </w:rPr>
        <w:t xml:space="preserve"> 7</w:t>
      </w:r>
      <w:r w:rsidR="003E30C2">
        <w:rPr>
          <w:rFonts w:ascii="Times New Roman" w:hAnsi="Times New Roman"/>
          <w:sz w:val="28"/>
          <w:szCs w:val="28"/>
          <w:lang w:val="uk-UA"/>
        </w:rPr>
        <w:t xml:space="preserve">, </w:t>
      </w:r>
      <w:r w:rsidR="000D32CE">
        <w:rPr>
          <w:rFonts w:ascii="Times New Roman" w:hAnsi="Times New Roman"/>
          <w:sz w:val="28"/>
          <w:szCs w:val="28"/>
          <w:lang w:val="uk-UA"/>
        </w:rPr>
        <w:t xml:space="preserve">9, </w:t>
      </w:r>
      <w:r w:rsidR="003E30C2">
        <w:rPr>
          <w:rFonts w:ascii="Times New Roman" w:hAnsi="Times New Roman"/>
          <w:sz w:val="28"/>
          <w:szCs w:val="28"/>
          <w:lang w:val="uk-UA"/>
        </w:rPr>
        <w:t>10</w:t>
      </w:r>
      <w:r w:rsidR="00144F5C">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Pr>
          <w:rFonts w:ascii="Times New Roman" w:hAnsi="Times New Roman"/>
          <w:sz w:val="28"/>
          <w:szCs w:val="28"/>
          <w:lang w:val="uk-UA"/>
        </w:rPr>
        <w:t>,</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0D32CE" w:rsidRDefault="000D32CE" w:rsidP="000C1B57">
      <w:pPr>
        <w:tabs>
          <w:tab w:val="left" w:pos="1080"/>
        </w:tabs>
        <w:ind w:firstLine="720"/>
        <w:jc w:val="both"/>
        <w:rPr>
          <w:sz w:val="28"/>
          <w:szCs w:val="28"/>
          <w:lang w:val="uk-UA"/>
        </w:rPr>
      </w:pPr>
    </w:p>
    <w:p w:rsidR="000D32CE" w:rsidRDefault="000D32CE" w:rsidP="000D32CE">
      <w:pPr>
        <w:tabs>
          <w:tab w:val="left" w:pos="1080"/>
        </w:tabs>
        <w:ind w:firstLine="720"/>
        <w:jc w:val="both"/>
        <w:rPr>
          <w:sz w:val="28"/>
          <w:szCs w:val="28"/>
          <w:lang w:val="uk-UA"/>
        </w:rPr>
      </w:pPr>
      <w:r>
        <w:rPr>
          <w:sz w:val="28"/>
          <w:szCs w:val="28"/>
          <w:lang w:val="uk-UA"/>
        </w:rPr>
        <w:t xml:space="preserve">4. </w:t>
      </w:r>
      <w:r w:rsidRPr="00D33F8D">
        <w:rPr>
          <w:sz w:val="28"/>
          <w:szCs w:val="28"/>
          <w:lang w:val="uk-UA"/>
        </w:rPr>
        <w:t>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 згідно з додатк</w:t>
      </w:r>
      <w:r w:rsidR="00D35E68">
        <w:rPr>
          <w:sz w:val="28"/>
          <w:szCs w:val="28"/>
          <w:lang w:val="uk-UA"/>
        </w:rPr>
        <w:t>ом</w:t>
      </w:r>
      <w:r w:rsidRPr="00D33F8D">
        <w:rPr>
          <w:sz w:val="28"/>
          <w:szCs w:val="28"/>
          <w:lang w:val="uk-UA"/>
        </w:rPr>
        <w:t xml:space="preserve"> 4.</w:t>
      </w:r>
    </w:p>
    <w:p w:rsidR="00BC5599" w:rsidRDefault="00BC5599" w:rsidP="000D32CE">
      <w:pPr>
        <w:tabs>
          <w:tab w:val="left" w:pos="1080"/>
        </w:tabs>
        <w:ind w:firstLine="720"/>
        <w:jc w:val="both"/>
        <w:rPr>
          <w:sz w:val="28"/>
          <w:szCs w:val="28"/>
          <w:lang w:val="uk-UA"/>
        </w:rPr>
      </w:pPr>
    </w:p>
    <w:p w:rsidR="00BC5599" w:rsidRPr="00BE64DF" w:rsidRDefault="00BC5599" w:rsidP="00BC5599">
      <w:pPr>
        <w:tabs>
          <w:tab w:val="left" w:pos="720"/>
          <w:tab w:val="left" w:pos="993"/>
        </w:tabs>
        <w:ind w:firstLine="720"/>
        <w:jc w:val="both"/>
        <w:rPr>
          <w:sz w:val="28"/>
          <w:szCs w:val="28"/>
          <w:lang w:val="uk-UA"/>
        </w:rPr>
      </w:pPr>
      <w:r>
        <w:rPr>
          <w:sz w:val="28"/>
          <w:szCs w:val="28"/>
          <w:lang w:val="uk-UA"/>
        </w:rPr>
        <w:t>5. Фармацевтичному управлінню (</w:t>
      </w:r>
      <w:r w:rsidR="00506599">
        <w:rPr>
          <w:sz w:val="28"/>
          <w:szCs w:val="28"/>
          <w:lang w:val="uk-UA"/>
        </w:rPr>
        <w:t>Тарасу Лясковському</w:t>
      </w:r>
      <w:r>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0D32CE" w:rsidP="000D32CE">
      <w:pPr>
        <w:tabs>
          <w:tab w:val="left" w:pos="720"/>
          <w:tab w:val="left" w:pos="1080"/>
        </w:tabs>
        <w:ind w:firstLine="720"/>
        <w:jc w:val="both"/>
        <w:rPr>
          <w:sz w:val="28"/>
          <w:szCs w:val="28"/>
          <w:lang w:val="uk-UA"/>
        </w:rPr>
      </w:pPr>
      <w:r w:rsidRPr="005418EE">
        <w:rPr>
          <w:sz w:val="28"/>
          <w:szCs w:val="28"/>
          <w:lang w:val="uk-UA"/>
        </w:rPr>
        <w:t xml:space="preserve">Контроль за виконанням цього наказу </w:t>
      </w:r>
      <w:r w:rsidR="00506599">
        <w:rPr>
          <w:sz w:val="28"/>
          <w:szCs w:val="28"/>
          <w:lang w:val="uk-UA"/>
        </w:rPr>
        <w:t>покласти на першого заступника Міністра Сергія Дуброва</w:t>
      </w:r>
      <w:r w:rsidR="00BC5599">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sidR="00534A48">
        <w:rPr>
          <w:b/>
          <w:sz w:val="28"/>
          <w:szCs w:val="28"/>
          <w:lang w:val="uk-UA"/>
        </w:rPr>
        <w:t xml:space="preserve">                                                    </w:t>
      </w:r>
      <w:r w:rsidR="00506599">
        <w:rPr>
          <w:b/>
          <w:sz w:val="28"/>
          <w:szCs w:val="28"/>
          <w:lang w:val="uk-UA"/>
        </w:rPr>
        <w:t xml:space="preserve">                                    </w:t>
      </w:r>
      <w:r w:rsidR="00534A48">
        <w:rPr>
          <w:b/>
          <w:sz w:val="28"/>
          <w:szCs w:val="28"/>
          <w:lang w:val="uk-UA"/>
        </w:rPr>
        <w:t xml:space="preserve">  </w:t>
      </w:r>
      <w:r w:rsidR="00506599">
        <w:rPr>
          <w:b/>
          <w:sz w:val="28"/>
          <w:szCs w:val="28"/>
          <w:lang w:val="uk-UA"/>
        </w:rPr>
        <w:t>Віктор ЛЯШКО</w:t>
      </w:r>
    </w:p>
    <w:p w:rsidR="00D74462" w:rsidRPr="008B5689" w:rsidRDefault="00E36438" w:rsidP="006D0A8F">
      <w:pPr>
        <w:rPr>
          <w:b/>
          <w:sz w:val="28"/>
          <w:szCs w:val="28"/>
          <w:lang w:val="uk-UA"/>
        </w:rPr>
      </w:pPr>
      <w:r>
        <w:rPr>
          <w:b/>
          <w:sz w:val="28"/>
          <w:szCs w:val="28"/>
          <w:lang w:val="uk-UA"/>
        </w:rPr>
        <w:t xml:space="preserve">  </w:t>
      </w:r>
    </w:p>
    <w:p w:rsidR="00BC4106" w:rsidRPr="00422F7F" w:rsidRDefault="00BC4106" w:rsidP="00BC4106">
      <w:pPr>
        <w:pStyle w:val="31"/>
        <w:spacing w:after="0"/>
        <w:ind w:left="0"/>
        <w:rPr>
          <w:b/>
          <w:sz w:val="28"/>
          <w:szCs w:val="28"/>
          <w:lang w:val="uk-UA"/>
        </w:rPr>
      </w:pPr>
    </w:p>
    <w:p w:rsidR="003D03F3" w:rsidRDefault="003D03F3" w:rsidP="00FC73F7">
      <w:pPr>
        <w:pStyle w:val="31"/>
        <w:spacing w:after="0"/>
        <w:ind w:left="0"/>
        <w:rPr>
          <w:b/>
          <w:sz w:val="28"/>
          <w:szCs w:val="28"/>
          <w:lang w:val="uk-UA"/>
        </w:rPr>
        <w:sectPr w:rsidR="003D03F3"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3D03F3" w:rsidTr="003D03F3">
        <w:tc>
          <w:tcPr>
            <w:tcW w:w="3825" w:type="dxa"/>
            <w:hideMark/>
          </w:tcPr>
          <w:p w:rsidR="003D03F3" w:rsidRDefault="003D03F3">
            <w:pPr>
              <w:pStyle w:val="4"/>
              <w:tabs>
                <w:tab w:val="left" w:pos="12600"/>
              </w:tabs>
              <w:rPr>
                <w:sz w:val="18"/>
                <w:szCs w:val="18"/>
                <w:lang w:val="uk-UA" w:eastAsia="uk-UA"/>
              </w:rPr>
            </w:pPr>
            <w:r>
              <w:rPr>
                <w:sz w:val="18"/>
                <w:szCs w:val="18"/>
              </w:rPr>
              <w:lastRenderedPageBreak/>
              <w:t>Додаток 1</w:t>
            </w:r>
          </w:p>
          <w:p w:rsidR="003D03F3" w:rsidRDefault="003D03F3">
            <w:pPr>
              <w:pStyle w:val="4"/>
              <w:tabs>
                <w:tab w:val="left" w:pos="12600"/>
              </w:tabs>
              <w:rPr>
                <w:sz w:val="18"/>
                <w:szCs w:val="18"/>
              </w:rPr>
            </w:pPr>
            <w:r>
              <w:rPr>
                <w:sz w:val="18"/>
                <w:szCs w:val="18"/>
              </w:rPr>
              <w:t>до наказу Міністерства охорони</w:t>
            </w:r>
          </w:p>
          <w:p w:rsidR="003D03F3" w:rsidRDefault="003D03F3">
            <w:pPr>
              <w:pStyle w:val="4"/>
              <w:tabs>
                <w:tab w:val="left" w:pos="12600"/>
              </w:tabs>
              <w:rPr>
                <w:sz w:val="18"/>
                <w:szCs w:val="18"/>
              </w:rPr>
            </w:pPr>
            <w:r>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3D03F3" w:rsidRDefault="003D03F3">
            <w:pPr>
              <w:pStyle w:val="4"/>
              <w:tabs>
                <w:tab w:val="left" w:pos="12600"/>
              </w:tabs>
              <w:rPr>
                <w:rFonts w:ascii="Arial" w:hAnsi="Arial" w:cs="Arial"/>
                <w:sz w:val="18"/>
                <w:szCs w:val="18"/>
              </w:rPr>
            </w:pPr>
            <w:r>
              <w:rPr>
                <w:bCs w:val="0"/>
                <w:iCs/>
                <w:sz w:val="18"/>
                <w:szCs w:val="18"/>
                <w:u w:val="single"/>
              </w:rPr>
              <w:t>від 08 червня 2023 року № 1037</w:t>
            </w:r>
          </w:p>
        </w:tc>
      </w:tr>
    </w:tbl>
    <w:p w:rsidR="003D03F3" w:rsidRDefault="003D03F3" w:rsidP="003D03F3">
      <w:pPr>
        <w:tabs>
          <w:tab w:val="left" w:pos="12600"/>
        </w:tabs>
        <w:jc w:val="center"/>
        <w:rPr>
          <w:rFonts w:ascii="Arial" w:eastAsia="Times New Roman" w:hAnsi="Arial" w:cs="Arial"/>
          <w:b/>
          <w:sz w:val="18"/>
          <w:szCs w:val="18"/>
          <w:lang w:val="en-US"/>
        </w:rPr>
      </w:pPr>
    </w:p>
    <w:p w:rsidR="003D03F3" w:rsidRDefault="003D03F3" w:rsidP="003D03F3">
      <w:pPr>
        <w:pStyle w:val="2"/>
        <w:tabs>
          <w:tab w:val="left" w:pos="12600"/>
        </w:tabs>
        <w:jc w:val="center"/>
        <w:rPr>
          <w:rFonts w:ascii="Arial" w:hAnsi="Arial"/>
          <w:sz w:val="24"/>
          <w:szCs w:val="24"/>
          <w:lang w:val="uk-UA"/>
        </w:rPr>
      </w:pPr>
    </w:p>
    <w:p w:rsidR="003D03F3" w:rsidRDefault="003D03F3" w:rsidP="003D03F3">
      <w:pPr>
        <w:keepNext/>
        <w:tabs>
          <w:tab w:val="left" w:pos="12600"/>
        </w:tabs>
        <w:jc w:val="center"/>
        <w:outlineLvl w:val="1"/>
        <w:rPr>
          <w:b/>
          <w:sz w:val="28"/>
          <w:szCs w:val="28"/>
        </w:rPr>
      </w:pPr>
      <w:r>
        <w:rPr>
          <w:b/>
          <w:caps/>
          <w:sz w:val="28"/>
          <w:szCs w:val="28"/>
        </w:rPr>
        <w:t>ПЕРЕЛІК</w:t>
      </w:r>
    </w:p>
    <w:p w:rsidR="003D03F3" w:rsidRDefault="003D03F3" w:rsidP="003D03F3">
      <w:pPr>
        <w:keepNext/>
        <w:jc w:val="center"/>
        <w:outlineLvl w:val="3"/>
        <w:rPr>
          <w:b/>
          <w:caps/>
          <w:sz w:val="28"/>
          <w:szCs w:val="28"/>
        </w:rPr>
      </w:pPr>
      <w:r>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3D03F3" w:rsidRDefault="003D03F3" w:rsidP="003D03F3">
      <w:pPr>
        <w:keepNext/>
        <w:jc w:val="center"/>
        <w:outlineLvl w:val="3"/>
        <w:rPr>
          <w:rFonts w:ascii="Arial" w:hAnsi="Arial" w:cs="Arial"/>
          <w:b/>
          <w:caps/>
          <w:sz w:val="26"/>
          <w:szCs w:val="26"/>
        </w:rPr>
      </w:pPr>
    </w:p>
    <w:tbl>
      <w:tblPr>
        <w:tblW w:w="15735"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427"/>
        <w:gridCol w:w="1701"/>
        <w:gridCol w:w="1701"/>
        <w:gridCol w:w="1275"/>
        <w:gridCol w:w="993"/>
        <w:gridCol w:w="1842"/>
        <w:gridCol w:w="1134"/>
        <w:gridCol w:w="2977"/>
        <w:gridCol w:w="1134"/>
        <w:gridCol w:w="992"/>
        <w:gridCol w:w="1559"/>
      </w:tblGrid>
      <w:tr w:rsidR="003D03F3" w:rsidTr="00E420B5">
        <w:trPr>
          <w:cantSplit/>
          <w:tblHeader/>
        </w:trPr>
        <w:tc>
          <w:tcPr>
            <w:tcW w:w="426" w:type="dxa"/>
            <w:tcBorders>
              <w:top w:val="single" w:sz="4" w:space="0" w:color="000000"/>
              <w:left w:val="single" w:sz="4" w:space="0" w:color="000000"/>
              <w:bottom w:val="single" w:sz="4" w:space="0" w:color="auto"/>
              <w:right w:val="single" w:sz="4" w:space="0" w:color="000000"/>
            </w:tcBorders>
            <w:shd w:val="clear" w:color="auto" w:fill="D9D9D9"/>
          </w:tcPr>
          <w:p w:rsidR="003D03F3" w:rsidRDefault="003D03F3">
            <w:pPr>
              <w:tabs>
                <w:tab w:val="left" w:pos="12600"/>
              </w:tabs>
              <w:jc w:val="center"/>
              <w:rPr>
                <w:rFonts w:ascii="Arial" w:hAnsi="Arial" w:cs="Arial"/>
                <w:b/>
                <w:i/>
                <w:sz w:val="16"/>
                <w:szCs w:val="16"/>
              </w:rPr>
            </w:pPr>
          </w:p>
          <w:p w:rsidR="003D03F3" w:rsidRDefault="003D03F3">
            <w:pPr>
              <w:tabs>
                <w:tab w:val="left" w:pos="12600"/>
              </w:tabs>
              <w:jc w:val="center"/>
              <w:rPr>
                <w:rFonts w:ascii="Arial" w:hAnsi="Arial" w:cs="Arial"/>
                <w:b/>
                <w:i/>
                <w:sz w:val="16"/>
                <w:szCs w:val="16"/>
              </w:rPr>
            </w:pPr>
            <w:r>
              <w:rPr>
                <w:rFonts w:ascii="Arial" w:hAnsi="Arial" w:cs="Arial"/>
                <w:b/>
                <w:i/>
                <w:sz w:val="16"/>
                <w:szCs w:val="16"/>
              </w:rPr>
              <w:t>№ п/п</w:t>
            </w:r>
          </w:p>
        </w:tc>
        <w:tc>
          <w:tcPr>
            <w:tcW w:w="1701" w:type="dxa"/>
            <w:tcBorders>
              <w:top w:val="single" w:sz="4" w:space="0" w:color="000000"/>
              <w:left w:val="single" w:sz="4" w:space="0" w:color="000000"/>
              <w:bottom w:val="single" w:sz="4" w:space="0" w:color="auto"/>
              <w:right w:val="single" w:sz="4" w:space="0" w:color="000000"/>
            </w:tcBorders>
            <w:shd w:val="clear" w:color="auto" w:fill="D9D9D9"/>
            <w:hideMark/>
          </w:tcPr>
          <w:p w:rsidR="003D03F3" w:rsidRDefault="003D03F3">
            <w:pPr>
              <w:tabs>
                <w:tab w:val="left" w:pos="12600"/>
              </w:tabs>
              <w:jc w:val="center"/>
              <w:rPr>
                <w:rFonts w:ascii="Arial" w:hAnsi="Arial" w:cs="Arial"/>
                <w:b/>
                <w:i/>
                <w:sz w:val="16"/>
                <w:szCs w:val="16"/>
              </w:rPr>
            </w:pPr>
            <w:r>
              <w:rPr>
                <w:rFonts w:ascii="Arial" w:hAnsi="Arial" w:cs="Arial"/>
                <w:b/>
                <w:i/>
                <w:sz w:val="16"/>
                <w:szCs w:val="16"/>
              </w:rPr>
              <w:t>Назва лікарського засобу</w:t>
            </w:r>
          </w:p>
        </w:tc>
        <w:tc>
          <w:tcPr>
            <w:tcW w:w="1701" w:type="dxa"/>
            <w:tcBorders>
              <w:top w:val="single" w:sz="4" w:space="0" w:color="000000"/>
              <w:left w:val="single" w:sz="4" w:space="0" w:color="000000"/>
              <w:bottom w:val="single" w:sz="4" w:space="0" w:color="auto"/>
              <w:right w:val="single" w:sz="4" w:space="0" w:color="000000"/>
            </w:tcBorders>
            <w:shd w:val="clear" w:color="auto" w:fill="D9D9D9"/>
            <w:hideMark/>
          </w:tcPr>
          <w:p w:rsidR="003D03F3" w:rsidRDefault="003D03F3">
            <w:pPr>
              <w:tabs>
                <w:tab w:val="left" w:pos="12600"/>
              </w:tabs>
              <w:jc w:val="center"/>
              <w:rPr>
                <w:rFonts w:ascii="Arial" w:hAnsi="Arial" w:cs="Arial"/>
                <w:b/>
                <w:i/>
                <w:sz w:val="16"/>
                <w:szCs w:val="16"/>
              </w:rPr>
            </w:pPr>
            <w:r>
              <w:rPr>
                <w:rFonts w:ascii="Arial" w:hAnsi="Arial" w:cs="Arial"/>
                <w:b/>
                <w:i/>
                <w:sz w:val="16"/>
                <w:szCs w:val="16"/>
              </w:rPr>
              <w:t>Форма випуску (лікарська форма, упаковка)</w:t>
            </w:r>
          </w:p>
        </w:tc>
        <w:tc>
          <w:tcPr>
            <w:tcW w:w="1275" w:type="dxa"/>
            <w:tcBorders>
              <w:top w:val="single" w:sz="4" w:space="0" w:color="000000"/>
              <w:left w:val="single" w:sz="4" w:space="0" w:color="000000"/>
              <w:bottom w:val="single" w:sz="4" w:space="0" w:color="auto"/>
              <w:right w:val="single" w:sz="4" w:space="0" w:color="000000"/>
            </w:tcBorders>
            <w:shd w:val="clear" w:color="auto" w:fill="D9D9D9"/>
            <w:hideMark/>
          </w:tcPr>
          <w:p w:rsidR="003D03F3" w:rsidRDefault="003D03F3">
            <w:pPr>
              <w:tabs>
                <w:tab w:val="left" w:pos="12600"/>
              </w:tabs>
              <w:jc w:val="center"/>
              <w:rPr>
                <w:rFonts w:ascii="Arial" w:hAnsi="Arial" w:cs="Arial"/>
                <w:b/>
                <w:i/>
                <w:sz w:val="16"/>
                <w:szCs w:val="16"/>
              </w:rPr>
            </w:pPr>
            <w:r>
              <w:rPr>
                <w:rFonts w:ascii="Arial" w:hAnsi="Arial" w:cs="Arial"/>
                <w:b/>
                <w:i/>
                <w:sz w:val="16"/>
                <w:szCs w:val="16"/>
              </w:rPr>
              <w:t>Заявник</w:t>
            </w:r>
          </w:p>
        </w:tc>
        <w:tc>
          <w:tcPr>
            <w:tcW w:w="993" w:type="dxa"/>
            <w:tcBorders>
              <w:top w:val="single" w:sz="4" w:space="0" w:color="000000"/>
              <w:left w:val="single" w:sz="4" w:space="0" w:color="000000"/>
              <w:bottom w:val="single" w:sz="4" w:space="0" w:color="auto"/>
              <w:right w:val="single" w:sz="4" w:space="0" w:color="000000"/>
            </w:tcBorders>
            <w:shd w:val="clear" w:color="auto" w:fill="D9D9D9"/>
            <w:hideMark/>
          </w:tcPr>
          <w:p w:rsidR="003D03F3" w:rsidRDefault="003D03F3">
            <w:pPr>
              <w:tabs>
                <w:tab w:val="left" w:pos="12600"/>
              </w:tabs>
              <w:jc w:val="center"/>
              <w:rPr>
                <w:rFonts w:ascii="Arial" w:hAnsi="Arial" w:cs="Arial"/>
                <w:b/>
                <w:i/>
                <w:sz w:val="16"/>
                <w:szCs w:val="16"/>
              </w:rPr>
            </w:pPr>
            <w:r>
              <w:rPr>
                <w:rFonts w:ascii="Arial" w:hAnsi="Arial" w:cs="Arial"/>
                <w:b/>
                <w:i/>
                <w:sz w:val="16"/>
                <w:szCs w:val="16"/>
              </w:rPr>
              <w:t>Країна заявника</w:t>
            </w:r>
          </w:p>
        </w:tc>
        <w:tc>
          <w:tcPr>
            <w:tcW w:w="1842" w:type="dxa"/>
            <w:tcBorders>
              <w:top w:val="single" w:sz="4" w:space="0" w:color="000000"/>
              <w:left w:val="single" w:sz="4" w:space="0" w:color="000000"/>
              <w:bottom w:val="single" w:sz="4" w:space="0" w:color="auto"/>
              <w:right w:val="single" w:sz="4" w:space="0" w:color="000000"/>
            </w:tcBorders>
            <w:shd w:val="clear" w:color="auto" w:fill="D9D9D9"/>
            <w:hideMark/>
          </w:tcPr>
          <w:p w:rsidR="003D03F3" w:rsidRDefault="003D03F3">
            <w:pPr>
              <w:tabs>
                <w:tab w:val="left" w:pos="12600"/>
              </w:tabs>
              <w:jc w:val="center"/>
              <w:rPr>
                <w:rFonts w:ascii="Arial" w:hAnsi="Arial" w:cs="Arial"/>
                <w:b/>
                <w:i/>
                <w:sz w:val="16"/>
                <w:szCs w:val="16"/>
              </w:rPr>
            </w:pPr>
            <w:r>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hideMark/>
          </w:tcPr>
          <w:p w:rsidR="003D03F3" w:rsidRDefault="003D03F3">
            <w:pPr>
              <w:tabs>
                <w:tab w:val="left" w:pos="12600"/>
              </w:tabs>
              <w:jc w:val="center"/>
              <w:rPr>
                <w:rFonts w:ascii="Arial" w:hAnsi="Arial" w:cs="Arial"/>
                <w:b/>
                <w:i/>
                <w:sz w:val="16"/>
                <w:szCs w:val="16"/>
              </w:rPr>
            </w:pPr>
            <w:r>
              <w:rPr>
                <w:rFonts w:ascii="Arial" w:hAnsi="Arial" w:cs="Arial"/>
                <w:b/>
                <w:i/>
                <w:sz w:val="16"/>
                <w:szCs w:val="16"/>
              </w:rPr>
              <w:t>Країна виробника</w:t>
            </w:r>
          </w:p>
        </w:tc>
        <w:tc>
          <w:tcPr>
            <w:tcW w:w="2977" w:type="dxa"/>
            <w:tcBorders>
              <w:top w:val="single" w:sz="4" w:space="0" w:color="000000"/>
              <w:left w:val="single" w:sz="4" w:space="0" w:color="000000"/>
              <w:bottom w:val="single" w:sz="4" w:space="0" w:color="auto"/>
              <w:right w:val="single" w:sz="4" w:space="0" w:color="000000"/>
            </w:tcBorders>
            <w:shd w:val="clear" w:color="auto" w:fill="D9D9D9"/>
            <w:hideMark/>
          </w:tcPr>
          <w:p w:rsidR="003D03F3" w:rsidRDefault="003D03F3">
            <w:pPr>
              <w:tabs>
                <w:tab w:val="left" w:pos="12600"/>
              </w:tabs>
              <w:jc w:val="center"/>
              <w:rPr>
                <w:rFonts w:ascii="Arial" w:hAnsi="Arial" w:cs="Arial"/>
                <w:b/>
                <w:i/>
                <w:sz w:val="16"/>
                <w:szCs w:val="16"/>
              </w:rPr>
            </w:pPr>
            <w:r>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hideMark/>
          </w:tcPr>
          <w:p w:rsidR="003D03F3" w:rsidRDefault="003D03F3">
            <w:pPr>
              <w:tabs>
                <w:tab w:val="left" w:pos="12600"/>
              </w:tabs>
              <w:jc w:val="center"/>
              <w:rPr>
                <w:rFonts w:ascii="Arial" w:hAnsi="Arial" w:cs="Arial"/>
                <w:b/>
                <w:i/>
                <w:sz w:val="16"/>
                <w:szCs w:val="16"/>
              </w:rPr>
            </w:pPr>
            <w:r>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hideMark/>
          </w:tcPr>
          <w:p w:rsidR="003D03F3" w:rsidRDefault="003D03F3">
            <w:pPr>
              <w:tabs>
                <w:tab w:val="left" w:pos="12600"/>
              </w:tabs>
              <w:jc w:val="center"/>
              <w:rPr>
                <w:rFonts w:ascii="Arial" w:hAnsi="Arial" w:cs="Arial"/>
                <w:b/>
                <w:i/>
                <w:sz w:val="16"/>
                <w:szCs w:val="16"/>
              </w:rPr>
            </w:pPr>
            <w:r>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hideMark/>
          </w:tcPr>
          <w:p w:rsidR="003D03F3" w:rsidRDefault="003D03F3">
            <w:pPr>
              <w:tabs>
                <w:tab w:val="left" w:pos="12600"/>
              </w:tabs>
              <w:jc w:val="center"/>
              <w:rPr>
                <w:rFonts w:ascii="Arial" w:hAnsi="Arial" w:cs="Arial"/>
                <w:b/>
                <w:i/>
                <w:sz w:val="16"/>
                <w:szCs w:val="16"/>
              </w:rPr>
            </w:pPr>
            <w:r>
              <w:rPr>
                <w:rFonts w:ascii="Arial" w:hAnsi="Arial" w:cs="Arial"/>
                <w:b/>
                <w:i/>
                <w:sz w:val="16"/>
                <w:szCs w:val="16"/>
              </w:rPr>
              <w:t>Номер реєстраційного посвідчення</w:t>
            </w:r>
          </w:p>
        </w:tc>
      </w:tr>
      <w:tr w:rsidR="003D03F3" w:rsidTr="00E420B5">
        <w:trPr>
          <w:cantSplit/>
        </w:trPr>
        <w:tc>
          <w:tcPr>
            <w:tcW w:w="42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4"/>
              </w:numPr>
              <w:tabs>
                <w:tab w:val="left" w:pos="12600"/>
              </w:tabs>
              <w:jc w:val="center"/>
              <w:rPr>
                <w:rFonts w:ascii="Arial" w:hAnsi="Arial" w:cs="Arial"/>
                <w:b/>
                <w:sz w:val="18"/>
                <w:szCs w:val="18"/>
              </w:rPr>
            </w:pPr>
          </w:p>
        </w:tc>
        <w:tc>
          <w:tcPr>
            <w:tcW w:w="1701"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АВЕЦИН-Н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lang w:val="ru-RU"/>
              </w:rPr>
            </w:pPr>
            <w:r>
              <w:rPr>
                <w:rFonts w:ascii="Arial" w:hAnsi="Arial" w:cs="Arial"/>
                <w:sz w:val="16"/>
                <w:szCs w:val="16"/>
                <w:lang w:val="ru-RU"/>
              </w:rPr>
              <w:t>розчин для інфузій, 400 мг/250 мл, по 250 мл у флаконі; по 1 флакону в пачці з картону або по 10 флаконів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lang w:val="ru-RU"/>
              </w:rPr>
              <w:t>ТОВ "ФАРМАСЕЛ"</w:t>
            </w:r>
            <w:r>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Нерозфасований продукт, первинна упаковка, вторинна упаковка, контроль:</w:t>
            </w:r>
            <w:r>
              <w:rPr>
                <w:rFonts w:ascii="Arial" w:hAnsi="Arial" w:cs="Arial"/>
                <w:sz w:val="16"/>
                <w:szCs w:val="16"/>
              </w:rPr>
              <w:br/>
              <w:t>ВІОСЕР С.А. ПАРЕНТЕРАЛ СОЛЮШНС ІНДАСТРІ,  Греція</w:t>
            </w:r>
            <w:r>
              <w:rPr>
                <w:rFonts w:ascii="Arial" w:hAnsi="Arial" w:cs="Arial"/>
                <w:sz w:val="16"/>
                <w:szCs w:val="16"/>
              </w:rPr>
              <w:br/>
              <w:t>Контроль, випуск серії:</w:t>
            </w:r>
            <w:r>
              <w:rPr>
                <w:rFonts w:ascii="Arial" w:hAnsi="Arial" w:cs="Arial"/>
                <w:sz w:val="16"/>
                <w:szCs w:val="16"/>
              </w:rPr>
              <w:br/>
              <w:t>ТОВ "ФАРМАСЕЛ"</w:t>
            </w:r>
            <w:r>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Греція/</w:t>
            </w:r>
          </w:p>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Реєстрація на 5 років</w:t>
            </w:r>
            <w:r>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UA/20053/01/01</w:t>
            </w:r>
          </w:p>
        </w:tc>
      </w:tr>
      <w:tr w:rsidR="003D03F3" w:rsidTr="00E420B5">
        <w:trPr>
          <w:cantSplit/>
        </w:trPr>
        <w:tc>
          <w:tcPr>
            <w:tcW w:w="42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4"/>
              </w:numPr>
              <w:tabs>
                <w:tab w:val="left" w:pos="12600"/>
              </w:tabs>
              <w:jc w:val="center"/>
              <w:rPr>
                <w:rFonts w:ascii="Arial" w:hAnsi="Arial" w:cs="Arial"/>
                <w:b/>
                <w:sz w:val="18"/>
                <w:szCs w:val="18"/>
              </w:rPr>
            </w:pPr>
          </w:p>
        </w:tc>
        <w:tc>
          <w:tcPr>
            <w:tcW w:w="1701"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БІСОПРОЛОЛУ ФУМАРАТ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autoSpaceDE w:val="0"/>
              <w:autoSpaceDN w:val="0"/>
              <w:adjustRightInd w:val="0"/>
              <w:rPr>
                <w:rFonts w:ascii="Arial" w:hAnsi="Arial" w:cs="Arial"/>
                <w:bCs/>
                <w:sz w:val="16"/>
                <w:szCs w:val="16"/>
                <w:lang w:eastAsia="en-US"/>
              </w:rPr>
            </w:pPr>
            <w:r>
              <w:rPr>
                <w:rFonts w:ascii="Arial" w:hAnsi="Arial" w:cs="Arial"/>
                <w:bCs/>
                <w:sz w:val="16"/>
                <w:szCs w:val="16"/>
                <w:lang w:eastAsia="en-US"/>
              </w:rPr>
              <w:t>порошок (субстанція) у пакетах подвійних поліетиленових, вкладених у барабани для фармацевтичного застосування</w:t>
            </w:r>
          </w:p>
          <w:p w:rsidR="003D03F3" w:rsidRDefault="003D03F3">
            <w:pPr>
              <w:pStyle w:val="110"/>
              <w:tabs>
                <w:tab w:val="left" w:pos="12600"/>
              </w:tabs>
              <w:rPr>
                <w:rFonts w:ascii="Arial" w:hAnsi="Arial" w:cs="Arial"/>
                <w:sz w:val="16"/>
                <w:szCs w:val="16"/>
                <w:lang w:val="ru-RU"/>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lang w:val="ru-RU"/>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Сичуань Кінгму Фармасьютікал Ко., Лтд</w:t>
            </w:r>
            <w:r>
              <w:rPr>
                <w:rFonts w:ascii="Arial" w:hAnsi="Arial" w:cs="Arial"/>
                <w:sz w:val="16"/>
                <w:szCs w:val="16"/>
              </w:rPr>
              <w:br/>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Китай</w:t>
            </w:r>
          </w:p>
        </w:tc>
        <w:tc>
          <w:tcPr>
            <w:tcW w:w="2977"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UA/20054/01/01</w:t>
            </w:r>
          </w:p>
        </w:tc>
      </w:tr>
      <w:tr w:rsidR="003D03F3" w:rsidTr="00E420B5">
        <w:trPr>
          <w:cantSplit/>
        </w:trPr>
        <w:tc>
          <w:tcPr>
            <w:tcW w:w="42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4"/>
              </w:numPr>
              <w:tabs>
                <w:tab w:val="left" w:pos="12600"/>
              </w:tabs>
              <w:jc w:val="center"/>
              <w:rPr>
                <w:rFonts w:ascii="Arial" w:hAnsi="Arial" w:cs="Arial"/>
                <w:b/>
                <w:sz w:val="18"/>
                <w:szCs w:val="18"/>
              </w:rPr>
            </w:pPr>
          </w:p>
        </w:tc>
        <w:tc>
          <w:tcPr>
            <w:tcW w:w="1701"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ВІЗИН® КОМФОРТ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lang w:val="ru-RU"/>
              </w:rPr>
            </w:pPr>
            <w:r>
              <w:rPr>
                <w:rFonts w:ascii="Arial" w:hAnsi="Arial" w:cs="Arial"/>
                <w:sz w:val="16"/>
                <w:szCs w:val="16"/>
                <w:lang w:val="ru-RU"/>
              </w:rPr>
              <w:t>краплі очні, розчин 0,5 мг/мл, по 15 мл розчину у флаконі з наконечником-дозатором і кришкою із захистом від розкриття дітьми; по 1 флакону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lang w:val="ru-RU"/>
              </w:rPr>
            </w:pPr>
            <w:r>
              <w:rPr>
                <w:rFonts w:ascii="Arial" w:hAnsi="Arial" w:cs="Arial"/>
                <w:sz w:val="16"/>
                <w:szCs w:val="16"/>
                <w:lang w:val="ru-RU"/>
              </w:rPr>
              <w:t>МакНіл Продактс Лімітед</w:t>
            </w:r>
            <w:r>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03F3" w:rsidRPr="003D03F3" w:rsidRDefault="003D03F3">
            <w:pPr>
              <w:jc w:val="center"/>
              <w:rPr>
                <w:rFonts w:ascii="Arial" w:hAnsi="Arial" w:cs="Arial"/>
                <w:sz w:val="16"/>
                <w:szCs w:val="16"/>
                <w:lang w:val="uk-UA"/>
              </w:rPr>
            </w:pPr>
            <w:r w:rsidRPr="003D03F3">
              <w:rPr>
                <w:rFonts w:ascii="Arial" w:hAnsi="Arial" w:cs="Arial"/>
                <w:sz w:val="16"/>
                <w:szCs w:val="16"/>
                <w:lang w:val="uk-UA"/>
              </w:rPr>
              <w:t>Виробництво, тестування, первинне та вторинне пакування, контроль серії, випуск серії лікарського засобу, випробування та випуск сировини та компонентів упаковки, зберігання та випробування зразків на стабільність:</w:t>
            </w:r>
          </w:p>
          <w:p w:rsidR="003D03F3" w:rsidRDefault="003D03F3">
            <w:pPr>
              <w:jc w:val="center"/>
              <w:rPr>
                <w:rFonts w:ascii="Arial" w:hAnsi="Arial" w:cs="Arial"/>
                <w:sz w:val="16"/>
                <w:szCs w:val="16"/>
              </w:rPr>
            </w:pPr>
            <w:r>
              <w:rPr>
                <w:rFonts w:ascii="Arial" w:hAnsi="Arial" w:cs="Arial"/>
                <w:sz w:val="16"/>
                <w:szCs w:val="16"/>
              </w:rPr>
              <w:t>Янссен Фармацевтика НВ, Бельгія</w:t>
            </w:r>
          </w:p>
          <w:p w:rsidR="003D03F3" w:rsidRDefault="003D03F3">
            <w:pPr>
              <w:jc w:val="center"/>
              <w:rPr>
                <w:rFonts w:ascii="Arial" w:hAnsi="Arial" w:cs="Arial"/>
                <w:sz w:val="16"/>
                <w:szCs w:val="16"/>
              </w:rPr>
            </w:pPr>
            <w:r>
              <w:rPr>
                <w:rFonts w:ascii="Arial" w:hAnsi="Arial" w:cs="Arial"/>
                <w:sz w:val="16"/>
                <w:szCs w:val="16"/>
              </w:rPr>
              <w:t>Гамма-опромінювальна стерилізація первинних компонентів упаковки:</w:t>
            </w:r>
          </w:p>
          <w:p w:rsidR="003D03F3" w:rsidRDefault="003D03F3">
            <w:pPr>
              <w:jc w:val="center"/>
              <w:rPr>
                <w:rFonts w:ascii="Arial" w:hAnsi="Arial" w:cs="Arial"/>
                <w:sz w:val="16"/>
                <w:szCs w:val="16"/>
              </w:rPr>
            </w:pPr>
            <w:r>
              <w:rPr>
                <w:rFonts w:ascii="Arial" w:hAnsi="Arial" w:cs="Arial"/>
                <w:sz w:val="16"/>
                <w:szCs w:val="16"/>
              </w:rPr>
              <w:t>Синерджи Хелс Еде Б.В., Нідерланди</w:t>
            </w:r>
          </w:p>
          <w:p w:rsidR="003D03F3" w:rsidRDefault="003D03F3">
            <w:pPr>
              <w:jc w:val="center"/>
              <w:rPr>
                <w:rFonts w:ascii="Arial" w:hAnsi="Arial" w:cs="Arial"/>
                <w:sz w:val="16"/>
                <w:szCs w:val="16"/>
              </w:rPr>
            </w:pPr>
            <w:r>
              <w:rPr>
                <w:rFonts w:ascii="Arial" w:hAnsi="Arial" w:cs="Arial"/>
                <w:sz w:val="16"/>
                <w:szCs w:val="16"/>
              </w:rPr>
              <w:t>Гамма-опромінювальна стерилізація первинних компонентів упаковки:</w:t>
            </w:r>
          </w:p>
          <w:p w:rsidR="003D03F3" w:rsidRDefault="003D03F3">
            <w:pPr>
              <w:jc w:val="center"/>
              <w:rPr>
                <w:rFonts w:ascii="Arial" w:hAnsi="Arial" w:cs="Arial"/>
                <w:sz w:val="16"/>
                <w:szCs w:val="16"/>
              </w:rPr>
            </w:pPr>
            <w:r>
              <w:rPr>
                <w:rFonts w:ascii="Arial" w:hAnsi="Arial" w:cs="Arial"/>
                <w:sz w:val="16"/>
                <w:szCs w:val="16"/>
              </w:rPr>
              <w:t>Синерджи Хелс Еде Б.В., Нідерланди</w:t>
            </w:r>
          </w:p>
          <w:p w:rsidR="003D03F3" w:rsidRDefault="003D03F3">
            <w:pPr>
              <w:pStyle w:val="110"/>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Бельгія/</w:t>
            </w:r>
          </w:p>
          <w:p w:rsidR="003D03F3" w:rsidRDefault="003D03F3">
            <w:pPr>
              <w:pStyle w:val="110"/>
              <w:tabs>
                <w:tab w:val="left" w:pos="12600"/>
              </w:tabs>
              <w:jc w:val="center"/>
              <w:rPr>
                <w:rFonts w:ascii="Arial" w:hAnsi="Arial" w:cs="Arial"/>
                <w:sz w:val="16"/>
                <w:szCs w:val="16"/>
              </w:rPr>
            </w:pPr>
            <w:r>
              <w:rPr>
                <w:rFonts w:ascii="Arial" w:hAnsi="Arial" w:cs="Arial"/>
                <w:sz w:val="16"/>
                <w:szCs w:val="16"/>
              </w:rPr>
              <w:t>Нідерланди</w:t>
            </w:r>
          </w:p>
          <w:p w:rsidR="003D03F3" w:rsidRDefault="003D03F3">
            <w:pPr>
              <w:pStyle w:val="110"/>
              <w:tabs>
                <w:tab w:val="left" w:pos="12600"/>
              </w:tabs>
              <w:jc w:val="center"/>
              <w:rPr>
                <w:rFonts w:ascii="Arial" w:hAnsi="Arial" w:cs="Arial"/>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Реєстрація на 5 років</w:t>
            </w:r>
            <w:r>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UA/20055/01/01</w:t>
            </w:r>
          </w:p>
        </w:tc>
      </w:tr>
      <w:tr w:rsidR="003D03F3" w:rsidTr="00E420B5">
        <w:trPr>
          <w:cantSplit/>
        </w:trPr>
        <w:tc>
          <w:tcPr>
            <w:tcW w:w="42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4"/>
              </w:numPr>
              <w:tabs>
                <w:tab w:val="left" w:pos="12600"/>
              </w:tabs>
              <w:jc w:val="center"/>
              <w:rPr>
                <w:rFonts w:ascii="Arial" w:hAnsi="Arial" w:cs="Arial"/>
                <w:b/>
                <w:sz w:val="18"/>
                <w:szCs w:val="18"/>
              </w:rPr>
            </w:pPr>
          </w:p>
        </w:tc>
        <w:tc>
          <w:tcPr>
            <w:tcW w:w="1701"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ВОДА ДЛЯ ІН'ЄКЦІЙ</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lang w:val="ru-RU"/>
              </w:rPr>
            </w:pPr>
            <w:r>
              <w:rPr>
                <w:rFonts w:ascii="Arial" w:hAnsi="Arial" w:cs="Arial"/>
                <w:sz w:val="16"/>
                <w:szCs w:val="16"/>
                <w:lang w:val="ru-RU"/>
              </w:rPr>
              <w:t>розчинник для парентерального застосування, по 2,0 мл, 5,0 мл, 10,0 мл в ампулі, по 10 ампул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lang w:val="ru-RU"/>
              </w:rPr>
              <w:t>Дочірнє підприємство "Фарматрейд"</w:t>
            </w:r>
            <w:r>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Дочірнє підприємство "Фарматрейд"</w:t>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Реєстрація на 5 років</w:t>
            </w:r>
            <w:r>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UA/20056/01/01</w:t>
            </w:r>
          </w:p>
        </w:tc>
      </w:tr>
      <w:tr w:rsidR="003D03F3" w:rsidTr="00E420B5">
        <w:trPr>
          <w:cantSplit/>
        </w:trPr>
        <w:tc>
          <w:tcPr>
            <w:tcW w:w="42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4"/>
              </w:numPr>
              <w:tabs>
                <w:tab w:val="left" w:pos="12600"/>
              </w:tabs>
              <w:jc w:val="center"/>
              <w:rPr>
                <w:rFonts w:ascii="Arial" w:hAnsi="Arial" w:cs="Arial"/>
                <w:b/>
                <w:sz w:val="18"/>
                <w:szCs w:val="18"/>
              </w:rPr>
            </w:pPr>
          </w:p>
        </w:tc>
        <w:tc>
          <w:tcPr>
            <w:tcW w:w="1701"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ДЕКСОФЕН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lang w:val="ru-RU"/>
              </w:rPr>
            </w:pPr>
            <w:r>
              <w:rPr>
                <w:rFonts w:ascii="Arial" w:hAnsi="Arial" w:cs="Arial"/>
                <w:sz w:val="16"/>
                <w:szCs w:val="16"/>
                <w:lang w:val="ru-RU"/>
              </w:rPr>
              <w:t>розчин для ін’єкцій, 50 мг/2 мл по 2 мл в ампулі; по 5 ампул у пластиковій контурній упаковці,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lang w:val="ru-RU"/>
              </w:rPr>
            </w:pPr>
            <w:r>
              <w:rPr>
                <w:rFonts w:ascii="Arial" w:hAnsi="Arial" w:cs="Arial"/>
                <w:sz w:val="16"/>
                <w:szCs w:val="16"/>
                <w:lang w:val="ru-RU"/>
              </w:rPr>
              <w:t>Євро Лайфкер Прайвіт Лімітед</w:t>
            </w:r>
            <w:r>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lang w:val="ru-RU"/>
              </w:rPr>
              <w:t>Стерил-Джен Лайф Сайєнсиз (П) Лтд.</w:t>
            </w:r>
            <w:r>
              <w:rPr>
                <w:rFonts w:ascii="Arial" w:hAnsi="Arial" w:cs="Arial"/>
                <w:sz w:val="16"/>
                <w:szCs w:val="16"/>
                <w:lang w:val="ru-RU"/>
              </w:rPr>
              <w:br/>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реєстрація на 5 років</w:t>
            </w:r>
            <w:r>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UA/20057/01/01</w:t>
            </w:r>
          </w:p>
        </w:tc>
      </w:tr>
      <w:tr w:rsidR="003D03F3" w:rsidTr="00E420B5">
        <w:trPr>
          <w:cantSplit/>
        </w:trPr>
        <w:tc>
          <w:tcPr>
            <w:tcW w:w="42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4"/>
              </w:numPr>
              <w:tabs>
                <w:tab w:val="left" w:pos="12600"/>
              </w:tabs>
              <w:jc w:val="center"/>
              <w:rPr>
                <w:rFonts w:ascii="Arial" w:hAnsi="Arial" w:cs="Arial"/>
                <w:b/>
                <w:sz w:val="18"/>
                <w:szCs w:val="18"/>
              </w:rPr>
            </w:pPr>
          </w:p>
        </w:tc>
        <w:tc>
          <w:tcPr>
            <w:tcW w:w="1701"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КЕРЕНДІЯ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lang w:val="ru-RU"/>
              </w:rPr>
            </w:pPr>
            <w:r>
              <w:rPr>
                <w:rFonts w:ascii="Arial" w:hAnsi="Arial" w:cs="Arial"/>
                <w:sz w:val="16"/>
                <w:szCs w:val="16"/>
                <w:lang w:val="ru-RU"/>
              </w:rPr>
              <w:t>таблетки, вкриті плівковою оболонкою, по 20 мг, по 14 таблеток у блістері, по 2 або 7 блістерів з календарною шкалою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lang w:val="en-US"/>
              </w:rPr>
            </w:pPr>
            <w:r>
              <w:rPr>
                <w:rFonts w:ascii="Arial" w:hAnsi="Arial" w:cs="Arial"/>
                <w:sz w:val="16"/>
                <w:szCs w:val="16"/>
                <w:lang w:val="ru-RU"/>
              </w:rPr>
              <w:t>Байєр</w:t>
            </w:r>
            <w:r>
              <w:rPr>
                <w:rFonts w:ascii="Arial" w:hAnsi="Arial" w:cs="Arial"/>
                <w:sz w:val="16"/>
                <w:szCs w:val="16"/>
                <w:lang w:val="en-US"/>
              </w:rPr>
              <w:t xml:space="preserve"> </w:t>
            </w:r>
            <w:r>
              <w:rPr>
                <w:rFonts w:ascii="Arial" w:hAnsi="Arial" w:cs="Arial"/>
                <w:sz w:val="16"/>
                <w:szCs w:val="16"/>
                <w:lang w:val="ru-RU"/>
              </w:rPr>
              <w:t>АГ</w:t>
            </w:r>
            <w:r>
              <w:rPr>
                <w:rFonts w:ascii="Arial" w:hAnsi="Arial" w:cs="Arial"/>
                <w:sz w:val="16"/>
                <w:szCs w:val="16"/>
                <w:lang w:val="en-US"/>
              </w:rPr>
              <w:t xml:space="preserve">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Байєр АГ</w:t>
            </w:r>
            <w:r>
              <w:rPr>
                <w:rFonts w:ascii="Arial" w:hAnsi="Arial" w:cs="Arial"/>
                <w:sz w:val="16"/>
                <w:szCs w:val="16"/>
              </w:rPr>
              <w:br/>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реєстрація на 5 років</w:t>
            </w:r>
            <w:r>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UA/20058/01/02</w:t>
            </w:r>
          </w:p>
        </w:tc>
      </w:tr>
      <w:tr w:rsidR="003D03F3" w:rsidTr="00E420B5">
        <w:trPr>
          <w:cantSplit/>
        </w:trPr>
        <w:tc>
          <w:tcPr>
            <w:tcW w:w="42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4"/>
              </w:numPr>
              <w:tabs>
                <w:tab w:val="left" w:pos="12600"/>
              </w:tabs>
              <w:jc w:val="center"/>
              <w:rPr>
                <w:rFonts w:ascii="Arial" w:hAnsi="Arial" w:cs="Arial"/>
                <w:b/>
                <w:sz w:val="18"/>
                <w:szCs w:val="18"/>
              </w:rPr>
            </w:pPr>
          </w:p>
        </w:tc>
        <w:tc>
          <w:tcPr>
            <w:tcW w:w="1701"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КЕРЕНДІЯ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lang w:val="ru-RU"/>
              </w:rPr>
            </w:pPr>
            <w:r>
              <w:rPr>
                <w:rFonts w:ascii="Arial" w:hAnsi="Arial" w:cs="Arial"/>
                <w:sz w:val="16"/>
                <w:szCs w:val="16"/>
                <w:lang w:val="ru-RU"/>
              </w:rPr>
              <w:t>таблетки, вкриті плівковою оболонкою, по 10 мг, по 14 таблеток у блістері, по 2 або 7 блістерів з календарною шкалою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lang w:val="ru-RU"/>
              </w:rPr>
            </w:pPr>
            <w:r>
              <w:rPr>
                <w:rFonts w:ascii="Arial" w:hAnsi="Arial" w:cs="Arial"/>
                <w:sz w:val="16"/>
                <w:szCs w:val="16"/>
                <w:lang w:val="ru-RU"/>
              </w:rPr>
              <w:t>Байєр АГ</w:t>
            </w:r>
            <w:r>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Байєр АГ</w:t>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реєстрація на 5 років</w:t>
            </w:r>
            <w:r>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UA/20058/01/01</w:t>
            </w:r>
          </w:p>
        </w:tc>
      </w:tr>
      <w:tr w:rsidR="003D03F3" w:rsidTr="00E420B5">
        <w:trPr>
          <w:cantSplit/>
        </w:trPr>
        <w:tc>
          <w:tcPr>
            <w:tcW w:w="42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4"/>
              </w:numPr>
              <w:tabs>
                <w:tab w:val="left" w:pos="12600"/>
              </w:tabs>
              <w:jc w:val="center"/>
              <w:rPr>
                <w:rFonts w:ascii="Arial" w:hAnsi="Arial" w:cs="Arial"/>
                <w:b/>
                <w:sz w:val="18"/>
                <w:szCs w:val="18"/>
              </w:rPr>
            </w:pPr>
          </w:p>
        </w:tc>
        <w:tc>
          <w:tcPr>
            <w:tcW w:w="1701"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КЕТОДЕКСА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lang w:val="ru-RU"/>
              </w:rPr>
            </w:pPr>
            <w:r>
              <w:rPr>
                <w:rFonts w:ascii="Arial" w:hAnsi="Arial" w:cs="Arial"/>
                <w:sz w:val="16"/>
                <w:szCs w:val="16"/>
                <w:lang w:val="ru-RU"/>
              </w:rPr>
              <w:t>гранули для орального розчину по 25 мг, саше по 2,5 г, по 10 або по 30 саше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lang w:val="ru-RU"/>
              </w:rPr>
              <w:t>ТОВ "Астрафарм"</w:t>
            </w:r>
            <w:r>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lang w:val="ru-RU"/>
              </w:rPr>
              <w:t>ТОВ "Астрафарм"</w:t>
            </w:r>
            <w:r>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Реєстрація на 5 років</w:t>
            </w:r>
            <w:r>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UA/16020/02/01</w:t>
            </w:r>
          </w:p>
        </w:tc>
      </w:tr>
      <w:tr w:rsidR="003D03F3" w:rsidTr="00E420B5">
        <w:trPr>
          <w:cantSplit/>
        </w:trPr>
        <w:tc>
          <w:tcPr>
            <w:tcW w:w="42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4"/>
              </w:numPr>
              <w:tabs>
                <w:tab w:val="left" w:pos="12600"/>
              </w:tabs>
              <w:jc w:val="center"/>
              <w:rPr>
                <w:rFonts w:ascii="Arial" w:hAnsi="Arial" w:cs="Arial"/>
                <w:b/>
                <w:sz w:val="18"/>
                <w:szCs w:val="18"/>
              </w:rPr>
            </w:pPr>
          </w:p>
        </w:tc>
        <w:tc>
          <w:tcPr>
            <w:tcW w:w="1701"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КУТАКВІГ</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lang w:val="ru-RU"/>
              </w:rPr>
            </w:pPr>
            <w:r>
              <w:rPr>
                <w:rFonts w:ascii="Arial" w:hAnsi="Arial" w:cs="Arial"/>
                <w:sz w:val="16"/>
                <w:szCs w:val="16"/>
                <w:lang w:val="ru-RU"/>
              </w:rPr>
              <w:t>розчин для ін'єкцій, 165 мг/мл; по 6 мл, 10 мл, 12 мл, 20 мл, 24 мл, 48 мл у флаконі,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lang w:val="ru-RU"/>
              </w:rPr>
            </w:pPr>
            <w:r>
              <w:rPr>
                <w:rFonts w:ascii="Arial" w:hAnsi="Arial" w:cs="Arial"/>
                <w:sz w:val="16"/>
                <w:szCs w:val="16"/>
                <w:lang w:val="ru-RU"/>
              </w:rPr>
              <w:t>Октафарма Фармацевтика Продуктіонсгес. м.б.Х.</w:t>
            </w:r>
            <w:r>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(виробник, відповідальний за виробництво in-bulk, первинну упаковку, контроль якості, випуск серії)</w:t>
            </w:r>
            <w:r>
              <w:rPr>
                <w:rFonts w:ascii="Arial" w:hAnsi="Arial" w:cs="Arial"/>
                <w:sz w:val="16"/>
                <w:szCs w:val="16"/>
              </w:rPr>
              <w:br/>
              <w:t>ОКТАФАРМА АБ,  Швеція</w:t>
            </w:r>
            <w:r>
              <w:rPr>
                <w:rFonts w:ascii="Arial" w:hAnsi="Arial" w:cs="Arial"/>
                <w:sz w:val="16"/>
                <w:szCs w:val="16"/>
              </w:rPr>
              <w:br/>
              <w:t>(виробник, відповідальний за виробництво in-bulk, первинну упаковку, контроль якості, візуальну інспекцію, маркування, вторинну упаковку, випуск серії)</w:t>
            </w:r>
            <w:r>
              <w:rPr>
                <w:rFonts w:ascii="Arial" w:hAnsi="Arial" w:cs="Arial"/>
                <w:sz w:val="16"/>
                <w:szCs w:val="16"/>
              </w:rPr>
              <w:br/>
              <w:t>Октафарма Фармацевтика Продуктіонсгес. м.б.Х, Австрія</w:t>
            </w:r>
            <w:r>
              <w:rPr>
                <w:rFonts w:ascii="Arial" w:hAnsi="Arial" w:cs="Arial"/>
                <w:sz w:val="16"/>
                <w:szCs w:val="16"/>
              </w:rPr>
              <w:br/>
              <w:t>(виробник, відповідальний за візуальну інспекцію, маркування, вторинну упаковку)</w:t>
            </w:r>
            <w:r>
              <w:rPr>
                <w:rFonts w:ascii="Arial" w:hAnsi="Arial" w:cs="Arial"/>
                <w:sz w:val="16"/>
                <w:szCs w:val="16"/>
              </w:rPr>
              <w:br/>
              <w:t>Октафарма Дессау ГмбХ, Німеччина</w:t>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Швеція/</w:t>
            </w:r>
          </w:p>
          <w:p w:rsidR="003D03F3" w:rsidRDefault="003D03F3">
            <w:pPr>
              <w:pStyle w:val="110"/>
              <w:tabs>
                <w:tab w:val="left" w:pos="12600"/>
              </w:tabs>
              <w:jc w:val="center"/>
              <w:rPr>
                <w:rFonts w:ascii="Arial" w:hAnsi="Arial" w:cs="Arial"/>
                <w:sz w:val="16"/>
                <w:szCs w:val="16"/>
              </w:rPr>
            </w:pPr>
            <w:r>
              <w:rPr>
                <w:rFonts w:ascii="Arial" w:hAnsi="Arial" w:cs="Arial"/>
                <w:sz w:val="16"/>
                <w:szCs w:val="16"/>
              </w:rPr>
              <w:t>Австрія/</w:t>
            </w:r>
          </w:p>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Реєстрація на 5 років</w:t>
            </w:r>
            <w:r>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UA/20059/01/01</w:t>
            </w:r>
          </w:p>
        </w:tc>
      </w:tr>
      <w:tr w:rsidR="003D03F3" w:rsidTr="00E420B5">
        <w:trPr>
          <w:cantSplit/>
        </w:trPr>
        <w:tc>
          <w:tcPr>
            <w:tcW w:w="42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4"/>
              </w:numPr>
              <w:tabs>
                <w:tab w:val="left" w:pos="12600"/>
              </w:tabs>
              <w:jc w:val="center"/>
              <w:rPr>
                <w:rFonts w:ascii="Arial" w:hAnsi="Arial" w:cs="Arial"/>
                <w:b/>
                <w:sz w:val="18"/>
                <w:szCs w:val="18"/>
              </w:rPr>
            </w:pPr>
          </w:p>
        </w:tc>
        <w:tc>
          <w:tcPr>
            <w:tcW w:w="1701"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ЛЕВОКАРНІТИН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autoSpaceDE w:val="0"/>
              <w:autoSpaceDN w:val="0"/>
              <w:adjustRightInd w:val="0"/>
              <w:rPr>
                <w:rFonts w:ascii="Arial" w:hAnsi="Arial" w:cs="Arial"/>
                <w:bCs/>
                <w:sz w:val="16"/>
                <w:szCs w:val="16"/>
                <w:lang w:eastAsia="en-US"/>
              </w:rPr>
            </w:pPr>
            <w:r>
              <w:rPr>
                <w:rFonts w:ascii="Arial" w:hAnsi="Arial" w:cs="Arial"/>
                <w:bCs/>
                <w:sz w:val="16"/>
                <w:szCs w:val="16"/>
                <w:lang w:eastAsia="en-US"/>
              </w:rPr>
              <w:t>кристалічний порошок (субстанція) у поліетиленових пакетах для фармацевтичного застосування</w:t>
            </w:r>
          </w:p>
          <w:p w:rsidR="003D03F3" w:rsidRDefault="003D03F3">
            <w:pPr>
              <w:pStyle w:val="110"/>
              <w:tabs>
                <w:tab w:val="left" w:pos="12600"/>
              </w:tabs>
              <w:rPr>
                <w:rFonts w:ascii="Arial" w:hAnsi="Arial" w:cs="Arial"/>
                <w:sz w:val="16"/>
                <w:szCs w:val="16"/>
                <w:lang w:val="ru-RU"/>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lang w:val="ru-RU"/>
              </w:rPr>
              <w:t>ТОВ "Юрія-Фарм"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lang w:val="ru-RU"/>
              </w:rPr>
              <w:t xml:space="preserve">Нортіст Фармасьютікал Груп Ко., Лтд. </w:t>
            </w:r>
            <w:r>
              <w:rPr>
                <w:rFonts w:ascii="Arial" w:hAnsi="Arial" w:cs="Arial"/>
                <w:sz w:val="16"/>
                <w:szCs w:val="16"/>
                <w:lang w:val="ru-RU"/>
              </w:rPr>
              <w:br/>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Китай</w:t>
            </w:r>
          </w:p>
        </w:tc>
        <w:tc>
          <w:tcPr>
            <w:tcW w:w="2977"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UA/20060/01/01</w:t>
            </w:r>
          </w:p>
        </w:tc>
      </w:tr>
      <w:tr w:rsidR="003D03F3" w:rsidTr="00E420B5">
        <w:trPr>
          <w:cantSplit/>
        </w:trPr>
        <w:tc>
          <w:tcPr>
            <w:tcW w:w="42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4"/>
              </w:numPr>
              <w:tabs>
                <w:tab w:val="left" w:pos="12600"/>
              </w:tabs>
              <w:jc w:val="center"/>
              <w:rPr>
                <w:rFonts w:ascii="Arial" w:hAnsi="Arial" w:cs="Arial"/>
                <w:b/>
                <w:sz w:val="18"/>
                <w:szCs w:val="18"/>
              </w:rPr>
            </w:pPr>
          </w:p>
        </w:tc>
        <w:tc>
          <w:tcPr>
            <w:tcW w:w="1701"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ЛЕВОКАРНІТИН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autoSpaceDE w:val="0"/>
              <w:autoSpaceDN w:val="0"/>
              <w:adjustRightInd w:val="0"/>
              <w:rPr>
                <w:rFonts w:ascii="Arial" w:hAnsi="Arial" w:cs="Arial"/>
                <w:bCs/>
                <w:sz w:val="16"/>
                <w:szCs w:val="16"/>
                <w:lang w:eastAsia="en-US"/>
              </w:rPr>
            </w:pPr>
            <w:r>
              <w:rPr>
                <w:rFonts w:ascii="Arial" w:hAnsi="Arial" w:cs="Arial"/>
                <w:bCs/>
                <w:sz w:val="16"/>
                <w:szCs w:val="16"/>
                <w:lang w:eastAsia="en-US"/>
              </w:rPr>
              <w:t>кристалічний порошок (субстанція) у тришарових пакетах з поліетилену низької щільності для фармацевтичного застосування</w:t>
            </w:r>
          </w:p>
          <w:p w:rsidR="003D03F3" w:rsidRDefault="003D03F3">
            <w:pPr>
              <w:pStyle w:val="110"/>
              <w:tabs>
                <w:tab w:val="left" w:pos="12600"/>
              </w:tabs>
              <w:rPr>
                <w:rFonts w:ascii="Arial" w:hAnsi="Arial" w:cs="Arial"/>
                <w:sz w:val="16"/>
                <w:szCs w:val="16"/>
                <w:lang w:val="ru-RU"/>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lang w:val="ru-RU"/>
              </w:rPr>
            </w:pPr>
            <w:r>
              <w:rPr>
                <w:rFonts w:ascii="Arial" w:hAnsi="Arial" w:cs="Arial"/>
                <w:sz w:val="16"/>
                <w:szCs w:val="16"/>
                <w:lang w:val="ru-RU"/>
              </w:rPr>
              <w:t>ТОВ "ФАРМАСЕЛ"</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Ляонін Концепнутра Ко., Лтд.</w:t>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Китай</w:t>
            </w:r>
          </w:p>
        </w:tc>
        <w:tc>
          <w:tcPr>
            <w:tcW w:w="2977"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UA/20061/01/01</w:t>
            </w:r>
          </w:p>
        </w:tc>
      </w:tr>
      <w:tr w:rsidR="003D03F3" w:rsidTr="00E420B5">
        <w:trPr>
          <w:cantSplit/>
        </w:trPr>
        <w:tc>
          <w:tcPr>
            <w:tcW w:w="42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4"/>
              </w:numPr>
              <w:tabs>
                <w:tab w:val="left" w:pos="12600"/>
              </w:tabs>
              <w:jc w:val="center"/>
              <w:rPr>
                <w:rFonts w:ascii="Arial" w:hAnsi="Arial" w:cs="Arial"/>
                <w:b/>
                <w:sz w:val="18"/>
                <w:szCs w:val="18"/>
              </w:rPr>
            </w:pPr>
          </w:p>
        </w:tc>
        <w:tc>
          <w:tcPr>
            <w:tcW w:w="1701"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МЕРКАПТОПУРИН-ВІСТА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lang w:val="ru-RU"/>
              </w:rPr>
            </w:pPr>
            <w:r>
              <w:rPr>
                <w:rFonts w:ascii="Arial" w:hAnsi="Arial" w:cs="Arial"/>
                <w:sz w:val="16"/>
                <w:szCs w:val="16"/>
                <w:lang w:val="ru-RU"/>
              </w:rPr>
              <w:t>таблетки по 50 мг, по 25 таблеток у флаконі, по 1 флакону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lang w:val="ru-RU"/>
              </w:rPr>
            </w:pPr>
            <w:r>
              <w:rPr>
                <w:rFonts w:ascii="Arial" w:hAnsi="Arial" w:cs="Arial"/>
                <w:sz w:val="16"/>
                <w:szCs w:val="16"/>
                <w:lang w:val="ru-RU"/>
              </w:rPr>
              <w:t xml:space="preserve">Містрал Кепітал Менеджмент Лімітед </w:t>
            </w:r>
            <w:r>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виробництво готової лікарської форми, первинна та вторинна упаковка, контроль серії, випуск серії:</w:t>
            </w:r>
            <w:r>
              <w:rPr>
                <w:rFonts w:ascii="Arial" w:hAnsi="Arial" w:cs="Arial"/>
                <w:sz w:val="16"/>
                <w:szCs w:val="16"/>
              </w:rPr>
              <w:br/>
              <w:t>АРДЕНА ПАМПЛОНА С.Л., Іспанія</w:t>
            </w:r>
            <w:r>
              <w:rPr>
                <w:rFonts w:ascii="Arial" w:hAnsi="Arial" w:cs="Arial"/>
                <w:sz w:val="16"/>
                <w:szCs w:val="16"/>
              </w:rPr>
              <w:br/>
              <w:t>контроль серії:</w:t>
            </w:r>
            <w:r>
              <w:rPr>
                <w:rFonts w:ascii="Arial" w:hAnsi="Arial" w:cs="Arial"/>
                <w:sz w:val="16"/>
                <w:szCs w:val="16"/>
              </w:rPr>
              <w:br/>
              <w:t>ІНФАРМЕЙД, С.Л., Іспанія</w:t>
            </w:r>
            <w:r>
              <w:rPr>
                <w:rFonts w:ascii="Arial" w:hAnsi="Arial" w:cs="Arial"/>
                <w:sz w:val="16"/>
                <w:szCs w:val="16"/>
              </w:rPr>
              <w:br/>
              <w:t>вторинна упаковка:</w:t>
            </w:r>
            <w:r>
              <w:rPr>
                <w:rFonts w:ascii="Arial" w:hAnsi="Arial" w:cs="Arial"/>
                <w:sz w:val="16"/>
                <w:szCs w:val="16"/>
              </w:rPr>
              <w:br/>
              <w:t>ЛАБОРАТОРІЗ ЕНТЕМА,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Іспанія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Реєстрація на 5 років</w:t>
            </w:r>
            <w:r>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UA/20062/01/01</w:t>
            </w:r>
          </w:p>
        </w:tc>
      </w:tr>
      <w:tr w:rsidR="003D03F3" w:rsidTr="00E420B5">
        <w:trPr>
          <w:cantSplit/>
        </w:trPr>
        <w:tc>
          <w:tcPr>
            <w:tcW w:w="42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4"/>
              </w:numPr>
              <w:tabs>
                <w:tab w:val="left" w:pos="12600"/>
              </w:tabs>
              <w:jc w:val="center"/>
              <w:rPr>
                <w:rFonts w:ascii="Arial" w:hAnsi="Arial" w:cs="Arial"/>
                <w:b/>
                <w:sz w:val="18"/>
                <w:szCs w:val="18"/>
              </w:rPr>
            </w:pPr>
          </w:p>
        </w:tc>
        <w:tc>
          <w:tcPr>
            <w:tcW w:w="1701"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МІТРА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lang w:val="ru-RU"/>
              </w:rPr>
            </w:pPr>
            <w:r>
              <w:rPr>
                <w:rFonts w:ascii="Arial" w:hAnsi="Arial" w:cs="Arial"/>
                <w:sz w:val="16"/>
                <w:szCs w:val="16"/>
                <w:lang w:val="ru-RU"/>
              </w:rPr>
              <w:t>розчин для ін'єкцій, 100 мг/мл, по 5 мл в ампулі, по 5 ампул у контурній чарунковій упаковці, по 2 контурні чарункові упаковки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lang w:val="ru-RU"/>
              </w:rPr>
            </w:pPr>
            <w:r>
              <w:rPr>
                <w:rFonts w:ascii="Arial" w:hAnsi="Arial" w:cs="Arial"/>
                <w:sz w:val="16"/>
                <w:szCs w:val="16"/>
                <w:lang w:val="ru-RU"/>
              </w:rPr>
              <w:t>ТОВ «ФОРС-ФАРМА ДИСТРИБЮШН»</w:t>
            </w:r>
            <w:r>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lang w:val="ru-RU"/>
              </w:rPr>
              <w:t xml:space="preserve">К.Т. Ромфарм Компані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lang w:val="ru-RU"/>
              </w:rPr>
              <w:t>Румунія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реєстрація на 5 років</w:t>
            </w:r>
            <w:r>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UA/20063/01/01</w:t>
            </w:r>
          </w:p>
        </w:tc>
      </w:tr>
      <w:tr w:rsidR="003D03F3" w:rsidTr="00E420B5">
        <w:trPr>
          <w:cantSplit/>
        </w:trPr>
        <w:tc>
          <w:tcPr>
            <w:tcW w:w="42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4"/>
              </w:numPr>
              <w:tabs>
                <w:tab w:val="left" w:pos="12600"/>
              </w:tabs>
              <w:jc w:val="center"/>
              <w:rPr>
                <w:rFonts w:ascii="Arial" w:hAnsi="Arial" w:cs="Arial"/>
                <w:b/>
                <w:sz w:val="18"/>
                <w:szCs w:val="18"/>
              </w:rPr>
            </w:pPr>
          </w:p>
        </w:tc>
        <w:tc>
          <w:tcPr>
            <w:tcW w:w="1701"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ОЛМЕСАР А 20/5</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lang w:val="ru-RU"/>
              </w:rPr>
            </w:pPr>
            <w:r>
              <w:rPr>
                <w:rFonts w:ascii="Arial" w:hAnsi="Arial" w:cs="Arial"/>
                <w:sz w:val="16"/>
                <w:szCs w:val="16"/>
                <w:lang w:val="ru-RU"/>
              </w:rPr>
              <w:t>таблетки, вкриті плівковою оболонкою, по 20 мг/5 мг; по 10 таблеток у блістері, по 3 або 9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lang w:val="ru-RU"/>
              </w:rPr>
            </w:pPr>
            <w:r>
              <w:rPr>
                <w:rFonts w:ascii="Arial" w:hAnsi="Arial" w:cs="Arial"/>
                <w:sz w:val="16"/>
                <w:szCs w:val="16"/>
                <w:lang w:val="ru-RU"/>
              </w:rPr>
              <w:t>Маклеодс Фармасьютикалс Лімітед</w:t>
            </w:r>
            <w:r>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Маклеодс Фармасьютикалс Лімітед</w:t>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Реєстрація на 5 років</w:t>
            </w:r>
            <w:r>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UA/20064/01/01</w:t>
            </w:r>
          </w:p>
        </w:tc>
      </w:tr>
      <w:tr w:rsidR="003D03F3" w:rsidTr="00E420B5">
        <w:trPr>
          <w:cantSplit/>
        </w:trPr>
        <w:tc>
          <w:tcPr>
            <w:tcW w:w="42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4"/>
              </w:numPr>
              <w:tabs>
                <w:tab w:val="left" w:pos="12600"/>
              </w:tabs>
              <w:jc w:val="center"/>
              <w:rPr>
                <w:rFonts w:ascii="Arial" w:hAnsi="Arial" w:cs="Arial"/>
                <w:b/>
                <w:sz w:val="18"/>
                <w:szCs w:val="18"/>
              </w:rPr>
            </w:pPr>
          </w:p>
        </w:tc>
        <w:tc>
          <w:tcPr>
            <w:tcW w:w="1701"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ОЛМЕСАР А 40/10</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lang w:val="ru-RU"/>
              </w:rPr>
            </w:pPr>
            <w:r>
              <w:rPr>
                <w:rFonts w:ascii="Arial" w:hAnsi="Arial" w:cs="Arial"/>
                <w:sz w:val="16"/>
                <w:szCs w:val="16"/>
                <w:lang w:val="ru-RU"/>
              </w:rPr>
              <w:t>таблетки, вкриті плівковою оболонкою, по 40 мг/10 мг; по 10 таблеток у блістері, по 3 або 9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lang w:val="ru-RU"/>
              </w:rPr>
            </w:pPr>
            <w:r>
              <w:rPr>
                <w:rFonts w:ascii="Arial" w:hAnsi="Arial" w:cs="Arial"/>
                <w:sz w:val="16"/>
                <w:szCs w:val="16"/>
                <w:lang w:val="ru-RU"/>
              </w:rPr>
              <w:t>Маклеодс Фармасьютикалс Лімітед</w:t>
            </w:r>
            <w:r>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Маклеодс Фармасьютикалс Лімітед</w:t>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Реєстрація на 5 років</w:t>
            </w:r>
            <w:r>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UA/20064/01/03</w:t>
            </w:r>
          </w:p>
        </w:tc>
      </w:tr>
      <w:tr w:rsidR="003D03F3" w:rsidTr="00E420B5">
        <w:trPr>
          <w:cantSplit/>
        </w:trPr>
        <w:tc>
          <w:tcPr>
            <w:tcW w:w="42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4"/>
              </w:numPr>
              <w:tabs>
                <w:tab w:val="left" w:pos="12600"/>
              </w:tabs>
              <w:jc w:val="center"/>
              <w:rPr>
                <w:rFonts w:ascii="Arial" w:hAnsi="Arial" w:cs="Arial"/>
                <w:b/>
                <w:sz w:val="18"/>
                <w:szCs w:val="18"/>
              </w:rPr>
            </w:pPr>
          </w:p>
        </w:tc>
        <w:tc>
          <w:tcPr>
            <w:tcW w:w="1701"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ОЛМЕСАР А 40/5</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lang w:val="ru-RU"/>
              </w:rPr>
            </w:pPr>
            <w:r>
              <w:rPr>
                <w:rFonts w:ascii="Arial" w:hAnsi="Arial" w:cs="Arial"/>
                <w:sz w:val="16"/>
                <w:szCs w:val="16"/>
                <w:lang w:val="ru-RU"/>
              </w:rPr>
              <w:t>таблетки, вкриті плівковою оболонкою, по 40 мг/5 мг; по 10 таблеток у блістері, по 3 або 9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lang w:val="ru-RU"/>
              </w:rPr>
            </w:pPr>
            <w:r>
              <w:rPr>
                <w:rFonts w:ascii="Arial" w:hAnsi="Arial" w:cs="Arial"/>
                <w:sz w:val="16"/>
                <w:szCs w:val="16"/>
                <w:lang w:val="ru-RU"/>
              </w:rPr>
              <w:t>Маклеодс Фармасьютикалс Лімітед</w:t>
            </w:r>
            <w:r>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Маклеодс Фармасьютикалс Лімітед</w:t>
            </w:r>
            <w:r>
              <w:rPr>
                <w:rFonts w:ascii="Arial" w:hAnsi="Arial" w:cs="Arial"/>
                <w:sz w:val="16"/>
                <w:szCs w:val="16"/>
              </w:rPr>
              <w:br/>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Реєстрація на 5 років</w:t>
            </w:r>
            <w:r>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UA/20064/01/02</w:t>
            </w:r>
          </w:p>
        </w:tc>
      </w:tr>
      <w:tr w:rsidR="003D03F3" w:rsidTr="00E420B5">
        <w:trPr>
          <w:cantSplit/>
        </w:trPr>
        <w:tc>
          <w:tcPr>
            <w:tcW w:w="42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4"/>
              </w:numPr>
              <w:tabs>
                <w:tab w:val="left" w:pos="12600"/>
              </w:tabs>
              <w:jc w:val="center"/>
              <w:rPr>
                <w:rFonts w:ascii="Arial" w:hAnsi="Arial" w:cs="Arial"/>
                <w:b/>
                <w:sz w:val="18"/>
                <w:szCs w:val="18"/>
              </w:rPr>
            </w:pPr>
          </w:p>
        </w:tc>
        <w:tc>
          <w:tcPr>
            <w:tcW w:w="1701"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ПАРАЦЕТАМОЛ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spacing w:after="240"/>
              <w:rPr>
                <w:rFonts w:ascii="Arial" w:hAnsi="Arial" w:cs="Arial"/>
                <w:sz w:val="16"/>
                <w:szCs w:val="16"/>
                <w:lang w:val="ru-RU"/>
              </w:rPr>
            </w:pPr>
            <w:r>
              <w:rPr>
                <w:rFonts w:ascii="Arial" w:hAnsi="Arial" w:cs="Arial"/>
                <w:sz w:val="16"/>
                <w:szCs w:val="16"/>
                <w:lang w:val="ru-RU"/>
              </w:rPr>
              <w:t>кристалічний порошок (субстанція) у подвійних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lang w:val="ru-RU"/>
              </w:rPr>
              <w:t>ТОВ "Юрія-Фарм"</w:t>
            </w:r>
            <w:r>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Фармсон Фармасьютікал Гудж. Пвт. Лтд. (Юніт-ІІ)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lang w:val="ru-RU"/>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UA/20065/01/01</w:t>
            </w:r>
          </w:p>
        </w:tc>
      </w:tr>
      <w:tr w:rsidR="003D03F3" w:rsidTr="00E420B5">
        <w:trPr>
          <w:cantSplit/>
        </w:trPr>
        <w:tc>
          <w:tcPr>
            <w:tcW w:w="42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4"/>
              </w:numPr>
              <w:tabs>
                <w:tab w:val="left" w:pos="12600"/>
              </w:tabs>
              <w:jc w:val="center"/>
              <w:rPr>
                <w:rFonts w:ascii="Arial" w:hAnsi="Arial" w:cs="Arial"/>
                <w:b/>
                <w:sz w:val="18"/>
                <w:szCs w:val="18"/>
              </w:rPr>
            </w:pPr>
          </w:p>
        </w:tc>
        <w:tc>
          <w:tcPr>
            <w:tcW w:w="1701"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ТОЛАНЗ 10</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lang w:val="ru-RU"/>
              </w:rPr>
            </w:pPr>
            <w:r>
              <w:rPr>
                <w:rFonts w:ascii="Arial" w:hAnsi="Arial" w:cs="Arial"/>
                <w:sz w:val="16"/>
                <w:szCs w:val="16"/>
                <w:lang w:val="ru-RU"/>
              </w:rPr>
              <w:t>таблетки, що диспергуються в ротовій порожнині по 10 мг по 7 таблеток у блістері, по 2 блістери у картонній упаковці; по 10 таблеток у блістері, по 3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lang w:val="ru-RU"/>
              </w:rPr>
            </w:pPr>
            <w:r>
              <w:rPr>
                <w:rFonts w:ascii="Arial" w:hAnsi="Arial" w:cs="Arial"/>
                <w:sz w:val="16"/>
                <w:szCs w:val="16"/>
                <w:lang w:val="ru-RU"/>
              </w:rPr>
              <w:t>Торрент Фармасьютікалс Лтд</w:t>
            </w:r>
            <w:r>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lang w:val="ru-RU"/>
              </w:rPr>
              <w:t>Торрент Фармасьютікалс Лтд</w:t>
            </w:r>
            <w:r>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реєстрація на 5 років</w:t>
            </w:r>
            <w:r>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UA/20066/01/02</w:t>
            </w:r>
          </w:p>
        </w:tc>
      </w:tr>
      <w:tr w:rsidR="003D03F3" w:rsidTr="00E420B5">
        <w:trPr>
          <w:cantSplit/>
        </w:trPr>
        <w:tc>
          <w:tcPr>
            <w:tcW w:w="42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4"/>
              </w:numPr>
              <w:tabs>
                <w:tab w:val="left" w:pos="12600"/>
              </w:tabs>
              <w:jc w:val="center"/>
              <w:rPr>
                <w:rFonts w:ascii="Arial" w:hAnsi="Arial" w:cs="Arial"/>
                <w:b/>
                <w:sz w:val="18"/>
                <w:szCs w:val="18"/>
              </w:rPr>
            </w:pPr>
          </w:p>
        </w:tc>
        <w:tc>
          <w:tcPr>
            <w:tcW w:w="1701"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ТОЛАНЗ 5</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lang w:val="ru-RU"/>
              </w:rPr>
            </w:pPr>
            <w:r>
              <w:rPr>
                <w:rFonts w:ascii="Arial" w:hAnsi="Arial" w:cs="Arial"/>
                <w:sz w:val="16"/>
                <w:szCs w:val="16"/>
                <w:lang w:val="ru-RU"/>
              </w:rPr>
              <w:t>таблетки, що диспергуються в ротовій порожнині по 5 мг, по 7 таблеток у блістері, по 2 блістери у картонній упаковці; по 10 таблеток у блістері, по 3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lang w:val="ru-RU"/>
              </w:rPr>
            </w:pPr>
            <w:r>
              <w:rPr>
                <w:rFonts w:ascii="Arial" w:hAnsi="Arial" w:cs="Arial"/>
                <w:sz w:val="16"/>
                <w:szCs w:val="16"/>
                <w:lang w:val="ru-RU"/>
              </w:rPr>
              <w:t>Торрент Фармасьютікалс Лтд</w:t>
            </w:r>
            <w:r>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lang w:val="ru-RU"/>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реєстрація на 5 років</w:t>
            </w:r>
            <w:r>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UA/20066/01/01</w:t>
            </w:r>
          </w:p>
        </w:tc>
      </w:tr>
      <w:tr w:rsidR="003D03F3" w:rsidTr="00E420B5">
        <w:trPr>
          <w:cantSplit/>
        </w:trPr>
        <w:tc>
          <w:tcPr>
            <w:tcW w:w="42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4"/>
              </w:numPr>
              <w:tabs>
                <w:tab w:val="left" w:pos="12600"/>
              </w:tabs>
              <w:jc w:val="center"/>
              <w:rPr>
                <w:rFonts w:ascii="Arial" w:hAnsi="Arial" w:cs="Arial"/>
                <w:b/>
                <w:sz w:val="18"/>
                <w:szCs w:val="18"/>
              </w:rPr>
            </w:pPr>
          </w:p>
        </w:tc>
        <w:tc>
          <w:tcPr>
            <w:tcW w:w="1701"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ТРОКСЕРУТИН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lang w:val="ru-RU"/>
              </w:rPr>
            </w:pPr>
            <w:r>
              <w:rPr>
                <w:rFonts w:ascii="Arial" w:hAnsi="Arial" w:cs="Arial"/>
                <w:sz w:val="16"/>
                <w:szCs w:val="16"/>
                <w:lang w:val="ru-RU"/>
              </w:rPr>
              <w:t>гель 2 %; по 40 г або 100 г у тубі, по одній тубі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lang w:val="ru-RU"/>
              </w:rPr>
              <w:t>ТОВ "Тернофарм"</w:t>
            </w:r>
            <w:r>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lang w:val="ru-RU"/>
              </w:rPr>
              <w:t>ТОВ "Тернофарм"</w:t>
            </w:r>
            <w:r>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Реєстрація на 5 років</w:t>
            </w:r>
            <w:r>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UA/20067/01/01</w:t>
            </w:r>
          </w:p>
        </w:tc>
      </w:tr>
      <w:tr w:rsidR="003D03F3" w:rsidTr="00E420B5">
        <w:trPr>
          <w:cantSplit/>
        </w:trPr>
        <w:tc>
          <w:tcPr>
            <w:tcW w:w="42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4"/>
              </w:numPr>
              <w:tabs>
                <w:tab w:val="left" w:pos="12600"/>
              </w:tabs>
              <w:jc w:val="center"/>
              <w:rPr>
                <w:rFonts w:ascii="Arial" w:hAnsi="Arial" w:cs="Arial"/>
                <w:b/>
                <w:sz w:val="18"/>
                <w:szCs w:val="18"/>
              </w:rPr>
            </w:pPr>
          </w:p>
        </w:tc>
        <w:tc>
          <w:tcPr>
            <w:tcW w:w="1701"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ФЕБЛОРІКА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lang w:val="ru-RU"/>
              </w:rPr>
            </w:pPr>
            <w:r>
              <w:rPr>
                <w:rFonts w:ascii="Arial" w:hAnsi="Arial" w:cs="Arial"/>
                <w:sz w:val="16"/>
                <w:szCs w:val="16"/>
                <w:lang w:val="ru-RU"/>
              </w:rPr>
              <w:t>таблетки, вкриті плівковою оболонкою, по 80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lang w:val="ru-RU"/>
              </w:rPr>
              <w:t>Манкайнд Фарма Лімітед</w:t>
            </w:r>
            <w:r>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Манкайнд Фарма Лімітед, Юніт-ІІ</w:t>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Реєстрація на 5 років</w:t>
            </w:r>
            <w:r>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UA/20068/01/02</w:t>
            </w:r>
          </w:p>
        </w:tc>
      </w:tr>
      <w:tr w:rsidR="003D03F3" w:rsidTr="00E420B5">
        <w:trPr>
          <w:cantSplit/>
        </w:trPr>
        <w:tc>
          <w:tcPr>
            <w:tcW w:w="42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4"/>
              </w:numPr>
              <w:tabs>
                <w:tab w:val="left" w:pos="12600"/>
              </w:tabs>
              <w:jc w:val="center"/>
              <w:rPr>
                <w:rFonts w:ascii="Arial" w:hAnsi="Arial" w:cs="Arial"/>
                <w:b/>
                <w:sz w:val="18"/>
                <w:szCs w:val="18"/>
              </w:rPr>
            </w:pPr>
          </w:p>
        </w:tc>
        <w:tc>
          <w:tcPr>
            <w:tcW w:w="1701"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ФЕБЛОРІКА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lang w:val="ru-RU"/>
              </w:rPr>
            </w:pPr>
            <w:r>
              <w:rPr>
                <w:rFonts w:ascii="Arial" w:hAnsi="Arial" w:cs="Arial"/>
                <w:sz w:val="16"/>
                <w:szCs w:val="16"/>
                <w:lang w:val="ru-RU"/>
              </w:rPr>
              <w:t>таблетки, вкриті плівковою оболонкою, по 40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lang w:val="ru-RU"/>
              </w:rPr>
              <w:t>Манкайнд Фарма Лімітед</w:t>
            </w:r>
            <w:r>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Манкайнд Фарма Лімітед, Юніт-ІІ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Реєстрація на 5 років</w:t>
            </w:r>
            <w:r>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sz w:val="16"/>
                <w:szCs w:val="16"/>
              </w:rPr>
            </w:pPr>
            <w:r>
              <w:rPr>
                <w:rFonts w:ascii="Arial" w:hAnsi="Arial" w:cs="Arial"/>
                <w:b/>
                <w:sz w:val="16"/>
                <w:szCs w:val="16"/>
              </w:rPr>
              <w:t>UA/20068/01/01</w:t>
            </w:r>
          </w:p>
        </w:tc>
      </w:tr>
    </w:tbl>
    <w:p w:rsidR="003D03F3" w:rsidRDefault="003D03F3" w:rsidP="003D03F3">
      <w:pPr>
        <w:pStyle w:val="11"/>
      </w:pPr>
    </w:p>
    <w:p w:rsidR="003D03F3" w:rsidRDefault="003D03F3" w:rsidP="003D03F3">
      <w:pPr>
        <w:pStyle w:val="11"/>
      </w:pPr>
    </w:p>
    <w:tbl>
      <w:tblPr>
        <w:tblW w:w="0" w:type="auto"/>
        <w:tblLook w:val="04A0" w:firstRow="1" w:lastRow="0" w:firstColumn="1" w:lastColumn="0" w:noHBand="0" w:noVBand="1"/>
      </w:tblPr>
      <w:tblGrid>
        <w:gridCol w:w="7421"/>
        <w:gridCol w:w="7422"/>
      </w:tblGrid>
      <w:tr w:rsidR="003D03F3" w:rsidTr="003D03F3">
        <w:tc>
          <w:tcPr>
            <w:tcW w:w="7421" w:type="dxa"/>
            <w:hideMark/>
          </w:tcPr>
          <w:p w:rsidR="003D03F3" w:rsidRDefault="003D03F3">
            <w:pPr>
              <w:rPr>
                <w:rStyle w:val="cs95e872d03"/>
                <w:rFonts w:ascii="Arial" w:hAnsi="Arial" w:cs="Arial"/>
                <w:sz w:val="28"/>
                <w:szCs w:val="28"/>
              </w:rPr>
            </w:pPr>
            <w:r>
              <w:rPr>
                <w:rStyle w:val="cs7a65ad241"/>
                <w:rFonts w:ascii="Arial" w:hAnsi="Arial" w:cs="Arial"/>
              </w:rPr>
              <w:t xml:space="preserve">Начальник </w:t>
            </w:r>
          </w:p>
          <w:p w:rsidR="003D03F3" w:rsidRDefault="003D03F3">
            <w:pPr>
              <w:ind w:right="20"/>
              <w:rPr>
                <w:rStyle w:val="cs7864ebcf1"/>
                <w:rFonts w:ascii="Arial" w:hAnsi="Arial" w:cs="Arial"/>
                <w:b w:val="0"/>
                <w:sz w:val="28"/>
                <w:szCs w:val="28"/>
              </w:rPr>
            </w:pPr>
            <w:r>
              <w:rPr>
                <w:rStyle w:val="cs7a65ad241"/>
                <w:rFonts w:ascii="Arial" w:hAnsi="Arial" w:cs="Arial"/>
              </w:rPr>
              <w:t>Фармацевтичного управління</w:t>
            </w:r>
          </w:p>
        </w:tc>
        <w:tc>
          <w:tcPr>
            <w:tcW w:w="7422" w:type="dxa"/>
          </w:tcPr>
          <w:p w:rsidR="003D03F3" w:rsidRDefault="003D03F3">
            <w:pPr>
              <w:pStyle w:val="cs95e872d0"/>
              <w:rPr>
                <w:rStyle w:val="cs7864ebcf1"/>
                <w:rFonts w:ascii="Arial" w:hAnsi="Arial" w:cs="Arial"/>
                <w:sz w:val="28"/>
                <w:szCs w:val="28"/>
              </w:rPr>
            </w:pPr>
          </w:p>
          <w:p w:rsidR="003D03F3" w:rsidRDefault="003D03F3">
            <w:pPr>
              <w:pStyle w:val="cs95e872d0"/>
              <w:jc w:val="right"/>
              <w:rPr>
                <w:rStyle w:val="cs7864ebcf1"/>
                <w:rFonts w:ascii="Arial" w:hAnsi="Arial" w:cs="Arial"/>
                <w:sz w:val="28"/>
                <w:szCs w:val="28"/>
              </w:rPr>
            </w:pPr>
            <w:r w:rsidRPr="003D03F3">
              <w:rPr>
                <w:rStyle w:val="cs7a65ad241"/>
                <w:rFonts w:ascii="Arial" w:hAnsi="Arial" w:cs="Arial"/>
              </w:rPr>
              <w:t>Тарас ЛЯСКОВСЬКИЙ</w:t>
            </w:r>
          </w:p>
        </w:tc>
      </w:tr>
    </w:tbl>
    <w:p w:rsidR="003D03F3" w:rsidRDefault="003D03F3" w:rsidP="003D03F3">
      <w:pPr>
        <w:rPr>
          <w:rFonts w:ascii="Arial" w:hAnsi="Arial" w:cs="Arial"/>
          <w:b/>
        </w:rPr>
        <w:sectPr w:rsidR="003D03F3">
          <w:pgSz w:w="16838" w:h="11906" w:orient="landscape"/>
          <w:pgMar w:top="851" w:right="851" w:bottom="851" w:left="851" w:header="709" w:footer="709" w:gutter="0"/>
          <w:cols w:space="720"/>
        </w:sectPr>
      </w:pPr>
    </w:p>
    <w:tbl>
      <w:tblPr>
        <w:tblW w:w="3825" w:type="dxa"/>
        <w:tblInd w:w="11448" w:type="dxa"/>
        <w:tblLayout w:type="fixed"/>
        <w:tblLook w:val="04A0" w:firstRow="1" w:lastRow="0" w:firstColumn="1" w:lastColumn="0" w:noHBand="0" w:noVBand="1"/>
      </w:tblPr>
      <w:tblGrid>
        <w:gridCol w:w="3825"/>
      </w:tblGrid>
      <w:tr w:rsidR="003D03F3" w:rsidTr="003D03F3">
        <w:tc>
          <w:tcPr>
            <w:tcW w:w="3828" w:type="dxa"/>
            <w:hideMark/>
          </w:tcPr>
          <w:p w:rsidR="003D03F3" w:rsidRDefault="003D03F3">
            <w:pPr>
              <w:pStyle w:val="4"/>
              <w:tabs>
                <w:tab w:val="left" w:pos="12600"/>
              </w:tabs>
              <w:rPr>
                <w:iCs/>
                <w:sz w:val="18"/>
                <w:szCs w:val="18"/>
                <w:lang w:val="uk-UA" w:eastAsia="uk-UA"/>
              </w:rPr>
            </w:pPr>
            <w:r>
              <w:rPr>
                <w:bCs w:val="0"/>
                <w:iCs/>
                <w:sz w:val="18"/>
                <w:szCs w:val="18"/>
              </w:rPr>
              <w:t>Додаток 2</w:t>
            </w:r>
          </w:p>
          <w:p w:rsidR="003D03F3" w:rsidRDefault="003D03F3">
            <w:pPr>
              <w:pStyle w:val="4"/>
              <w:tabs>
                <w:tab w:val="left" w:pos="12600"/>
              </w:tabs>
              <w:rPr>
                <w:bCs w:val="0"/>
                <w:iCs/>
                <w:sz w:val="18"/>
                <w:szCs w:val="18"/>
              </w:rPr>
            </w:pPr>
            <w:r>
              <w:rPr>
                <w:bCs w:val="0"/>
                <w:iCs/>
                <w:sz w:val="18"/>
                <w:szCs w:val="18"/>
              </w:rPr>
              <w:t>до наказу Міністерства охорони</w:t>
            </w:r>
          </w:p>
          <w:p w:rsidR="003D03F3" w:rsidRDefault="003D03F3">
            <w:pPr>
              <w:pStyle w:val="4"/>
              <w:tabs>
                <w:tab w:val="left" w:pos="12600"/>
              </w:tabs>
              <w:rPr>
                <w:bCs w:val="0"/>
                <w:iCs/>
                <w:sz w:val="18"/>
                <w:szCs w:val="18"/>
              </w:rPr>
            </w:pPr>
            <w:r>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3D03F3" w:rsidRDefault="003D03F3">
            <w:pPr>
              <w:tabs>
                <w:tab w:val="left" w:pos="12600"/>
              </w:tabs>
              <w:rPr>
                <w:rFonts w:ascii="Arial" w:hAnsi="Arial" w:cs="Arial"/>
                <w:b/>
                <w:sz w:val="18"/>
                <w:szCs w:val="18"/>
                <w:u w:val="single"/>
              </w:rPr>
            </w:pPr>
            <w:r>
              <w:rPr>
                <w:b/>
                <w:bCs/>
                <w:iCs/>
                <w:sz w:val="18"/>
                <w:szCs w:val="18"/>
                <w:u w:val="single"/>
              </w:rPr>
              <w:t>від 08 червня 2023 року № 1037</w:t>
            </w:r>
          </w:p>
        </w:tc>
      </w:tr>
    </w:tbl>
    <w:p w:rsidR="003D03F3" w:rsidRDefault="003D03F3" w:rsidP="003D03F3">
      <w:pPr>
        <w:tabs>
          <w:tab w:val="left" w:pos="12600"/>
        </w:tabs>
        <w:jc w:val="center"/>
        <w:rPr>
          <w:rFonts w:ascii="Arial" w:eastAsia="Times New Roman" w:hAnsi="Arial" w:cs="Arial"/>
          <w:sz w:val="18"/>
          <w:szCs w:val="18"/>
          <w:u w:val="single"/>
        </w:rPr>
      </w:pPr>
    </w:p>
    <w:p w:rsidR="003D03F3" w:rsidRDefault="003D03F3" w:rsidP="003D03F3">
      <w:pPr>
        <w:tabs>
          <w:tab w:val="left" w:pos="12600"/>
        </w:tabs>
        <w:jc w:val="center"/>
        <w:rPr>
          <w:rFonts w:ascii="Arial" w:hAnsi="Arial" w:cs="Arial"/>
          <w:sz w:val="18"/>
          <w:szCs w:val="18"/>
        </w:rPr>
      </w:pPr>
    </w:p>
    <w:p w:rsidR="003D03F3" w:rsidRDefault="003D03F3" w:rsidP="003D03F3">
      <w:pPr>
        <w:keepNext/>
        <w:tabs>
          <w:tab w:val="left" w:pos="12600"/>
        </w:tabs>
        <w:jc w:val="center"/>
        <w:outlineLvl w:val="1"/>
        <w:rPr>
          <w:b/>
          <w:caps/>
          <w:sz w:val="28"/>
          <w:szCs w:val="28"/>
        </w:rPr>
      </w:pPr>
      <w:r>
        <w:rPr>
          <w:b/>
          <w:caps/>
          <w:sz w:val="28"/>
          <w:szCs w:val="28"/>
        </w:rPr>
        <w:t>ПЕРЕЛІК</w:t>
      </w:r>
    </w:p>
    <w:p w:rsidR="003D03F3" w:rsidRDefault="003D03F3" w:rsidP="003D03F3">
      <w:pPr>
        <w:tabs>
          <w:tab w:val="left" w:pos="12600"/>
        </w:tabs>
        <w:jc w:val="center"/>
        <w:rPr>
          <w:b/>
          <w:caps/>
          <w:sz w:val="28"/>
          <w:szCs w:val="28"/>
        </w:rPr>
      </w:pPr>
      <w:r>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3D03F3" w:rsidRDefault="003D03F3" w:rsidP="003D03F3">
      <w:pPr>
        <w:ind w:right="20"/>
        <w:rPr>
          <w:rStyle w:val="cs7864ebcf1"/>
          <w:rFonts w:ascii="Arial" w:hAnsi="Arial" w:cs="Arial"/>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426"/>
        <w:gridCol w:w="1418"/>
        <w:gridCol w:w="1701"/>
        <w:gridCol w:w="1275"/>
        <w:gridCol w:w="993"/>
        <w:gridCol w:w="1559"/>
        <w:gridCol w:w="1134"/>
        <w:gridCol w:w="3544"/>
        <w:gridCol w:w="1134"/>
        <w:gridCol w:w="992"/>
        <w:gridCol w:w="1559"/>
      </w:tblGrid>
      <w:tr w:rsidR="003D03F3" w:rsidTr="00E420B5">
        <w:trPr>
          <w:cantSplit/>
          <w:tblHeader/>
        </w:trPr>
        <w:tc>
          <w:tcPr>
            <w:tcW w:w="426" w:type="dxa"/>
            <w:tcBorders>
              <w:top w:val="single" w:sz="4" w:space="0" w:color="000000"/>
              <w:left w:val="single" w:sz="4" w:space="0" w:color="000000"/>
              <w:bottom w:val="single" w:sz="4" w:space="0" w:color="auto"/>
              <w:right w:val="single" w:sz="4" w:space="0" w:color="000000"/>
            </w:tcBorders>
            <w:shd w:val="clear" w:color="auto" w:fill="D9D9D9"/>
            <w:hideMark/>
          </w:tcPr>
          <w:p w:rsidR="003D03F3" w:rsidRDefault="003D03F3">
            <w:pPr>
              <w:tabs>
                <w:tab w:val="left" w:pos="12600"/>
              </w:tabs>
              <w:jc w:val="center"/>
              <w:rPr>
                <w:i/>
                <w:sz w:val="16"/>
                <w:szCs w:val="16"/>
              </w:rPr>
            </w:pPr>
            <w:r>
              <w:rPr>
                <w:rFonts w:ascii="Arial" w:hAnsi="Arial" w:cs="Arial"/>
                <w:b/>
                <w:i/>
                <w:sz w:val="16"/>
                <w:szCs w:val="16"/>
              </w:rPr>
              <w:t>№ п/п</w:t>
            </w:r>
          </w:p>
        </w:tc>
        <w:tc>
          <w:tcPr>
            <w:tcW w:w="1418" w:type="dxa"/>
            <w:tcBorders>
              <w:top w:val="single" w:sz="4" w:space="0" w:color="000000"/>
              <w:left w:val="single" w:sz="4" w:space="0" w:color="000000"/>
              <w:bottom w:val="single" w:sz="4" w:space="0" w:color="auto"/>
              <w:right w:val="single" w:sz="4" w:space="0" w:color="000000"/>
            </w:tcBorders>
            <w:shd w:val="clear" w:color="auto" w:fill="D9D9D9"/>
            <w:hideMark/>
          </w:tcPr>
          <w:p w:rsidR="003D03F3" w:rsidRDefault="003D03F3">
            <w:pPr>
              <w:tabs>
                <w:tab w:val="left" w:pos="12600"/>
              </w:tabs>
              <w:jc w:val="center"/>
              <w:rPr>
                <w:rFonts w:ascii="Arial" w:hAnsi="Arial" w:cs="Arial"/>
                <w:b/>
                <w:i/>
                <w:sz w:val="16"/>
                <w:szCs w:val="16"/>
              </w:rPr>
            </w:pPr>
            <w:r>
              <w:rPr>
                <w:rFonts w:ascii="Arial" w:hAnsi="Arial" w:cs="Arial"/>
                <w:b/>
                <w:i/>
                <w:sz w:val="16"/>
                <w:szCs w:val="16"/>
              </w:rPr>
              <w:t>Назва лікарського засобу</w:t>
            </w:r>
          </w:p>
        </w:tc>
        <w:tc>
          <w:tcPr>
            <w:tcW w:w="1701" w:type="dxa"/>
            <w:tcBorders>
              <w:top w:val="single" w:sz="4" w:space="0" w:color="000000"/>
              <w:left w:val="single" w:sz="4" w:space="0" w:color="000000"/>
              <w:bottom w:val="single" w:sz="4" w:space="0" w:color="auto"/>
              <w:right w:val="single" w:sz="4" w:space="0" w:color="000000"/>
            </w:tcBorders>
            <w:shd w:val="clear" w:color="auto" w:fill="D9D9D9"/>
            <w:hideMark/>
          </w:tcPr>
          <w:p w:rsidR="003D03F3" w:rsidRDefault="003D03F3">
            <w:pPr>
              <w:tabs>
                <w:tab w:val="left" w:pos="12600"/>
              </w:tabs>
              <w:jc w:val="center"/>
              <w:rPr>
                <w:rFonts w:ascii="Arial" w:hAnsi="Arial" w:cs="Arial"/>
                <w:b/>
                <w:i/>
                <w:sz w:val="16"/>
                <w:szCs w:val="16"/>
              </w:rPr>
            </w:pPr>
            <w:r>
              <w:rPr>
                <w:rFonts w:ascii="Arial" w:hAnsi="Arial" w:cs="Arial"/>
                <w:b/>
                <w:i/>
                <w:sz w:val="16"/>
                <w:szCs w:val="16"/>
              </w:rPr>
              <w:t>Форма випуску (лікарська форма, упаковка)</w:t>
            </w:r>
          </w:p>
        </w:tc>
        <w:tc>
          <w:tcPr>
            <w:tcW w:w="1275" w:type="dxa"/>
            <w:tcBorders>
              <w:top w:val="single" w:sz="4" w:space="0" w:color="000000"/>
              <w:left w:val="single" w:sz="4" w:space="0" w:color="000000"/>
              <w:bottom w:val="single" w:sz="4" w:space="0" w:color="auto"/>
              <w:right w:val="single" w:sz="4" w:space="0" w:color="000000"/>
            </w:tcBorders>
            <w:shd w:val="clear" w:color="auto" w:fill="D9D9D9"/>
            <w:hideMark/>
          </w:tcPr>
          <w:p w:rsidR="003D03F3" w:rsidRDefault="003D03F3">
            <w:pPr>
              <w:tabs>
                <w:tab w:val="left" w:pos="12600"/>
              </w:tabs>
              <w:jc w:val="center"/>
              <w:rPr>
                <w:rFonts w:ascii="Arial" w:hAnsi="Arial" w:cs="Arial"/>
                <w:b/>
                <w:i/>
                <w:sz w:val="16"/>
                <w:szCs w:val="16"/>
              </w:rPr>
            </w:pPr>
            <w:r>
              <w:rPr>
                <w:rFonts w:ascii="Arial" w:hAnsi="Arial" w:cs="Arial"/>
                <w:b/>
                <w:i/>
                <w:sz w:val="16"/>
                <w:szCs w:val="16"/>
              </w:rPr>
              <w:t>Заявник</w:t>
            </w:r>
          </w:p>
        </w:tc>
        <w:tc>
          <w:tcPr>
            <w:tcW w:w="993" w:type="dxa"/>
            <w:tcBorders>
              <w:top w:val="single" w:sz="4" w:space="0" w:color="000000"/>
              <w:left w:val="single" w:sz="4" w:space="0" w:color="000000"/>
              <w:bottom w:val="single" w:sz="4" w:space="0" w:color="auto"/>
              <w:right w:val="single" w:sz="4" w:space="0" w:color="000000"/>
            </w:tcBorders>
            <w:shd w:val="clear" w:color="auto" w:fill="D9D9D9"/>
            <w:hideMark/>
          </w:tcPr>
          <w:p w:rsidR="003D03F3" w:rsidRDefault="003D03F3">
            <w:pPr>
              <w:tabs>
                <w:tab w:val="left" w:pos="12600"/>
              </w:tabs>
              <w:jc w:val="center"/>
              <w:rPr>
                <w:rFonts w:ascii="Arial" w:hAnsi="Arial" w:cs="Arial"/>
                <w:b/>
                <w:i/>
                <w:sz w:val="16"/>
                <w:szCs w:val="16"/>
              </w:rPr>
            </w:pPr>
            <w:r>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hideMark/>
          </w:tcPr>
          <w:p w:rsidR="003D03F3" w:rsidRDefault="003D03F3">
            <w:pPr>
              <w:tabs>
                <w:tab w:val="left" w:pos="12600"/>
              </w:tabs>
              <w:jc w:val="center"/>
              <w:rPr>
                <w:rFonts w:ascii="Arial" w:hAnsi="Arial" w:cs="Arial"/>
                <w:b/>
                <w:i/>
                <w:sz w:val="16"/>
                <w:szCs w:val="16"/>
              </w:rPr>
            </w:pPr>
            <w:r>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hideMark/>
          </w:tcPr>
          <w:p w:rsidR="003D03F3" w:rsidRDefault="003D03F3">
            <w:pPr>
              <w:tabs>
                <w:tab w:val="left" w:pos="12600"/>
              </w:tabs>
              <w:jc w:val="center"/>
              <w:rPr>
                <w:rFonts w:ascii="Arial" w:hAnsi="Arial" w:cs="Arial"/>
                <w:b/>
                <w:i/>
                <w:sz w:val="16"/>
                <w:szCs w:val="16"/>
              </w:rPr>
            </w:pPr>
            <w:r>
              <w:rPr>
                <w:rFonts w:ascii="Arial" w:hAnsi="Arial" w:cs="Arial"/>
                <w:b/>
                <w:i/>
                <w:sz w:val="16"/>
                <w:szCs w:val="16"/>
              </w:rPr>
              <w:t>Країна виробника</w:t>
            </w:r>
          </w:p>
        </w:tc>
        <w:tc>
          <w:tcPr>
            <w:tcW w:w="3544" w:type="dxa"/>
            <w:tcBorders>
              <w:top w:val="single" w:sz="4" w:space="0" w:color="000000"/>
              <w:left w:val="single" w:sz="4" w:space="0" w:color="000000"/>
              <w:bottom w:val="single" w:sz="4" w:space="0" w:color="auto"/>
              <w:right w:val="single" w:sz="4" w:space="0" w:color="000000"/>
            </w:tcBorders>
            <w:shd w:val="clear" w:color="auto" w:fill="D9D9D9"/>
            <w:hideMark/>
          </w:tcPr>
          <w:p w:rsidR="003D03F3" w:rsidRDefault="003D03F3">
            <w:pPr>
              <w:tabs>
                <w:tab w:val="left" w:pos="12600"/>
              </w:tabs>
              <w:jc w:val="center"/>
              <w:rPr>
                <w:rFonts w:ascii="Arial" w:hAnsi="Arial" w:cs="Arial"/>
                <w:b/>
                <w:i/>
                <w:sz w:val="16"/>
                <w:szCs w:val="16"/>
              </w:rPr>
            </w:pPr>
            <w:r>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hideMark/>
          </w:tcPr>
          <w:p w:rsidR="003D03F3" w:rsidRDefault="003D03F3">
            <w:pPr>
              <w:tabs>
                <w:tab w:val="left" w:pos="12600"/>
              </w:tabs>
              <w:jc w:val="center"/>
              <w:rPr>
                <w:rFonts w:ascii="Arial" w:hAnsi="Arial" w:cs="Arial"/>
                <w:b/>
                <w:i/>
                <w:sz w:val="16"/>
                <w:szCs w:val="16"/>
              </w:rPr>
            </w:pPr>
            <w:r>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hideMark/>
          </w:tcPr>
          <w:p w:rsidR="003D03F3" w:rsidRDefault="003D03F3">
            <w:pPr>
              <w:tabs>
                <w:tab w:val="left" w:pos="12600"/>
              </w:tabs>
              <w:jc w:val="center"/>
              <w:rPr>
                <w:rFonts w:ascii="Arial" w:hAnsi="Arial" w:cs="Arial"/>
                <w:b/>
                <w:i/>
                <w:sz w:val="16"/>
                <w:szCs w:val="16"/>
              </w:rPr>
            </w:pPr>
            <w:r>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hideMark/>
          </w:tcPr>
          <w:p w:rsidR="003D03F3" w:rsidRDefault="003D03F3">
            <w:pPr>
              <w:tabs>
                <w:tab w:val="left" w:pos="12600"/>
              </w:tabs>
              <w:jc w:val="center"/>
              <w:rPr>
                <w:rFonts w:ascii="Arial" w:hAnsi="Arial" w:cs="Arial"/>
                <w:b/>
                <w:i/>
                <w:sz w:val="16"/>
                <w:szCs w:val="16"/>
              </w:rPr>
            </w:pPr>
            <w:r>
              <w:rPr>
                <w:rFonts w:ascii="Arial" w:hAnsi="Arial" w:cs="Arial"/>
                <w:b/>
                <w:i/>
                <w:sz w:val="16"/>
                <w:szCs w:val="16"/>
              </w:rPr>
              <w:t>Номер реєстраційного посвідчення</w:t>
            </w:r>
          </w:p>
        </w:tc>
      </w:tr>
      <w:tr w:rsidR="003D03F3" w:rsidTr="00E420B5">
        <w:trPr>
          <w:cantSplit/>
        </w:trPr>
        <w:tc>
          <w:tcPr>
            <w:tcW w:w="426" w:type="dxa"/>
            <w:tcBorders>
              <w:top w:val="single" w:sz="4" w:space="0" w:color="auto"/>
              <w:left w:val="single" w:sz="4" w:space="0" w:color="000000"/>
              <w:bottom w:val="single" w:sz="4" w:space="0" w:color="auto"/>
              <w:right w:val="single" w:sz="4" w:space="0" w:color="000000"/>
            </w:tcBorders>
          </w:tcPr>
          <w:p w:rsidR="003D03F3" w:rsidRDefault="003D03F3" w:rsidP="003D03F3">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АКНЕТРЕКС 10</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lang w:val="ru-RU"/>
              </w:rPr>
            </w:pPr>
            <w:r>
              <w:rPr>
                <w:rFonts w:ascii="Arial" w:hAnsi="Arial" w:cs="Arial"/>
                <w:sz w:val="16"/>
                <w:szCs w:val="16"/>
                <w:lang w:val="ru-RU"/>
              </w:rPr>
              <w:t>капсули м'які по 10 мг; по 10 капсул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lang w:val="ru-RU"/>
              </w:rPr>
            </w:pPr>
            <w:r>
              <w:rPr>
                <w:rFonts w:ascii="Arial" w:hAnsi="Arial" w:cs="Arial"/>
                <w:sz w:val="16"/>
                <w:szCs w:val="16"/>
                <w:lang w:val="ru-RU"/>
              </w:rPr>
              <w:t>Мега Лайфсайенсіз Паблік Компані Лімітед</w:t>
            </w:r>
            <w:r>
              <w:rPr>
                <w:rFonts w:ascii="Arial" w:hAnsi="Arial" w:cs="Arial"/>
                <w:sz w:val="16"/>
                <w:szCs w:val="16"/>
                <w:lang w:val="ru-RU"/>
              </w:rPr>
              <w:br/>
            </w:r>
            <w:r>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ind w:left="-113"/>
              <w:jc w:val="center"/>
              <w:rPr>
                <w:rFonts w:ascii="Arial" w:hAnsi="Arial" w:cs="Arial"/>
                <w:sz w:val="16"/>
                <w:szCs w:val="16"/>
              </w:rPr>
            </w:pPr>
            <w:r>
              <w:rPr>
                <w:rFonts w:ascii="Arial" w:hAnsi="Arial" w:cs="Arial"/>
                <w:sz w:val="16"/>
                <w:szCs w:val="16"/>
              </w:rPr>
              <w:t>Таїланд</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Мега Лайфсайенсіз Паблік Компані Лімітед</w:t>
            </w:r>
            <w:r>
              <w:rPr>
                <w:rFonts w:ascii="Arial" w:hAnsi="Arial" w:cs="Arial"/>
                <w:sz w:val="16"/>
                <w:szCs w:val="16"/>
              </w:rPr>
              <w:br/>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Таїланд</w:t>
            </w:r>
          </w:p>
        </w:tc>
        <w:tc>
          <w:tcPr>
            <w:tcW w:w="354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Перереєстрація на 5 років</w:t>
            </w:r>
            <w:r>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UA/16557/01/01</w:t>
            </w:r>
          </w:p>
        </w:tc>
      </w:tr>
      <w:tr w:rsidR="003D03F3" w:rsidTr="00E420B5">
        <w:trPr>
          <w:cantSplit/>
        </w:trPr>
        <w:tc>
          <w:tcPr>
            <w:tcW w:w="426" w:type="dxa"/>
            <w:tcBorders>
              <w:top w:val="single" w:sz="4" w:space="0" w:color="auto"/>
              <w:left w:val="single" w:sz="4" w:space="0" w:color="000000"/>
              <w:bottom w:val="single" w:sz="4" w:space="0" w:color="auto"/>
              <w:right w:val="single" w:sz="4" w:space="0" w:color="000000"/>
            </w:tcBorders>
          </w:tcPr>
          <w:p w:rsidR="003D03F3" w:rsidRDefault="003D03F3" w:rsidP="003D03F3">
            <w:pPr>
              <w:numPr>
                <w:ilvl w:val="0"/>
                <w:numId w:val="5"/>
              </w:numPr>
              <w:tabs>
                <w:tab w:val="left" w:pos="12600"/>
              </w:tabs>
              <w:jc w:val="center"/>
              <w:rPr>
                <w:rFonts w:ascii="Arial" w:hAnsi="Arial" w:cs="Arial"/>
                <w:b/>
                <w:sz w:val="18"/>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АКНЕТРЕКС 20</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lang w:val="ru-RU"/>
              </w:rPr>
            </w:pPr>
            <w:r>
              <w:rPr>
                <w:rFonts w:ascii="Arial" w:hAnsi="Arial" w:cs="Arial"/>
                <w:sz w:val="16"/>
                <w:szCs w:val="16"/>
                <w:lang w:val="ru-RU"/>
              </w:rPr>
              <w:t>капсули м'які по 20 мг, по 10 капсул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lang w:val="ru-RU"/>
              </w:rPr>
            </w:pPr>
            <w:r>
              <w:rPr>
                <w:rFonts w:ascii="Arial" w:hAnsi="Arial" w:cs="Arial"/>
                <w:sz w:val="16"/>
                <w:szCs w:val="16"/>
                <w:lang w:val="ru-RU"/>
              </w:rPr>
              <w:t>Мега Лайфсайенсіз Паблік Компані Лімітед</w:t>
            </w:r>
            <w:r>
              <w:rPr>
                <w:rFonts w:ascii="Arial" w:hAnsi="Arial" w:cs="Arial"/>
                <w:sz w:val="16"/>
                <w:szCs w:val="16"/>
                <w:lang w:val="ru-RU"/>
              </w:rPr>
              <w:br/>
            </w:r>
            <w:r>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ind w:left="-113"/>
              <w:jc w:val="center"/>
              <w:rPr>
                <w:rFonts w:ascii="Arial" w:hAnsi="Arial" w:cs="Arial"/>
                <w:sz w:val="16"/>
                <w:szCs w:val="16"/>
              </w:rPr>
            </w:pPr>
            <w:r>
              <w:rPr>
                <w:rFonts w:ascii="Arial" w:hAnsi="Arial" w:cs="Arial"/>
                <w:sz w:val="16"/>
                <w:szCs w:val="16"/>
              </w:rPr>
              <w:t>Таїланд</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Мега Лайфсайенсіз Паблік Компані Лімітед</w:t>
            </w:r>
            <w:r>
              <w:rPr>
                <w:rFonts w:ascii="Arial" w:hAnsi="Arial" w:cs="Arial"/>
                <w:sz w:val="16"/>
                <w:szCs w:val="16"/>
              </w:rPr>
              <w:br/>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Таїланд</w:t>
            </w:r>
          </w:p>
        </w:tc>
        <w:tc>
          <w:tcPr>
            <w:tcW w:w="354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Перереєстрація на 5 років.</w:t>
            </w:r>
            <w:r>
              <w:rPr>
                <w:rFonts w:ascii="Arial" w:hAnsi="Arial" w:cs="Arial"/>
                <w:sz w:val="16"/>
                <w:szCs w:val="16"/>
              </w:rPr>
              <w:br/>
              <w:t xml:space="preserve">Оновлено інформацію в інструкції для медичного застосування лікарського засобу у розділах: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"Побічні реакції" відповідно до інформації щодо медичного застосування референтного лікарського засобу (РОАККУТАН, капсули). </w:t>
            </w:r>
            <w:r>
              <w:rPr>
                <w:rFonts w:ascii="Arial" w:hAnsi="Arial" w:cs="Arial"/>
                <w:sz w:val="16"/>
                <w:szCs w:val="16"/>
              </w:rPr>
              <w:br/>
            </w:r>
            <w:r>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UA/16557/01/02</w:t>
            </w:r>
          </w:p>
        </w:tc>
      </w:tr>
      <w:tr w:rsidR="003D03F3" w:rsidTr="00E420B5">
        <w:trPr>
          <w:cantSplit/>
        </w:trPr>
        <w:tc>
          <w:tcPr>
            <w:tcW w:w="426" w:type="dxa"/>
            <w:tcBorders>
              <w:top w:val="single" w:sz="4" w:space="0" w:color="auto"/>
              <w:left w:val="single" w:sz="4" w:space="0" w:color="000000"/>
              <w:bottom w:val="single" w:sz="4" w:space="0" w:color="auto"/>
              <w:right w:val="single" w:sz="4" w:space="0" w:color="000000"/>
            </w:tcBorders>
          </w:tcPr>
          <w:p w:rsidR="003D03F3" w:rsidRDefault="003D03F3" w:rsidP="003D03F3">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ВІГОР</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бальзам для перорального застосування, по 200 мл у флаконах; по 200 мл, 250 мл або 500 мл у пляшках; по 100 мл у банках</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"Українська фармацевтична компанія"</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ind w:left="-113"/>
              <w:jc w:val="center"/>
              <w:rPr>
                <w:rFonts w:ascii="Arial" w:hAnsi="Arial" w:cs="Arial"/>
                <w:sz w:val="16"/>
                <w:szCs w:val="16"/>
              </w:rPr>
            </w:pPr>
            <w:r>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ПрАТ "Біолік"</w:t>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Перереєстрація на необмежений термін</w:t>
            </w:r>
            <w:r>
              <w:rPr>
                <w:rFonts w:ascii="Arial" w:hAnsi="Arial" w:cs="Arial"/>
                <w:sz w:val="16"/>
                <w:szCs w:val="16"/>
              </w:rPr>
              <w:br/>
              <w:t xml:space="preserve">Оновлено інформацію в Інструкції для медичного застосування лікарського засобу у розділах "Особливості застосування", "Передозування", "Побічні реакції" відповідно до інформації з безпеки застосування діючих та допоміжних речовин. </w:t>
            </w:r>
            <w:r>
              <w:rPr>
                <w:rFonts w:ascii="Arial" w:hAnsi="Arial" w:cs="Arial"/>
                <w:sz w:val="16"/>
                <w:szCs w:val="16"/>
              </w:rPr>
              <w:br/>
            </w:r>
            <w:r>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 — по 100 мл, 200 мл</w:t>
            </w:r>
            <w:r>
              <w:rPr>
                <w:rFonts w:ascii="Arial" w:hAnsi="Arial" w:cs="Arial"/>
                <w:i/>
                <w:sz w:val="16"/>
                <w:szCs w:val="16"/>
              </w:rPr>
              <w:br/>
              <w:t>за рецептом — по 250 мл, по 500 мл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UA/8099/01/01</w:t>
            </w:r>
          </w:p>
        </w:tc>
      </w:tr>
      <w:tr w:rsidR="003D03F3" w:rsidTr="00E420B5">
        <w:trPr>
          <w:cantSplit/>
        </w:trPr>
        <w:tc>
          <w:tcPr>
            <w:tcW w:w="426" w:type="dxa"/>
            <w:tcBorders>
              <w:top w:val="single" w:sz="4" w:space="0" w:color="auto"/>
              <w:left w:val="single" w:sz="4" w:space="0" w:color="000000"/>
              <w:bottom w:val="single" w:sz="4" w:space="0" w:color="auto"/>
              <w:right w:val="single" w:sz="4" w:space="0" w:color="000000"/>
            </w:tcBorders>
          </w:tcPr>
          <w:p w:rsidR="003D03F3" w:rsidRDefault="003D03F3" w:rsidP="003D03F3">
            <w:pPr>
              <w:numPr>
                <w:ilvl w:val="0"/>
                <w:numId w:val="5"/>
              </w:numPr>
              <w:tabs>
                <w:tab w:val="left" w:pos="12600"/>
              </w:tabs>
              <w:jc w:val="center"/>
              <w:rPr>
                <w:rFonts w:ascii="Arial" w:hAnsi="Arial" w:cs="Arial"/>
                <w:b/>
                <w:sz w:val="18"/>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ЗОНІК</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капсули тверді по 75 мг; по 14 капсул у блістері; по 1 або по 2, або по 4, або по 6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"ГЛЕДФАРМ ЛТД"</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ind w:left="-113"/>
              <w:jc w:val="center"/>
              <w:rPr>
                <w:rFonts w:ascii="Arial" w:hAnsi="Arial" w:cs="Arial"/>
                <w:sz w:val="16"/>
                <w:szCs w:val="16"/>
              </w:rPr>
            </w:pPr>
            <w:r>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КУСУМ ХЕЛТХКЕР ПВТ ЛТД </w:t>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в розділах "Особливості застосування", "Побічні реакції" відповідно до інформації референтного лікарського засобу (Лірика, капсули по 50 мг, по 75 мг, по 150 мг, по 300 мг). </w:t>
            </w:r>
            <w:r>
              <w:rPr>
                <w:rFonts w:ascii="Arial" w:hAnsi="Arial" w:cs="Arial"/>
                <w:sz w:val="16"/>
                <w:szCs w:val="16"/>
              </w:rPr>
              <w:br/>
            </w:r>
            <w:r>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UA/16350/01/02</w:t>
            </w:r>
          </w:p>
        </w:tc>
      </w:tr>
      <w:tr w:rsidR="003D03F3" w:rsidTr="00E420B5">
        <w:trPr>
          <w:cantSplit/>
        </w:trPr>
        <w:tc>
          <w:tcPr>
            <w:tcW w:w="426" w:type="dxa"/>
            <w:tcBorders>
              <w:top w:val="single" w:sz="4" w:space="0" w:color="auto"/>
              <w:left w:val="single" w:sz="4" w:space="0" w:color="000000"/>
              <w:bottom w:val="single" w:sz="4" w:space="0" w:color="auto"/>
              <w:right w:val="single" w:sz="4" w:space="0" w:color="000000"/>
            </w:tcBorders>
          </w:tcPr>
          <w:p w:rsidR="003D03F3" w:rsidRDefault="003D03F3" w:rsidP="003D03F3">
            <w:pPr>
              <w:numPr>
                <w:ilvl w:val="0"/>
                <w:numId w:val="5"/>
              </w:numPr>
              <w:tabs>
                <w:tab w:val="left" w:pos="12600"/>
              </w:tabs>
              <w:jc w:val="center"/>
              <w:rPr>
                <w:rFonts w:ascii="Arial" w:hAnsi="Arial" w:cs="Arial"/>
                <w:b/>
                <w:sz w:val="18"/>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КОСІРЕЛЬ 10 МГ/ 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lang w:val="ru-RU"/>
              </w:rPr>
            </w:pPr>
            <w:r>
              <w:rPr>
                <w:rFonts w:ascii="Arial" w:hAnsi="Arial" w:cs="Arial"/>
                <w:sz w:val="16"/>
                <w:szCs w:val="16"/>
                <w:lang w:val="ru-RU"/>
              </w:rPr>
              <w:t>таблетки, вкриті плівковою оболонкою, по 10 мг/5 мг; по 30 або 100 таблеток у контейнері для таблеток; по 1 контейнеру для таблеток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lang w:val="ru-RU"/>
              </w:rPr>
            </w:pPr>
            <w:r>
              <w:rPr>
                <w:rFonts w:ascii="Arial" w:hAnsi="Arial" w:cs="Arial"/>
                <w:sz w:val="16"/>
                <w:szCs w:val="16"/>
                <w:lang w:val="ru-RU"/>
              </w:rPr>
              <w:t>ЛЄ ЛАБОРАТУАР СЕРВ'Є</w:t>
            </w:r>
            <w:r>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ind w:left="-113"/>
              <w:jc w:val="center"/>
              <w:rPr>
                <w:rFonts w:ascii="Arial" w:hAnsi="Arial" w:cs="Arial"/>
                <w:sz w:val="16"/>
                <w:szCs w:val="16"/>
              </w:rPr>
            </w:pPr>
            <w:r>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виробництво, аналіз, первинне та вторинне пакування, випуск серії:</w:t>
            </w:r>
            <w:r>
              <w:rPr>
                <w:rFonts w:ascii="Arial" w:hAnsi="Arial" w:cs="Arial"/>
                <w:sz w:val="16"/>
                <w:szCs w:val="16"/>
              </w:rPr>
              <w:br/>
              <w:t>Лабораторії Серв'є Індастрі, Франція;</w:t>
            </w:r>
            <w:r>
              <w:rPr>
                <w:rFonts w:ascii="Arial" w:hAnsi="Arial" w:cs="Arial"/>
                <w:sz w:val="16"/>
                <w:szCs w:val="16"/>
              </w:rPr>
              <w:br/>
              <w:t>первинне та вторинне пакування, випуск серії:</w:t>
            </w:r>
            <w:r>
              <w:rPr>
                <w:rFonts w:ascii="Arial" w:hAnsi="Arial" w:cs="Arial"/>
                <w:sz w:val="16"/>
                <w:szCs w:val="16"/>
              </w:rPr>
              <w:br/>
              <w:t>Серв'є (Ірландія) Індастріс Лтд, Ірландія</w:t>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Франція/</w:t>
            </w:r>
          </w:p>
          <w:p w:rsidR="003D03F3" w:rsidRDefault="003D03F3">
            <w:pPr>
              <w:pStyle w:val="110"/>
              <w:tabs>
                <w:tab w:val="left" w:pos="12600"/>
              </w:tabs>
              <w:jc w:val="center"/>
              <w:rPr>
                <w:rFonts w:ascii="Arial" w:hAnsi="Arial" w:cs="Arial"/>
                <w:sz w:val="16"/>
                <w:szCs w:val="16"/>
              </w:rPr>
            </w:pPr>
            <w:r>
              <w:rPr>
                <w:rFonts w:ascii="Arial" w:hAnsi="Arial" w:cs="Arial"/>
                <w:sz w:val="16"/>
                <w:szCs w:val="16"/>
              </w:rPr>
              <w:t>Ірландія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Перереєстрація на необмежений термін</w:t>
            </w:r>
            <w:r>
              <w:rPr>
                <w:rFonts w:ascii="Arial" w:hAnsi="Arial" w:cs="Arial"/>
                <w:sz w:val="16"/>
                <w:szCs w:val="16"/>
              </w:rPr>
              <w:br/>
              <w:t>Оновлено інформацію в інструкції для медичного застосування лікарського засобу в розділах "Протипоказання", "Взаємодія з іншими лікарськими засобами та інші види взаємодій", "Особливості застосування", "Побічні реакції" відповідно до інформації стосовно безпеки лікарського засобу, яка зазначена в матеріалах реєстраційного досьє.</w:t>
            </w:r>
            <w:r>
              <w:rPr>
                <w:rFonts w:ascii="Arial" w:hAnsi="Arial" w:cs="Arial"/>
                <w:sz w:val="16"/>
                <w:szCs w:val="16"/>
              </w:rPr>
              <w:br/>
            </w:r>
            <w:r>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UA/16110/01/01</w:t>
            </w:r>
          </w:p>
        </w:tc>
      </w:tr>
      <w:tr w:rsidR="003D03F3" w:rsidTr="00E420B5">
        <w:trPr>
          <w:cantSplit/>
        </w:trPr>
        <w:tc>
          <w:tcPr>
            <w:tcW w:w="426" w:type="dxa"/>
            <w:tcBorders>
              <w:top w:val="single" w:sz="4" w:space="0" w:color="auto"/>
              <w:left w:val="single" w:sz="4" w:space="0" w:color="000000"/>
              <w:bottom w:val="single" w:sz="4" w:space="0" w:color="auto"/>
              <w:right w:val="single" w:sz="4" w:space="0" w:color="000000"/>
            </w:tcBorders>
          </w:tcPr>
          <w:p w:rsidR="003D03F3" w:rsidRDefault="003D03F3" w:rsidP="003D03F3">
            <w:pPr>
              <w:numPr>
                <w:ilvl w:val="0"/>
                <w:numId w:val="5"/>
              </w:numPr>
              <w:tabs>
                <w:tab w:val="left" w:pos="12600"/>
              </w:tabs>
              <w:jc w:val="center"/>
              <w:rPr>
                <w:rFonts w:ascii="Arial" w:hAnsi="Arial" w:cs="Arial"/>
                <w:b/>
                <w:sz w:val="18"/>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КОСІРЕЛЬ 10 МГ/10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lang w:val="ru-RU"/>
              </w:rPr>
            </w:pPr>
            <w:r>
              <w:rPr>
                <w:rFonts w:ascii="Arial" w:hAnsi="Arial" w:cs="Arial"/>
                <w:sz w:val="16"/>
                <w:szCs w:val="16"/>
                <w:lang w:val="ru-RU"/>
              </w:rPr>
              <w:t>таблетки, вкриті плівковою оболонкою, по 10 мг /10 мг; по 30 або 100 таблеток у контейнері для таблеток; по 1 контейнеру для таблеток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lang w:val="ru-RU"/>
              </w:rPr>
            </w:pPr>
            <w:r>
              <w:rPr>
                <w:rFonts w:ascii="Arial" w:hAnsi="Arial" w:cs="Arial"/>
                <w:sz w:val="16"/>
                <w:szCs w:val="16"/>
                <w:lang w:val="ru-RU"/>
              </w:rPr>
              <w:t>ЛЄ ЛАБОРАТУАР СЕРВ'Є</w:t>
            </w:r>
            <w:r>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ind w:left="-113"/>
              <w:jc w:val="center"/>
              <w:rPr>
                <w:rFonts w:ascii="Arial" w:hAnsi="Arial" w:cs="Arial"/>
                <w:sz w:val="16"/>
                <w:szCs w:val="16"/>
              </w:rPr>
            </w:pPr>
            <w:r>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виробництво, аналіз, первинне та вторинне пакування, випуск серії:</w:t>
            </w:r>
            <w:r>
              <w:rPr>
                <w:rFonts w:ascii="Arial" w:hAnsi="Arial" w:cs="Arial"/>
                <w:sz w:val="16"/>
                <w:szCs w:val="16"/>
              </w:rPr>
              <w:br/>
              <w:t xml:space="preserve">Лабораторії Серв'є Індастрі, Франція; </w:t>
            </w:r>
            <w:r>
              <w:rPr>
                <w:rFonts w:ascii="Arial" w:hAnsi="Arial" w:cs="Arial"/>
                <w:sz w:val="16"/>
                <w:szCs w:val="16"/>
              </w:rPr>
              <w:br/>
              <w:t>первинне та вторинне пакування, випуск серії:</w:t>
            </w:r>
            <w:r>
              <w:rPr>
                <w:rFonts w:ascii="Arial" w:hAnsi="Arial" w:cs="Arial"/>
                <w:sz w:val="16"/>
                <w:szCs w:val="16"/>
              </w:rPr>
              <w:br/>
              <w:t>Серв'є (Ірландія) Індастріс Лтд, Ірландія</w:t>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Франція/Ірландія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Перереєстрація на необмежений термін</w:t>
            </w:r>
            <w:r>
              <w:rPr>
                <w:rFonts w:ascii="Arial" w:hAnsi="Arial" w:cs="Arial"/>
                <w:sz w:val="16"/>
                <w:szCs w:val="16"/>
              </w:rPr>
              <w:br/>
              <w:t>Оновлено інформацію в інструкції для медичного застосування лікарського засобу в розділах "Протипоказання", "Взаємодія з іншими лікарськими засобами та інші види взаємодій", "Особливості застосування", "Побічні реакції" відповідно до інформації стосовно безпеки лікарського засобу, яка зазначена в матеріалах реєстраційного досьє.</w:t>
            </w:r>
            <w:r>
              <w:rPr>
                <w:rFonts w:ascii="Arial" w:hAnsi="Arial" w:cs="Arial"/>
                <w:sz w:val="16"/>
                <w:szCs w:val="16"/>
              </w:rPr>
              <w:br/>
            </w:r>
            <w:r>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UA/16109/01/02</w:t>
            </w:r>
          </w:p>
        </w:tc>
      </w:tr>
      <w:tr w:rsidR="003D03F3" w:rsidTr="00E420B5">
        <w:trPr>
          <w:cantSplit/>
        </w:trPr>
        <w:tc>
          <w:tcPr>
            <w:tcW w:w="426" w:type="dxa"/>
            <w:tcBorders>
              <w:top w:val="single" w:sz="4" w:space="0" w:color="auto"/>
              <w:left w:val="single" w:sz="4" w:space="0" w:color="000000"/>
              <w:bottom w:val="single" w:sz="4" w:space="0" w:color="auto"/>
              <w:right w:val="single" w:sz="4" w:space="0" w:color="000000"/>
            </w:tcBorders>
          </w:tcPr>
          <w:p w:rsidR="003D03F3" w:rsidRDefault="003D03F3" w:rsidP="003D03F3">
            <w:pPr>
              <w:numPr>
                <w:ilvl w:val="0"/>
                <w:numId w:val="5"/>
              </w:numPr>
              <w:tabs>
                <w:tab w:val="left" w:pos="12600"/>
              </w:tabs>
              <w:jc w:val="center"/>
              <w:rPr>
                <w:rFonts w:ascii="Arial" w:hAnsi="Arial" w:cs="Arial"/>
                <w:b/>
                <w:sz w:val="18"/>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КОСІРЕЛЬ 5 МГ/ 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lang w:val="ru-RU"/>
              </w:rPr>
            </w:pPr>
            <w:r>
              <w:rPr>
                <w:rFonts w:ascii="Arial" w:hAnsi="Arial" w:cs="Arial"/>
                <w:sz w:val="16"/>
                <w:szCs w:val="16"/>
                <w:lang w:val="ru-RU"/>
              </w:rPr>
              <w:t>таблетки, вкриті плівковою оболонкою, по 5 мг /10 мг; по 30 або 100 таблеток у контейнері для таблеток; по 1 контейнеру для таблеток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lang w:val="ru-RU"/>
              </w:rPr>
            </w:pPr>
            <w:r>
              <w:rPr>
                <w:rFonts w:ascii="Arial" w:hAnsi="Arial" w:cs="Arial"/>
                <w:sz w:val="16"/>
                <w:szCs w:val="16"/>
                <w:lang w:val="ru-RU"/>
              </w:rPr>
              <w:t>ЛЄ ЛАБОРАТУАР СЕРВ'Є</w:t>
            </w:r>
            <w:r>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ind w:left="-113"/>
              <w:jc w:val="center"/>
              <w:rPr>
                <w:rFonts w:ascii="Arial" w:hAnsi="Arial" w:cs="Arial"/>
                <w:sz w:val="16"/>
                <w:szCs w:val="16"/>
              </w:rPr>
            </w:pPr>
            <w:r>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виробництво, аналіз, первинне та вторинне пакування, випуск серії:</w:t>
            </w:r>
            <w:r>
              <w:rPr>
                <w:rFonts w:ascii="Arial" w:hAnsi="Arial" w:cs="Arial"/>
                <w:sz w:val="16"/>
                <w:szCs w:val="16"/>
              </w:rPr>
              <w:br/>
              <w:t>Лабораторії Серв'є Індастрі, Франція;</w:t>
            </w:r>
            <w:r>
              <w:rPr>
                <w:rFonts w:ascii="Arial" w:hAnsi="Arial" w:cs="Arial"/>
                <w:sz w:val="16"/>
                <w:szCs w:val="16"/>
              </w:rPr>
              <w:br/>
              <w:t>первинне та вторинне пакування, випуск серії:</w:t>
            </w:r>
            <w:r>
              <w:rPr>
                <w:rFonts w:ascii="Arial" w:hAnsi="Arial" w:cs="Arial"/>
                <w:sz w:val="16"/>
                <w:szCs w:val="16"/>
              </w:rPr>
              <w:br/>
              <w:t>Серв'є (Ірландія) Індастріс Лтд, Ірландія</w:t>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Франція/Ірландія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Перереєстрація на необмежений термін</w:t>
            </w:r>
            <w:r>
              <w:rPr>
                <w:rFonts w:ascii="Arial" w:hAnsi="Arial" w:cs="Arial"/>
                <w:sz w:val="16"/>
                <w:szCs w:val="16"/>
              </w:rPr>
              <w:br/>
              <w:t>Оновлено інформацію в інструкції для медичного застосування лікарського засобу в розділах "Протипоказання", "Взаємодія з іншими лікарськими засобами та інші види взаємодій", "Особливості застосування", "Побічні реакції" відповідно до інформації стосовно безпеки лікарського засобу, яка зазначена в матеріалах реєстраційного досьє.</w:t>
            </w:r>
            <w:r>
              <w:rPr>
                <w:rFonts w:ascii="Arial" w:hAnsi="Arial" w:cs="Arial"/>
                <w:sz w:val="16"/>
                <w:szCs w:val="16"/>
              </w:rPr>
              <w:br/>
            </w:r>
            <w:r>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UA/16111/01/01</w:t>
            </w:r>
          </w:p>
        </w:tc>
      </w:tr>
      <w:tr w:rsidR="003D03F3" w:rsidTr="00E420B5">
        <w:trPr>
          <w:cantSplit/>
        </w:trPr>
        <w:tc>
          <w:tcPr>
            <w:tcW w:w="426" w:type="dxa"/>
            <w:tcBorders>
              <w:top w:val="single" w:sz="4" w:space="0" w:color="auto"/>
              <w:left w:val="single" w:sz="4" w:space="0" w:color="000000"/>
              <w:bottom w:val="single" w:sz="4" w:space="0" w:color="auto"/>
              <w:right w:val="single" w:sz="4" w:space="0" w:color="000000"/>
            </w:tcBorders>
          </w:tcPr>
          <w:p w:rsidR="003D03F3" w:rsidRDefault="003D03F3" w:rsidP="003D03F3">
            <w:pPr>
              <w:numPr>
                <w:ilvl w:val="0"/>
                <w:numId w:val="5"/>
              </w:numPr>
              <w:tabs>
                <w:tab w:val="left" w:pos="12600"/>
              </w:tabs>
              <w:jc w:val="center"/>
              <w:rPr>
                <w:rFonts w:ascii="Arial" w:hAnsi="Arial" w:cs="Arial"/>
                <w:b/>
                <w:sz w:val="18"/>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КОСІРЕЛЬ 5 МГ/5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lang w:val="ru-RU"/>
              </w:rPr>
            </w:pPr>
            <w:r>
              <w:rPr>
                <w:rFonts w:ascii="Arial" w:hAnsi="Arial" w:cs="Arial"/>
                <w:sz w:val="16"/>
                <w:szCs w:val="16"/>
                <w:lang w:val="ru-RU"/>
              </w:rPr>
              <w:t>таблетки, вкриті плівковою оболонкою, по 5 мг /5 мг; по 30 або 100 таблеток у контейнері для таблеток; по 1 контейнеру для таблеток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lang w:val="ru-RU"/>
              </w:rPr>
            </w:pPr>
            <w:r>
              <w:rPr>
                <w:rFonts w:ascii="Arial" w:hAnsi="Arial" w:cs="Arial"/>
                <w:sz w:val="16"/>
                <w:szCs w:val="16"/>
                <w:lang w:val="ru-RU"/>
              </w:rPr>
              <w:t>ЛЄ ЛАБОРАТУАР СЕРВ'Є</w:t>
            </w:r>
            <w:r>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ind w:left="-113"/>
              <w:jc w:val="center"/>
              <w:rPr>
                <w:rFonts w:ascii="Arial" w:hAnsi="Arial" w:cs="Arial"/>
                <w:sz w:val="16"/>
                <w:szCs w:val="16"/>
              </w:rPr>
            </w:pPr>
            <w:r>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виробництво, аналіз, первинне та вторинне пакування, випуск серії:</w:t>
            </w:r>
            <w:r>
              <w:rPr>
                <w:rFonts w:ascii="Arial" w:hAnsi="Arial" w:cs="Arial"/>
                <w:sz w:val="16"/>
                <w:szCs w:val="16"/>
              </w:rPr>
              <w:br/>
              <w:t>Лабораторії Серв'є Індастрі, Франція;</w:t>
            </w:r>
            <w:r>
              <w:rPr>
                <w:rFonts w:ascii="Arial" w:hAnsi="Arial" w:cs="Arial"/>
                <w:sz w:val="16"/>
                <w:szCs w:val="16"/>
              </w:rPr>
              <w:br/>
              <w:t>первинне та вторинне пакування, випуск серії:</w:t>
            </w:r>
            <w:r>
              <w:rPr>
                <w:rFonts w:ascii="Arial" w:hAnsi="Arial" w:cs="Arial"/>
                <w:sz w:val="16"/>
                <w:szCs w:val="16"/>
              </w:rPr>
              <w:br/>
              <w:t>Серв'є (Ірландія) Індастріс Лтд, Ірландія</w:t>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Франція/Ірландія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Перереєстрація на необмежений термін</w:t>
            </w:r>
            <w:r>
              <w:rPr>
                <w:rFonts w:ascii="Arial" w:hAnsi="Arial" w:cs="Arial"/>
                <w:sz w:val="16"/>
                <w:szCs w:val="16"/>
              </w:rPr>
              <w:br/>
              <w:t>Оновлено інформацію в інструкції для медичного застосування лікарського засобу в розділах "Протипоказання", "Взаємодія з іншими лікарськими засобами та інші види взаємодій", "Особливості застосування", "Побічні реакції" відповідно до інформації стосовно безпеки лікарського засобу, яка зазначена в матеріалах реєстраційного досьє.</w:t>
            </w:r>
            <w:r>
              <w:rPr>
                <w:rFonts w:ascii="Arial" w:hAnsi="Arial" w:cs="Arial"/>
                <w:sz w:val="16"/>
                <w:szCs w:val="16"/>
              </w:rPr>
              <w:br/>
            </w:r>
            <w:r>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UA/16109/01/01</w:t>
            </w:r>
          </w:p>
        </w:tc>
      </w:tr>
      <w:tr w:rsidR="003D03F3" w:rsidTr="00E420B5">
        <w:trPr>
          <w:cantSplit/>
        </w:trPr>
        <w:tc>
          <w:tcPr>
            <w:tcW w:w="426" w:type="dxa"/>
            <w:tcBorders>
              <w:top w:val="single" w:sz="4" w:space="0" w:color="auto"/>
              <w:left w:val="single" w:sz="4" w:space="0" w:color="000000"/>
              <w:bottom w:val="single" w:sz="4" w:space="0" w:color="auto"/>
              <w:right w:val="single" w:sz="4" w:space="0" w:color="000000"/>
            </w:tcBorders>
          </w:tcPr>
          <w:p w:rsidR="003D03F3" w:rsidRDefault="003D03F3" w:rsidP="003D03F3">
            <w:pPr>
              <w:numPr>
                <w:ilvl w:val="0"/>
                <w:numId w:val="5"/>
              </w:numPr>
              <w:tabs>
                <w:tab w:val="left" w:pos="12600"/>
              </w:tabs>
              <w:jc w:val="center"/>
              <w:rPr>
                <w:rFonts w:ascii="Arial" w:hAnsi="Arial" w:cs="Arial"/>
                <w:b/>
                <w:sz w:val="18"/>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ЛІНЕЗОЛІД-ГЕТЕРО</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lang w:val="ru-RU"/>
              </w:rPr>
            </w:pPr>
            <w:r>
              <w:rPr>
                <w:rFonts w:ascii="Arial" w:hAnsi="Arial" w:cs="Arial"/>
                <w:sz w:val="16"/>
                <w:szCs w:val="16"/>
                <w:lang w:val="ru-RU"/>
              </w:rPr>
              <w:t>таблетки, вкриті плівковою оболонкою, по 600 мг, по 10 таблеток у блістері, по 1 або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lang w:val="ru-RU"/>
              </w:rPr>
            </w:pPr>
            <w:r>
              <w:rPr>
                <w:rFonts w:ascii="Arial" w:hAnsi="Arial" w:cs="Arial"/>
                <w:sz w:val="16"/>
                <w:szCs w:val="16"/>
                <w:lang w:val="ru-RU"/>
              </w:rPr>
              <w:t>Гетеро Лабз Лімітед</w:t>
            </w:r>
            <w:r>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ind w:left="-113"/>
              <w:jc w:val="center"/>
              <w:rPr>
                <w:rFonts w:ascii="Arial" w:hAnsi="Arial" w:cs="Arial"/>
                <w:sz w:val="16"/>
                <w:szCs w:val="16"/>
              </w:rPr>
            </w:pPr>
            <w:r>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Гетеро Лабз Лімітед</w:t>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перереєстрація на необмежений термін</w:t>
            </w:r>
            <w:r>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UA/16624/01/01</w:t>
            </w:r>
          </w:p>
        </w:tc>
      </w:tr>
      <w:tr w:rsidR="003D03F3" w:rsidTr="00E420B5">
        <w:trPr>
          <w:cantSplit/>
        </w:trPr>
        <w:tc>
          <w:tcPr>
            <w:tcW w:w="426" w:type="dxa"/>
            <w:tcBorders>
              <w:top w:val="single" w:sz="4" w:space="0" w:color="auto"/>
              <w:left w:val="single" w:sz="4" w:space="0" w:color="000000"/>
              <w:bottom w:val="single" w:sz="4" w:space="0" w:color="auto"/>
              <w:right w:val="single" w:sz="4" w:space="0" w:color="000000"/>
            </w:tcBorders>
          </w:tcPr>
          <w:p w:rsidR="003D03F3" w:rsidRDefault="003D03F3" w:rsidP="003D03F3">
            <w:pPr>
              <w:numPr>
                <w:ilvl w:val="0"/>
                <w:numId w:val="5"/>
              </w:numPr>
              <w:tabs>
                <w:tab w:val="left" w:pos="12600"/>
              </w:tabs>
              <w:jc w:val="center"/>
              <w:rPr>
                <w:rFonts w:ascii="Arial" w:hAnsi="Arial" w:cs="Arial"/>
                <w:b/>
                <w:sz w:val="18"/>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МЕМАМЕД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lang w:val="ru-RU"/>
              </w:rPr>
            </w:pPr>
            <w:r>
              <w:rPr>
                <w:rFonts w:ascii="Arial" w:hAnsi="Arial" w:cs="Arial"/>
                <w:sz w:val="16"/>
                <w:szCs w:val="16"/>
                <w:lang w:val="ru-RU"/>
              </w:rPr>
              <w:t xml:space="preserve">таблетки, вкриті плівковою оболонкою по 10 мг по 10 таблеток у блістері, по 3 або 6 блістерів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lang w:val="ru-RU"/>
              </w:rPr>
            </w:pPr>
            <w:r>
              <w:rPr>
                <w:rFonts w:ascii="Arial" w:hAnsi="Arial" w:cs="Arial"/>
                <w:sz w:val="16"/>
                <w:szCs w:val="16"/>
                <w:lang w:val="ru-RU"/>
              </w:rPr>
              <w:t>Медокемі ЛТД</w:t>
            </w:r>
            <w:r>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ind w:left="-113"/>
              <w:jc w:val="center"/>
              <w:rPr>
                <w:rFonts w:ascii="Arial" w:hAnsi="Arial" w:cs="Arial"/>
                <w:sz w:val="16"/>
                <w:szCs w:val="16"/>
              </w:rPr>
            </w:pPr>
            <w:r>
              <w:rPr>
                <w:rFonts w:ascii="Arial" w:hAnsi="Arial" w:cs="Arial"/>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первинне та вторинне пакування готового лікарського засобу:</w:t>
            </w:r>
            <w:r>
              <w:rPr>
                <w:rFonts w:ascii="Arial" w:hAnsi="Arial" w:cs="Arial"/>
                <w:sz w:val="16"/>
                <w:szCs w:val="16"/>
              </w:rPr>
              <w:br/>
              <w:t xml:space="preserve">Медокемі ЛТД (Завод AZ), Кіпр </w:t>
            </w:r>
            <w:r>
              <w:rPr>
                <w:rFonts w:ascii="Arial" w:hAnsi="Arial" w:cs="Arial"/>
                <w:sz w:val="16"/>
                <w:szCs w:val="16"/>
              </w:rPr>
              <w:br/>
              <w:t>виробництво за повним циклом:</w:t>
            </w:r>
            <w:r>
              <w:rPr>
                <w:rFonts w:ascii="Arial" w:hAnsi="Arial" w:cs="Arial"/>
                <w:sz w:val="16"/>
                <w:szCs w:val="16"/>
              </w:rPr>
              <w:br/>
              <w:t xml:space="preserve">Медокемі ЛТД (Центральний Завод), Кіпр </w:t>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Кіпр</w:t>
            </w:r>
          </w:p>
        </w:tc>
        <w:tc>
          <w:tcPr>
            <w:tcW w:w="354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Перереєстрація на необмежений термін</w:t>
            </w:r>
            <w:r>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UA/16845/01/01</w:t>
            </w:r>
          </w:p>
        </w:tc>
      </w:tr>
      <w:tr w:rsidR="003D03F3" w:rsidTr="00E420B5">
        <w:trPr>
          <w:cantSplit/>
        </w:trPr>
        <w:tc>
          <w:tcPr>
            <w:tcW w:w="426" w:type="dxa"/>
            <w:tcBorders>
              <w:top w:val="single" w:sz="4" w:space="0" w:color="auto"/>
              <w:left w:val="single" w:sz="4" w:space="0" w:color="000000"/>
              <w:bottom w:val="single" w:sz="4" w:space="0" w:color="auto"/>
              <w:right w:val="single" w:sz="4" w:space="0" w:color="000000"/>
            </w:tcBorders>
          </w:tcPr>
          <w:p w:rsidR="003D03F3" w:rsidRDefault="003D03F3" w:rsidP="003D03F3">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МЕМАМЕД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таблетки, вкриті плівковою оболонкою по 20 мг по 10 таблеток у блістері, по 3 або 6 блістерів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Медокемі ЛТД</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ind w:left="-113"/>
              <w:jc w:val="center"/>
              <w:rPr>
                <w:rFonts w:ascii="Arial" w:hAnsi="Arial" w:cs="Arial"/>
                <w:sz w:val="16"/>
                <w:szCs w:val="16"/>
              </w:rPr>
            </w:pPr>
            <w:r>
              <w:rPr>
                <w:rFonts w:ascii="Arial" w:hAnsi="Arial" w:cs="Arial"/>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первинне та вторинне пакування готового лікарського засобу:</w:t>
            </w:r>
            <w:r>
              <w:rPr>
                <w:rFonts w:ascii="Arial" w:hAnsi="Arial" w:cs="Arial"/>
                <w:sz w:val="16"/>
                <w:szCs w:val="16"/>
              </w:rPr>
              <w:br/>
              <w:t xml:space="preserve">Медокемі ЛТД (Завод AZ), Кіпр </w:t>
            </w:r>
            <w:r>
              <w:rPr>
                <w:rFonts w:ascii="Arial" w:hAnsi="Arial" w:cs="Arial"/>
                <w:sz w:val="16"/>
                <w:szCs w:val="16"/>
              </w:rPr>
              <w:br/>
              <w:t>виробництво за повним циклом:</w:t>
            </w:r>
            <w:r>
              <w:rPr>
                <w:rFonts w:ascii="Arial" w:hAnsi="Arial" w:cs="Arial"/>
                <w:sz w:val="16"/>
                <w:szCs w:val="16"/>
              </w:rPr>
              <w:br/>
              <w:t xml:space="preserve">Медокемі ЛТД (Центральний Завод), Кіпр </w:t>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Кіпр</w:t>
            </w:r>
          </w:p>
        </w:tc>
        <w:tc>
          <w:tcPr>
            <w:tcW w:w="354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Перереєстрація на необмежений термін</w:t>
            </w:r>
            <w:r>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UA/16845/01/02</w:t>
            </w:r>
          </w:p>
        </w:tc>
      </w:tr>
      <w:tr w:rsidR="003D03F3" w:rsidTr="00E420B5">
        <w:trPr>
          <w:cantSplit/>
        </w:trPr>
        <w:tc>
          <w:tcPr>
            <w:tcW w:w="426" w:type="dxa"/>
            <w:tcBorders>
              <w:top w:val="single" w:sz="4" w:space="0" w:color="auto"/>
              <w:left w:val="single" w:sz="4" w:space="0" w:color="000000"/>
              <w:bottom w:val="single" w:sz="4" w:space="0" w:color="auto"/>
              <w:right w:val="single" w:sz="4" w:space="0" w:color="000000"/>
            </w:tcBorders>
          </w:tcPr>
          <w:p w:rsidR="003D03F3" w:rsidRDefault="003D03F3" w:rsidP="003D03F3">
            <w:pPr>
              <w:numPr>
                <w:ilvl w:val="0"/>
                <w:numId w:val="5"/>
              </w:numPr>
              <w:tabs>
                <w:tab w:val="left" w:pos="12600"/>
              </w:tabs>
              <w:jc w:val="center"/>
              <w:rPr>
                <w:rFonts w:ascii="Arial" w:hAnsi="Arial" w:cs="Arial"/>
                <w:b/>
                <w:sz w:val="18"/>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ОЗАЛЕКС®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таблетки, вкриті плівковою оболонкою, по 20 мг, №28 (14х2): по 14 таблеток у блістері, по 2 блістери у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"ГЛЕДФАРМ ЛТД"</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ind w:left="-113"/>
              <w:jc w:val="center"/>
              <w:rPr>
                <w:rFonts w:ascii="Arial" w:hAnsi="Arial" w:cs="Arial"/>
                <w:sz w:val="16"/>
                <w:szCs w:val="16"/>
              </w:rPr>
            </w:pPr>
            <w:r>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ТОВ "КУСУМ ФАРМ" </w:t>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Перереєстрація на необмежений термін</w:t>
            </w:r>
            <w:r>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"Побічні реакції" відповідно до інформації щодо медичного застосування референтного лікарського засобу (КРЕСТОР, таблетки, вкриті плівковою оболонкою).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UA/16949/01/02</w:t>
            </w:r>
          </w:p>
        </w:tc>
      </w:tr>
      <w:tr w:rsidR="003D03F3" w:rsidTr="00E420B5">
        <w:trPr>
          <w:cantSplit/>
        </w:trPr>
        <w:tc>
          <w:tcPr>
            <w:tcW w:w="426" w:type="dxa"/>
            <w:tcBorders>
              <w:top w:val="single" w:sz="4" w:space="0" w:color="auto"/>
              <w:left w:val="single" w:sz="4" w:space="0" w:color="000000"/>
              <w:bottom w:val="single" w:sz="4" w:space="0" w:color="auto"/>
              <w:right w:val="single" w:sz="4" w:space="0" w:color="000000"/>
            </w:tcBorders>
          </w:tcPr>
          <w:p w:rsidR="003D03F3" w:rsidRDefault="003D03F3" w:rsidP="003D03F3">
            <w:pPr>
              <w:numPr>
                <w:ilvl w:val="0"/>
                <w:numId w:val="5"/>
              </w:numPr>
              <w:tabs>
                <w:tab w:val="left" w:pos="12600"/>
              </w:tabs>
              <w:jc w:val="center"/>
              <w:rPr>
                <w:rFonts w:ascii="Arial" w:hAnsi="Arial" w:cs="Arial"/>
                <w:b/>
                <w:sz w:val="18"/>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ОЗАЛЕКС®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таблетки, вкриті плівковою оболонкою, по 40 мг №28 (14х2): по 14 таблеток у блістері, по 2 блістери у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lang w:val="ru-RU"/>
              </w:rPr>
            </w:pPr>
            <w:r>
              <w:rPr>
                <w:rFonts w:ascii="Arial" w:hAnsi="Arial" w:cs="Arial"/>
                <w:sz w:val="16"/>
                <w:szCs w:val="16"/>
                <w:lang w:val="ru-RU"/>
              </w:rPr>
              <w:t>ТОВ "ГЛЕДФАРМ ЛТД"</w:t>
            </w:r>
            <w:r>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ind w:left="-113"/>
              <w:jc w:val="center"/>
              <w:rPr>
                <w:rFonts w:ascii="Arial" w:hAnsi="Arial" w:cs="Arial"/>
                <w:sz w:val="16"/>
                <w:szCs w:val="16"/>
              </w:rPr>
            </w:pPr>
            <w:r>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lang w:val="ru-RU"/>
              </w:rPr>
              <w:t xml:space="preserve">ТОВ "КУСУМ ФАРМ" </w:t>
            </w:r>
            <w:r>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Перереєстрація на необмежений термін</w:t>
            </w:r>
            <w:r>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"Побічні реакції" відповідно до інформації щодо медичного застосування референтного лікарського засобу (КРЕСТОР, таблетки, вкриті плівковою оболонкою).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UA/16949/01/03</w:t>
            </w:r>
          </w:p>
        </w:tc>
      </w:tr>
      <w:tr w:rsidR="003D03F3" w:rsidTr="00E420B5">
        <w:trPr>
          <w:cantSplit/>
        </w:trPr>
        <w:tc>
          <w:tcPr>
            <w:tcW w:w="426" w:type="dxa"/>
            <w:tcBorders>
              <w:top w:val="single" w:sz="4" w:space="0" w:color="auto"/>
              <w:left w:val="single" w:sz="4" w:space="0" w:color="000000"/>
              <w:bottom w:val="single" w:sz="4" w:space="0" w:color="auto"/>
              <w:right w:val="single" w:sz="4" w:space="0" w:color="000000"/>
            </w:tcBorders>
          </w:tcPr>
          <w:p w:rsidR="003D03F3" w:rsidRDefault="003D03F3" w:rsidP="003D03F3">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ОЗАЛЕКС®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lang w:val="ru-RU"/>
              </w:rPr>
            </w:pPr>
            <w:r>
              <w:rPr>
                <w:rFonts w:ascii="Arial" w:hAnsi="Arial" w:cs="Arial"/>
                <w:sz w:val="16"/>
                <w:szCs w:val="16"/>
                <w:lang w:val="ru-RU"/>
              </w:rPr>
              <w:t>таблетки, вкриті плівковою оболонкою, по 10 мг №28 (14х2): по 14 таблеток у блістері, по 2 блістери у картонній упаковці, №84 (14х6): по 14 таблеток у блістері, по 6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lang w:val="ru-RU"/>
              </w:rPr>
            </w:pPr>
            <w:r>
              <w:rPr>
                <w:rFonts w:ascii="Arial" w:hAnsi="Arial" w:cs="Arial"/>
                <w:sz w:val="16"/>
                <w:szCs w:val="16"/>
                <w:lang w:val="ru-RU"/>
              </w:rPr>
              <w:t>ТОВ "ГЛЕДФАРМ ЛТД"</w:t>
            </w:r>
            <w:r>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ind w:left="-113"/>
              <w:jc w:val="center"/>
              <w:rPr>
                <w:rFonts w:ascii="Arial" w:hAnsi="Arial" w:cs="Arial"/>
                <w:sz w:val="16"/>
                <w:szCs w:val="16"/>
              </w:rPr>
            </w:pPr>
            <w:r>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lang w:val="ru-RU"/>
              </w:rPr>
              <w:t xml:space="preserve">ТОВ "КУСУМ ФАРМ" </w:t>
            </w:r>
            <w:r>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Перереєстрація на необмежений термін</w:t>
            </w:r>
            <w:r>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"Побічні реакції" відповідно до інформації щодо медичного застосування референтного лікарського засобу (КРЕСТОР, таблетки, вкриті плівковою оболонкою).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UA/16949/01/01</w:t>
            </w:r>
          </w:p>
        </w:tc>
      </w:tr>
      <w:tr w:rsidR="003D03F3" w:rsidTr="00E420B5">
        <w:trPr>
          <w:cantSplit/>
        </w:trPr>
        <w:tc>
          <w:tcPr>
            <w:tcW w:w="426" w:type="dxa"/>
            <w:tcBorders>
              <w:top w:val="single" w:sz="4" w:space="0" w:color="auto"/>
              <w:left w:val="single" w:sz="4" w:space="0" w:color="000000"/>
              <w:bottom w:val="single" w:sz="4" w:space="0" w:color="auto"/>
              <w:right w:val="single" w:sz="4" w:space="0" w:color="000000"/>
            </w:tcBorders>
          </w:tcPr>
          <w:p w:rsidR="003D03F3" w:rsidRDefault="003D03F3" w:rsidP="003D03F3">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ПАНКРЕАТИН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lang w:val="ru-RU"/>
              </w:rPr>
            </w:pPr>
            <w:r>
              <w:rPr>
                <w:rFonts w:ascii="Arial" w:hAnsi="Arial" w:cs="Arial"/>
                <w:sz w:val="16"/>
                <w:szCs w:val="16"/>
                <w:lang w:val="ru-RU"/>
              </w:rPr>
              <w:t>аморфний порошок (субстанція) у двошарових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lang w:val="ru-RU"/>
              </w:rPr>
            </w:pPr>
            <w:r>
              <w:rPr>
                <w:rFonts w:ascii="Arial" w:hAnsi="Arial" w:cs="Arial"/>
                <w:sz w:val="16"/>
                <w:szCs w:val="16"/>
                <w:lang w:val="ru-RU"/>
              </w:rPr>
              <w:t>Товариство з обмеженою відповідальністю "Фармацевтична компанія "Здоров'я"</w:t>
            </w:r>
            <w:r>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ind w:left="-113"/>
              <w:jc w:val="center"/>
              <w:rPr>
                <w:rFonts w:ascii="Arial" w:hAnsi="Arial" w:cs="Arial"/>
                <w:sz w:val="16"/>
                <w:szCs w:val="16"/>
              </w:rPr>
            </w:pPr>
            <w:r>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lang w:val="ru-RU"/>
              </w:rPr>
              <w:t>Сичуань Біосин Фармасьютікал Ко., Лтд.</w:t>
            </w:r>
            <w:r>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lang w:val="ru-RU"/>
              </w:rPr>
              <w:t>Китай</w:t>
            </w:r>
          </w:p>
        </w:tc>
        <w:tc>
          <w:tcPr>
            <w:tcW w:w="354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UA/17163/01/01</w:t>
            </w:r>
          </w:p>
        </w:tc>
      </w:tr>
      <w:tr w:rsidR="003D03F3" w:rsidTr="00E420B5">
        <w:trPr>
          <w:cantSplit/>
        </w:trPr>
        <w:tc>
          <w:tcPr>
            <w:tcW w:w="426" w:type="dxa"/>
            <w:tcBorders>
              <w:top w:val="single" w:sz="4" w:space="0" w:color="auto"/>
              <w:left w:val="single" w:sz="4" w:space="0" w:color="000000"/>
              <w:bottom w:val="single" w:sz="4" w:space="0" w:color="auto"/>
              <w:right w:val="single" w:sz="4" w:space="0" w:color="000000"/>
            </w:tcBorders>
          </w:tcPr>
          <w:p w:rsidR="003D03F3" w:rsidRDefault="003D03F3" w:rsidP="003D03F3">
            <w:pPr>
              <w:numPr>
                <w:ilvl w:val="0"/>
                <w:numId w:val="5"/>
              </w:numPr>
              <w:tabs>
                <w:tab w:val="left" w:pos="12600"/>
              </w:tabs>
              <w:jc w:val="center"/>
              <w:rPr>
                <w:rFonts w:ascii="Arial" w:hAnsi="Arial" w:cs="Arial"/>
                <w:b/>
                <w:sz w:val="18"/>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РИПРОНАТ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розчин для ін`єкцій, 100 мг/мл; по 5 мл в ампулі; по 5 ампул в контурній чарунковій упаковці; по 2 контурні чарункові упаковки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«УОРЛД МЕДИЦИН»</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ind w:left="-113"/>
              <w:jc w:val="center"/>
              <w:rPr>
                <w:rFonts w:ascii="Arial" w:hAnsi="Arial" w:cs="Arial"/>
                <w:sz w:val="16"/>
                <w:szCs w:val="16"/>
              </w:rPr>
            </w:pPr>
            <w:r>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К.О. Ромфарм Компані С.Р.Л. </w:t>
            </w:r>
            <w:r>
              <w:rPr>
                <w:rFonts w:ascii="Arial" w:hAnsi="Arial" w:cs="Arial"/>
                <w:sz w:val="16"/>
                <w:szCs w:val="16"/>
              </w:rPr>
              <w:br/>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Румунія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Перереєстрація на необмежений термін</w:t>
            </w:r>
            <w:r>
              <w:rPr>
                <w:rFonts w:ascii="Arial" w:hAnsi="Arial" w:cs="Arial"/>
                <w:sz w:val="16"/>
                <w:szCs w:val="16"/>
              </w:rPr>
              <w:br/>
              <w:t xml:space="preserve">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"Побічні реакції" відповідно до інформації щодо медичного застосування референтного лікарського засобу (МІЛДРОНАТ, розчин для ін’єкцій). </w:t>
            </w:r>
            <w:r>
              <w:rPr>
                <w:rFonts w:ascii="Arial" w:hAnsi="Arial" w:cs="Arial"/>
                <w:sz w:val="16"/>
                <w:szCs w:val="16"/>
              </w:rPr>
              <w:br/>
            </w:r>
            <w:r>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UA/16424/01/01</w:t>
            </w:r>
          </w:p>
        </w:tc>
      </w:tr>
      <w:tr w:rsidR="003D03F3" w:rsidTr="00E420B5">
        <w:trPr>
          <w:cantSplit/>
        </w:trPr>
        <w:tc>
          <w:tcPr>
            <w:tcW w:w="426" w:type="dxa"/>
            <w:tcBorders>
              <w:top w:val="single" w:sz="4" w:space="0" w:color="auto"/>
              <w:left w:val="single" w:sz="4" w:space="0" w:color="000000"/>
              <w:bottom w:val="single" w:sz="4" w:space="0" w:color="auto"/>
              <w:right w:val="single" w:sz="4" w:space="0" w:color="000000"/>
            </w:tcBorders>
          </w:tcPr>
          <w:p w:rsidR="003D03F3" w:rsidRDefault="003D03F3" w:rsidP="003D03F3">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РОЗУВАСТАТИН КАЛЬЦІЮ</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lang w:val="ru-RU"/>
              </w:rPr>
            </w:pPr>
            <w:r>
              <w:rPr>
                <w:rFonts w:ascii="Arial" w:hAnsi="Arial" w:cs="Arial"/>
                <w:sz w:val="16"/>
                <w:szCs w:val="16"/>
                <w:lang w:val="ru-RU"/>
              </w:rPr>
              <w:t>порошок (субстанція) у пакетах подвійних поліетиленових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lang w:val="ru-RU"/>
              </w:rPr>
              <w:t>ПрАТ "Фармацевтична фірма "Дарниця"</w:t>
            </w:r>
            <w:r>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ind w:left="-113"/>
              <w:jc w:val="center"/>
              <w:rPr>
                <w:rFonts w:ascii="Arial" w:hAnsi="Arial" w:cs="Arial"/>
                <w:sz w:val="16"/>
                <w:szCs w:val="16"/>
              </w:rPr>
            </w:pPr>
            <w:r>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ГЛЕНМАРК ЛАЙФ САЙЕНСИЗ ЛТД. </w:t>
            </w:r>
            <w:r>
              <w:rPr>
                <w:rFonts w:ascii="Arial" w:hAnsi="Arial" w:cs="Arial"/>
                <w:sz w:val="16"/>
                <w:szCs w:val="16"/>
              </w:rPr>
              <w:br/>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UA/17117/01/01</w:t>
            </w:r>
          </w:p>
        </w:tc>
      </w:tr>
      <w:tr w:rsidR="003D03F3" w:rsidTr="00E420B5">
        <w:trPr>
          <w:cantSplit/>
        </w:trPr>
        <w:tc>
          <w:tcPr>
            <w:tcW w:w="426" w:type="dxa"/>
            <w:tcBorders>
              <w:top w:val="single" w:sz="4" w:space="0" w:color="auto"/>
              <w:left w:val="single" w:sz="4" w:space="0" w:color="000000"/>
              <w:bottom w:val="single" w:sz="4" w:space="0" w:color="auto"/>
              <w:right w:val="single" w:sz="4" w:space="0" w:color="000000"/>
            </w:tcBorders>
          </w:tcPr>
          <w:p w:rsidR="003D03F3" w:rsidRDefault="003D03F3" w:rsidP="003D03F3">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РОЗУЛІП®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lang w:val="ru-RU"/>
              </w:rPr>
            </w:pPr>
            <w:r>
              <w:rPr>
                <w:rFonts w:ascii="Arial" w:hAnsi="Arial" w:cs="Arial"/>
                <w:sz w:val="16"/>
                <w:szCs w:val="16"/>
                <w:lang w:val="ru-RU"/>
              </w:rPr>
              <w:t>капсули тверді по 40 мг/10 мг, по 10 капсул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lang w:val="ru-RU"/>
              </w:rPr>
            </w:pPr>
            <w:r>
              <w:rPr>
                <w:rFonts w:ascii="Arial" w:hAnsi="Arial" w:cs="Arial"/>
                <w:sz w:val="16"/>
                <w:szCs w:val="16"/>
                <w:lang w:val="ru-RU"/>
              </w:rPr>
              <w:t>ЗАТ Фармацевтичний завод ЕГІС</w:t>
            </w:r>
            <w:r>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ind w:left="-113"/>
              <w:jc w:val="center"/>
              <w:rPr>
                <w:rFonts w:ascii="Arial" w:hAnsi="Arial" w:cs="Arial"/>
                <w:sz w:val="16"/>
                <w:szCs w:val="16"/>
              </w:rPr>
            </w:pPr>
            <w:r>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повний цикл виробництва, включаючи випуск серії:</w:t>
            </w:r>
            <w:r>
              <w:rPr>
                <w:rFonts w:ascii="Arial" w:hAnsi="Arial" w:cs="Arial"/>
                <w:sz w:val="16"/>
                <w:szCs w:val="16"/>
              </w:rPr>
              <w:br/>
              <w:t xml:space="preserve">ЗАТ Фармацевтичний завод ЕГІС, Угорщина; </w:t>
            </w:r>
            <w:r>
              <w:rPr>
                <w:rFonts w:ascii="Arial" w:hAnsi="Arial" w:cs="Arial"/>
                <w:sz w:val="16"/>
                <w:szCs w:val="16"/>
              </w:rPr>
              <w:br/>
              <w:t>повний цикл виробництва, включаючи випуск серії:</w:t>
            </w:r>
            <w:r>
              <w:rPr>
                <w:rFonts w:ascii="Arial" w:hAnsi="Arial" w:cs="Arial"/>
                <w:sz w:val="16"/>
                <w:szCs w:val="16"/>
              </w:rPr>
              <w:br/>
              <w:t xml:space="preserve">ЗАТ Фармацевтичний завод  ЕГІС, Угорщина </w:t>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Угорщина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Перереєстрація на необмежений термін</w:t>
            </w:r>
            <w:r>
              <w:rPr>
                <w:rFonts w:ascii="Arial" w:hAnsi="Arial" w:cs="Arial"/>
                <w:sz w:val="16"/>
                <w:szCs w:val="16"/>
              </w:rPr>
              <w:br/>
              <w:t xml:space="preserve">Внесено оновлену інформацію в інструкцію для медичного застосування лікарського засобу до розділів "Показання" (уточнення), "Фармакологічні властивості" (безпека), "Протипоказання", "Взаємодія з іншими лікарськими засобами та інші види взаємодій", "Особливості застосування", "Спосіб застосування та дози" (уточнення), "Передозування", "Побічні реакції" відповідно до оновленої інформації, зазначеної в матеріалах реєстраційного досьє. </w:t>
            </w:r>
            <w:r>
              <w:rPr>
                <w:rFonts w:ascii="Arial" w:hAnsi="Arial" w:cs="Arial"/>
                <w:sz w:val="16"/>
                <w:szCs w:val="16"/>
              </w:rPr>
              <w:br/>
            </w:r>
            <w:r>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UA/16806/01/01</w:t>
            </w:r>
          </w:p>
        </w:tc>
      </w:tr>
      <w:tr w:rsidR="003D03F3" w:rsidTr="00E420B5">
        <w:trPr>
          <w:cantSplit/>
        </w:trPr>
        <w:tc>
          <w:tcPr>
            <w:tcW w:w="426" w:type="dxa"/>
            <w:tcBorders>
              <w:top w:val="single" w:sz="4" w:space="0" w:color="auto"/>
              <w:left w:val="single" w:sz="4" w:space="0" w:color="000000"/>
              <w:bottom w:val="single" w:sz="4" w:space="0" w:color="auto"/>
              <w:right w:val="single" w:sz="4" w:space="0" w:color="000000"/>
            </w:tcBorders>
          </w:tcPr>
          <w:p w:rsidR="003D03F3" w:rsidRDefault="003D03F3" w:rsidP="003D03F3">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ЦИЛОСТАЗОЛ СТАДА®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lang w:val="ru-RU"/>
              </w:rPr>
            </w:pPr>
            <w:r>
              <w:rPr>
                <w:rFonts w:ascii="Arial" w:hAnsi="Arial" w:cs="Arial"/>
                <w:sz w:val="16"/>
                <w:szCs w:val="16"/>
                <w:lang w:val="ru-RU"/>
              </w:rPr>
              <w:t>таблетки по 100 мг, по 14 таблеток у блістері;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lang w:val="ru-RU"/>
              </w:rPr>
            </w:pPr>
            <w:r>
              <w:rPr>
                <w:rFonts w:ascii="Arial" w:hAnsi="Arial" w:cs="Arial"/>
                <w:sz w:val="16"/>
                <w:szCs w:val="16"/>
                <w:lang w:val="ru-RU"/>
              </w:rPr>
              <w:t>СТАДА Арцнайміттель АГ</w:t>
            </w:r>
            <w:r>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ind w:left="-113"/>
              <w:jc w:val="center"/>
              <w:rPr>
                <w:rFonts w:ascii="Arial" w:hAnsi="Arial" w:cs="Arial"/>
                <w:sz w:val="16"/>
                <w:szCs w:val="16"/>
              </w:rPr>
            </w:pPr>
            <w:r>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випуск серій:</w:t>
            </w:r>
          </w:p>
          <w:p w:rsidR="003D03F3" w:rsidRDefault="003D03F3">
            <w:pPr>
              <w:pStyle w:val="110"/>
              <w:tabs>
                <w:tab w:val="left" w:pos="12600"/>
              </w:tabs>
              <w:jc w:val="center"/>
              <w:rPr>
                <w:rFonts w:ascii="Arial" w:hAnsi="Arial" w:cs="Arial"/>
                <w:sz w:val="16"/>
                <w:szCs w:val="16"/>
              </w:rPr>
            </w:pPr>
            <w:r>
              <w:rPr>
                <w:rFonts w:ascii="Arial" w:hAnsi="Arial" w:cs="Arial"/>
                <w:sz w:val="16"/>
                <w:szCs w:val="16"/>
              </w:rPr>
              <w:t>СТАДА Арцнайміттель АГ, Німеччина</w:t>
            </w:r>
          </w:p>
          <w:p w:rsidR="003D03F3" w:rsidRDefault="003D03F3">
            <w:pPr>
              <w:pStyle w:val="110"/>
              <w:tabs>
                <w:tab w:val="left" w:pos="12600"/>
              </w:tabs>
              <w:jc w:val="center"/>
              <w:rPr>
                <w:rFonts w:ascii="Arial" w:hAnsi="Arial" w:cs="Arial"/>
                <w:sz w:val="16"/>
                <w:szCs w:val="16"/>
              </w:rPr>
            </w:pPr>
            <w:r>
              <w:rPr>
                <w:rFonts w:ascii="Arial" w:hAnsi="Arial" w:cs="Arial"/>
                <w:sz w:val="16"/>
                <w:szCs w:val="16"/>
              </w:rPr>
              <w:t>виробництво нерозфасованого продукту, первинне та вторинне пакування, контроль серій:</w:t>
            </w:r>
          </w:p>
          <w:p w:rsidR="003D03F3" w:rsidRDefault="003D03F3">
            <w:pPr>
              <w:pStyle w:val="110"/>
              <w:tabs>
                <w:tab w:val="left" w:pos="12600"/>
              </w:tabs>
              <w:jc w:val="center"/>
              <w:rPr>
                <w:rFonts w:ascii="Arial" w:hAnsi="Arial" w:cs="Arial"/>
                <w:sz w:val="16"/>
                <w:szCs w:val="16"/>
              </w:rPr>
            </w:pPr>
            <w:r>
              <w:rPr>
                <w:rFonts w:ascii="Arial" w:hAnsi="Arial" w:cs="Arial"/>
                <w:sz w:val="16"/>
                <w:szCs w:val="16"/>
              </w:rPr>
              <w:t>Адамед Фарма С.А., Польща</w:t>
            </w:r>
          </w:p>
          <w:p w:rsidR="003D03F3" w:rsidRDefault="003D03F3">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Перереєстрація на необмежений термін</w:t>
            </w:r>
            <w:r>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(Pletal 100 mg tablets). </w:t>
            </w:r>
            <w:r>
              <w:rPr>
                <w:rFonts w:ascii="Arial" w:hAnsi="Arial" w:cs="Arial"/>
                <w:sz w:val="16"/>
                <w:szCs w:val="16"/>
              </w:rPr>
              <w:br/>
            </w:r>
            <w:r>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UA/16267/01/01</w:t>
            </w:r>
          </w:p>
        </w:tc>
      </w:tr>
    </w:tbl>
    <w:p w:rsidR="003D03F3" w:rsidRDefault="003D03F3" w:rsidP="003D03F3">
      <w:pPr>
        <w:pStyle w:val="11"/>
      </w:pPr>
    </w:p>
    <w:p w:rsidR="003D03F3" w:rsidRDefault="003D03F3" w:rsidP="003D03F3">
      <w:pPr>
        <w:pStyle w:val="11"/>
      </w:pPr>
    </w:p>
    <w:p w:rsidR="003D03F3" w:rsidRDefault="003D03F3" w:rsidP="003D03F3">
      <w:pPr>
        <w:pStyle w:val="11"/>
      </w:pPr>
    </w:p>
    <w:tbl>
      <w:tblPr>
        <w:tblW w:w="0" w:type="auto"/>
        <w:tblLook w:val="04A0" w:firstRow="1" w:lastRow="0" w:firstColumn="1" w:lastColumn="0" w:noHBand="0" w:noVBand="1"/>
      </w:tblPr>
      <w:tblGrid>
        <w:gridCol w:w="7421"/>
        <w:gridCol w:w="7422"/>
      </w:tblGrid>
      <w:tr w:rsidR="003D03F3" w:rsidTr="003D03F3">
        <w:tc>
          <w:tcPr>
            <w:tcW w:w="7421" w:type="dxa"/>
            <w:hideMark/>
          </w:tcPr>
          <w:p w:rsidR="003D03F3" w:rsidRDefault="003D03F3">
            <w:pPr>
              <w:rPr>
                <w:rStyle w:val="cs95e872d03"/>
                <w:rFonts w:ascii="Arial" w:hAnsi="Arial" w:cs="Arial"/>
                <w:sz w:val="28"/>
                <w:szCs w:val="28"/>
              </w:rPr>
            </w:pPr>
            <w:r>
              <w:rPr>
                <w:rStyle w:val="cs7a65ad241"/>
                <w:rFonts w:ascii="Arial" w:hAnsi="Arial" w:cs="Arial"/>
                <w:sz w:val="28"/>
                <w:szCs w:val="28"/>
              </w:rPr>
              <w:t xml:space="preserve">Начальник </w:t>
            </w:r>
          </w:p>
          <w:p w:rsidR="003D03F3" w:rsidRDefault="003D03F3">
            <w:pPr>
              <w:ind w:right="20"/>
              <w:rPr>
                <w:rStyle w:val="cs7864ebcf1"/>
                <w:rFonts w:ascii="Arial" w:hAnsi="Arial" w:cs="Arial"/>
                <w:b w:val="0"/>
                <w:sz w:val="28"/>
                <w:szCs w:val="28"/>
              </w:rPr>
            </w:pPr>
            <w:r>
              <w:rPr>
                <w:rStyle w:val="cs7a65ad241"/>
                <w:rFonts w:ascii="Arial" w:hAnsi="Arial" w:cs="Arial"/>
                <w:sz w:val="28"/>
                <w:szCs w:val="28"/>
              </w:rPr>
              <w:t>Фармацевтичного управління</w:t>
            </w:r>
          </w:p>
        </w:tc>
        <w:tc>
          <w:tcPr>
            <w:tcW w:w="7422" w:type="dxa"/>
          </w:tcPr>
          <w:p w:rsidR="003D03F3" w:rsidRDefault="003D03F3">
            <w:pPr>
              <w:pStyle w:val="cs95e872d0"/>
              <w:rPr>
                <w:rStyle w:val="cs7864ebcf1"/>
                <w:rFonts w:ascii="Arial" w:hAnsi="Arial" w:cs="Arial"/>
                <w:sz w:val="28"/>
                <w:szCs w:val="28"/>
              </w:rPr>
            </w:pPr>
          </w:p>
          <w:p w:rsidR="003D03F3" w:rsidRDefault="003D03F3">
            <w:pPr>
              <w:pStyle w:val="cs95e872d0"/>
              <w:jc w:val="right"/>
              <w:rPr>
                <w:rStyle w:val="cs7864ebcf1"/>
                <w:rFonts w:ascii="Arial" w:hAnsi="Arial" w:cs="Arial"/>
                <w:sz w:val="28"/>
                <w:szCs w:val="28"/>
              </w:rPr>
            </w:pPr>
            <w:r>
              <w:rPr>
                <w:rStyle w:val="cs7a65ad241"/>
                <w:rFonts w:ascii="Arial" w:hAnsi="Arial" w:cs="Arial"/>
              </w:rPr>
              <w:t>Тарас ЛЯСКОВСЬКИЙ</w:t>
            </w:r>
          </w:p>
        </w:tc>
      </w:tr>
    </w:tbl>
    <w:p w:rsidR="003D03F3" w:rsidRDefault="003D03F3" w:rsidP="003D03F3">
      <w:pPr>
        <w:rPr>
          <w:rFonts w:eastAsia="Times New Roman"/>
          <w:sz w:val="24"/>
          <w:szCs w:val="24"/>
        </w:rPr>
      </w:pPr>
    </w:p>
    <w:p w:rsidR="003D03F3" w:rsidRDefault="003D03F3" w:rsidP="003D03F3">
      <w:pPr>
        <w:pStyle w:val="11"/>
        <w:jc w:val="both"/>
        <w:rPr>
          <w:rFonts w:ascii="Arial" w:hAnsi="Arial" w:cs="Arial"/>
        </w:rPr>
      </w:pPr>
    </w:p>
    <w:p w:rsidR="003D03F3" w:rsidRDefault="003D03F3" w:rsidP="003D03F3">
      <w:pPr>
        <w:pStyle w:val="11"/>
        <w:jc w:val="both"/>
        <w:rPr>
          <w:rFonts w:ascii="Arial" w:hAnsi="Arial" w:cs="Arial"/>
        </w:rPr>
      </w:pPr>
    </w:p>
    <w:p w:rsidR="003D03F3" w:rsidRDefault="003D03F3" w:rsidP="00FC73F7">
      <w:pPr>
        <w:pStyle w:val="31"/>
        <w:spacing w:after="0"/>
        <w:ind w:left="0"/>
        <w:rPr>
          <w:b/>
          <w:sz w:val="28"/>
          <w:szCs w:val="28"/>
          <w:lang w:val="uk-UA"/>
        </w:rPr>
      </w:pPr>
      <w:r>
        <w:rPr>
          <w:b/>
          <w:sz w:val="28"/>
          <w:szCs w:val="28"/>
          <w:lang w:val="uk-UA"/>
        </w:rPr>
        <w:br w:type="page"/>
      </w:r>
    </w:p>
    <w:tbl>
      <w:tblPr>
        <w:tblW w:w="3825" w:type="dxa"/>
        <w:tblInd w:w="11448" w:type="dxa"/>
        <w:tblLayout w:type="fixed"/>
        <w:tblLook w:val="04A0" w:firstRow="1" w:lastRow="0" w:firstColumn="1" w:lastColumn="0" w:noHBand="0" w:noVBand="1"/>
      </w:tblPr>
      <w:tblGrid>
        <w:gridCol w:w="3825"/>
      </w:tblGrid>
      <w:tr w:rsidR="003D03F3" w:rsidTr="003D03F3">
        <w:tc>
          <w:tcPr>
            <w:tcW w:w="3828" w:type="dxa"/>
            <w:hideMark/>
          </w:tcPr>
          <w:p w:rsidR="003D03F3" w:rsidRDefault="003D03F3">
            <w:pPr>
              <w:keepNext/>
              <w:tabs>
                <w:tab w:val="left" w:pos="12600"/>
              </w:tabs>
              <w:outlineLvl w:val="3"/>
              <w:rPr>
                <w:b/>
                <w:iCs/>
                <w:sz w:val="18"/>
                <w:szCs w:val="18"/>
                <w:lang w:val="uk-UA" w:eastAsia="uk-UA"/>
              </w:rPr>
            </w:pPr>
            <w:r>
              <w:rPr>
                <w:b/>
                <w:iCs/>
                <w:sz w:val="18"/>
                <w:szCs w:val="18"/>
              </w:rPr>
              <w:t>Додаток 3</w:t>
            </w:r>
          </w:p>
          <w:p w:rsidR="003D03F3" w:rsidRDefault="003D03F3">
            <w:pPr>
              <w:pStyle w:val="4"/>
              <w:tabs>
                <w:tab w:val="left" w:pos="12600"/>
              </w:tabs>
              <w:rPr>
                <w:iCs/>
                <w:sz w:val="18"/>
                <w:szCs w:val="18"/>
              </w:rPr>
            </w:pPr>
            <w:r>
              <w:rPr>
                <w:iCs/>
                <w:sz w:val="18"/>
                <w:szCs w:val="18"/>
              </w:rPr>
              <w:t>до наказу Міністерства охорони</w:t>
            </w:r>
          </w:p>
          <w:p w:rsidR="003D03F3" w:rsidRDefault="003D03F3">
            <w:pPr>
              <w:pStyle w:val="4"/>
              <w:tabs>
                <w:tab w:val="left" w:pos="12600"/>
              </w:tabs>
              <w:rPr>
                <w:iCs/>
                <w:sz w:val="18"/>
                <w:szCs w:val="18"/>
              </w:rPr>
            </w:pPr>
            <w:r>
              <w:rPr>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3D03F3" w:rsidRDefault="003D03F3">
            <w:pPr>
              <w:tabs>
                <w:tab w:val="left" w:pos="12600"/>
              </w:tabs>
              <w:rPr>
                <w:rFonts w:ascii="Arial" w:hAnsi="Arial" w:cs="Arial"/>
                <w:b/>
                <w:sz w:val="18"/>
                <w:szCs w:val="18"/>
                <w:u w:val="single"/>
              </w:rPr>
            </w:pPr>
            <w:r>
              <w:rPr>
                <w:b/>
                <w:sz w:val="18"/>
                <w:szCs w:val="18"/>
                <w:u w:val="single"/>
              </w:rPr>
              <w:t>від 08 червня 2023 року № 1037</w:t>
            </w:r>
          </w:p>
        </w:tc>
      </w:tr>
    </w:tbl>
    <w:p w:rsidR="003D03F3" w:rsidRDefault="003D03F3" w:rsidP="003D03F3">
      <w:pPr>
        <w:tabs>
          <w:tab w:val="left" w:pos="12600"/>
        </w:tabs>
        <w:jc w:val="center"/>
        <w:rPr>
          <w:rFonts w:ascii="Arial" w:eastAsia="Times New Roman" w:hAnsi="Arial" w:cs="Arial"/>
          <w:sz w:val="18"/>
          <w:szCs w:val="18"/>
          <w:u w:val="single"/>
        </w:rPr>
      </w:pPr>
    </w:p>
    <w:p w:rsidR="003D03F3" w:rsidRDefault="003D03F3" w:rsidP="003D03F3">
      <w:pPr>
        <w:pStyle w:val="3a"/>
        <w:jc w:val="center"/>
        <w:rPr>
          <w:b/>
          <w:caps/>
          <w:sz w:val="28"/>
          <w:szCs w:val="28"/>
          <w:lang w:eastAsia="uk-UA"/>
        </w:rPr>
      </w:pPr>
      <w:r>
        <w:rPr>
          <w:b/>
          <w:caps/>
          <w:sz w:val="28"/>
          <w:szCs w:val="28"/>
          <w:lang w:eastAsia="uk-UA"/>
        </w:rPr>
        <w:t>ПЕРЕЛІК</w:t>
      </w:r>
    </w:p>
    <w:p w:rsidR="003D03F3" w:rsidRDefault="003D03F3" w:rsidP="003D03F3">
      <w:pPr>
        <w:pStyle w:val="3a"/>
        <w:jc w:val="center"/>
        <w:rPr>
          <w:rFonts w:ascii="Arial" w:hAnsi="Arial" w:cs="Arial"/>
          <w:color w:val="000000"/>
          <w:sz w:val="26"/>
          <w:szCs w:val="26"/>
        </w:rPr>
      </w:pPr>
      <w:r>
        <w:rPr>
          <w:b/>
          <w:caps/>
          <w:sz w:val="28"/>
          <w:szCs w:val="28"/>
          <w:lang w:eastAsia="uk-UA"/>
        </w:rPr>
        <w:t xml:space="preserve">ЛІКАРСЬКИХ ЗАСОБІВ (МЕДИЧНИХ ІМУНОБІОЛОГІЧНИХ ПРЕПАРАТІВ), ЩОДО ЯКИХ БУЛИ ВНЕСЕНІ ЗМІНИ ДО </w:t>
      </w:r>
      <w:r>
        <w:rPr>
          <w:b/>
          <w:caps/>
          <w:sz w:val="28"/>
          <w:szCs w:val="28"/>
        </w:rPr>
        <w:t>реєстраційних матеріалів</w:t>
      </w:r>
      <w:r>
        <w:rPr>
          <w:b/>
          <w:caps/>
          <w:sz w:val="28"/>
          <w:szCs w:val="28"/>
          <w:lang w:eastAsia="uk-UA"/>
        </w:rPr>
        <w:t>, ЯКІ ВНОСЯТЬСЯ ДО ДЕРЖАВНОГО РЕЄСТРУ ЛІКАРСЬКИХ ЗАСОБІВ УКРАЇНИ</w:t>
      </w:r>
    </w:p>
    <w:p w:rsidR="003D03F3" w:rsidRPr="003D03F3" w:rsidRDefault="003D03F3" w:rsidP="003D03F3">
      <w:pPr>
        <w:keepNext/>
        <w:jc w:val="center"/>
        <w:outlineLvl w:val="3"/>
        <w:rPr>
          <w:rFonts w:ascii="Arial" w:hAnsi="Arial" w:cs="Arial"/>
          <w:b/>
          <w:caps/>
          <w:sz w:val="26"/>
          <w:szCs w:val="26"/>
          <w:lang w:val="uk-UA"/>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5"/>
        <w:gridCol w:w="1278"/>
        <w:gridCol w:w="1701"/>
        <w:gridCol w:w="1275"/>
        <w:gridCol w:w="993"/>
        <w:gridCol w:w="1275"/>
        <w:gridCol w:w="1134"/>
        <w:gridCol w:w="3969"/>
        <w:gridCol w:w="993"/>
        <w:gridCol w:w="993"/>
        <w:gridCol w:w="1559"/>
      </w:tblGrid>
      <w:tr w:rsidR="003D03F3" w:rsidTr="00E420B5">
        <w:trPr>
          <w:cantSplit/>
          <w:tblHeader/>
        </w:trPr>
        <w:tc>
          <w:tcPr>
            <w:tcW w:w="566" w:type="dxa"/>
            <w:tcBorders>
              <w:top w:val="single" w:sz="4" w:space="0" w:color="000000"/>
              <w:left w:val="single" w:sz="4" w:space="0" w:color="000000"/>
              <w:bottom w:val="single" w:sz="4" w:space="0" w:color="auto"/>
              <w:right w:val="single" w:sz="4" w:space="0" w:color="000000"/>
            </w:tcBorders>
            <w:shd w:val="clear" w:color="auto" w:fill="D9D9D9"/>
            <w:hideMark/>
          </w:tcPr>
          <w:p w:rsidR="003D03F3" w:rsidRDefault="003D03F3">
            <w:pPr>
              <w:tabs>
                <w:tab w:val="left" w:pos="12600"/>
              </w:tabs>
              <w:jc w:val="center"/>
              <w:rPr>
                <w:rFonts w:ascii="Arial" w:hAnsi="Arial" w:cs="Arial"/>
                <w:b/>
                <w:i/>
                <w:sz w:val="16"/>
                <w:szCs w:val="16"/>
              </w:rPr>
            </w:pPr>
            <w:r>
              <w:rPr>
                <w:rFonts w:ascii="Arial" w:hAnsi="Arial" w:cs="Arial"/>
                <w:b/>
                <w:i/>
                <w:sz w:val="16"/>
                <w:szCs w:val="16"/>
              </w:rPr>
              <w:t>№ п/п</w:t>
            </w:r>
          </w:p>
        </w:tc>
        <w:tc>
          <w:tcPr>
            <w:tcW w:w="1278" w:type="dxa"/>
            <w:tcBorders>
              <w:top w:val="single" w:sz="4" w:space="0" w:color="000000"/>
              <w:left w:val="single" w:sz="4" w:space="0" w:color="000000"/>
              <w:bottom w:val="single" w:sz="4" w:space="0" w:color="auto"/>
              <w:right w:val="single" w:sz="4" w:space="0" w:color="000000"/>
            </w:tcBorders>
            <w:shd w:val="clear" w:color="auto" w:fill="D9D9D9"/>
            <w:hideMark/>
          </w:tcPr>
          <w:p w:rsidR="003D03F3" w:rsidRDefault="003D03F3">
            <w:pPr>
              <w:tabs>
                <w:tab w:val="left" w:pos="12600"/>
              </w:tabs>
              <w:jc w:val="center"/>
              <w:rPr>
                <w:rFonts w:ascii="Arial" w:hAnsi="Arial" w:cs="Arial"/>
                <w:b/>
                <w:i/>
                <w:sz w:val="16"/>
                <w:szCs w:val="16"/>
              </w:rPr>
            </w:pPr>
            <w:r>
              <w:rPr>
                <w:rFonts w:ascii="Arial" w:hAnsi="Arial" w:cs="Arial"/>
                <w:b/>
                <w:i/>
                <w:sz w:val="16"/>
                <w:szCs w:val="16"/>
              </w:rPr>
              <w:t>Назва лікарського засобу</w:t>
            </w:r>
          </w:p>
        </w:tc>
        <w:tc>
          <w:tcPr>
            <w:tcW w:w="1701" w:type="dxa"/>
            <w:tcBorders>
              <w:top w:val="single" w:sz="4" w:space="0" w:color="000000"/>
              <w:left w:val="single" w:sz="4" w:space="0" w:color="000000"/>
              <w:bottom w:val="single" w:sz="4" w:space="0" w:color="auto"/>
              <w:right w:val="single" w:sz="4" w:space="0" w:color="000000"/>
            </w:tcBorders>
            <w:shd w:val="clear" w:color="auto" w:fill="D9D9D9"/>
            <w:hideMark/>
          </w:tcPr>
          <w:p w:rsidR="003D03F3" w:rsidRDefault="003D03F3">
            <w:pPr>
              <w:tabs>
                <w:tab w:val="left" w:pos="12600"/>
              </w:tabs>
              <w:jc w:val="center"/>
              <w:rPr>
                <w:rFonts w:ascii="Arial" w:hAnsi="Arial" w:cs="Arial"/>
                <w:b/>
                <w:i/>
                <w:sz w:val="16"/>
                <w:szCs w:val="16"/>
              </w:rPr>
            </w:pPr>
            <w:r>
              <w:rPr>
                <w:rFonts w:ascii="Arial" w:hAnsi="Arial" w:cs="Arial"/>
                <w:b/>
                <w:i/>
                <w:sz w:val="16"/>
                <w:szCs w:val="16"/>
              </w:rPr>
              <w:t>Форма випуску (лікарська форма, упаковка)</w:t>
            </w:r>
          </w:p>
        </w:tc>
        <w:tc>
          <w:tcPr>
            <w:tcW w:w="1275" w:type="dxa"/>
            <w:tcBorders>
              <w:top w:val="single" w:sz="4" w:space="0" w:color="000000"/>
              <w:left w:val="single" w:sz="4" w:space="0" w:color="000000"/>
              <w:bottom w:val="single" w:sz="4" w:space="0" w:color="auto"/>
              <w:right w:val="single" w:sz="4" w:space="0" w:color="000000"/>
            </w:tcBorders>
            <w:shd w:val="clear" w:color="auto" w:fill="D9D9D9"/>
            <w:hideMark/>
          </w:tcPr>
          <w:p w:rsidR="003D03F3" w:rsidRDefault="003D03F3">
            <w:pPr>
              <w:tabs>
                <w:tab w:val="left" w:pos="12600"/>
              </w:tabs>
              <w:jc w:val="center"/>
              <w:rPr>
                <w:rFonts w:ascii="Arial" w:hAnsi="Arial" w:cs="Arial"/>
                <w:b/>
                <w:i/>
                <w:sz w:val="16"/>
                <w:szCs w:val="16"/>
              </w:rPr>
            </w:pPr>
            <w:r>
              <w:rPr>
                <w:rFonts w:ascii="Arial" w:hAnsi="Arial" w:cs="Arial"/>
                <w:b/>
                <w:i/>
                <w:sz w:val="16"/>
                <w:szCs w:val="16"/>
              </w:rPr>
              <w:t>Заявник</w:t>
            </w:r>
          </w:p>
        </w:tc>
        <w:tc>
          <w:tcPr>
            <w:tcW w:w="993" w:type="dxa"/>
            <w:tcBorders>
              <w:top w:val="single" w:sz="4" w:space="0" w:color="000000"/>
              <w:left w:val="single" w:sz="4" w:space="0" w:color="000000"/>
              <w:bottom w:val="single" w:sz="4" w:space="0" w:color="auto"/>
              <w:right w:val="single" w:sz="4" w:space="0" w:color="000000"/>
            </w:tcBorders>
            <w:shd w:val="clear" w:color="auto" w:fill="D9D9D9"/>
            <w:hideMark/>
          </w:tcPr>
          <w:p w:rsidR="003D03F3" w:rsidRDefault="003D03F3">
            <w:pPr>
              <w:tabs>
                <w:tab w:val="left" w:pos="12600"/>
              </w:tabs>
              <w:jc w:val="center"/>
              <w:rPr>
                <w:rFonts w:ascii="Arial" w:hAnsi="Arial" w:cs="Arial"/>
                <w:b/>
                <w:i/>
                <w:sz w:val="16"/>
                <w:szCs w:val="16"/>
              </w:rPr>
            </w:pPr>
            <w:r>
              <w:rPr>
                <w:rFonts w:ascii="Arial" w:hAnsi="Arial" w:cs="Arial"/>
                <w:b/>
                <w:i/>
                <w:sz w:val="16"/>
                <w:szCs w:val="16"/>
              </w:rPr>
              <w:t>Країна заявника</w:t>
            </w:r>
          </w:p>
        </w:tc>
        <w:tc>
          <w:tcPr>
            <w:tcW w:w="1275" w:type="dxa"/>
            <w:tcBorders>
              <w:top w:val="single" w:sz="4" w:space="0" w:color="000000"/>
              <w:left w:val="single" w:sz="4" w:space="0" w:color="000000"/>
              <w:bottom w:val="single" w:sz="4" w:space="0" w:color="auto"/>
              <w:right w:val="single" w:sz="4" w:space="0" w:color="000000"/>
            </w:tcBorders>
            <w:shd w:val="clear" w:color="auto" w:fill="D9D9D9"/>
            <w:hideMark/>
          </w:tcPr>
          <w:p w:rsidR="003D03F3" w:rsidRDefault="003D03F3">
            <w:pPr>
              <w:tabs>
                <w:tab w:val="left" w:pos="12600"/>
              </w:tabs>
              <w:jc w:val="center"/>
              <w:rPr>
                <w:rFonts w:ascii="Arial" w:hAnsi="Arial" w:cs="Arial"/>
                <w:b/>
                <w:i/>
                <w:sz w:val="16"/>
                <w:szCs w:val="16"/>
              </w:rPr>
            </w:pPr>
            <w:r>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hideMark/>
          </w:tcPr>
          <w:p w:rsidR="003D03F3" w:rsidRDefault="003D03F3">
            <w:pPr>
              <w:tabs>
                <w:tab w:val="left" w:pos="12600"/>
              </w:tabs>
              <w:jc w:val="center"/>
              <w:rPr>
                <w:rFonts w:ascii="Arial" w:hAnsi="Arial" w:cs="Arial"/>
                <w:b/>
                <w:i/>
                <w:sz w:val="16"/>
                <w:szCs w:val="16"/>
              </w:rPr>
            </w:pPr>
            <w:r>
              <w:rPr>
                <w:rFonts w:ascii="Arial" w:hAnsi="Arial" w:cs="Arial"/>
                <w:b/>
                <w:i/>
                <w:sz w:val="16"/>
                <w:szCs w:val="16"/>
              </w:rPr>
              <w:t>Країна виробника</w:t>
            </w:r>
          </w:p>
        </w:tc>
        <w:tc>
          <w:tcPr>
            <w:tcW w:w="3969" w:type="dxa"/>
            <w:tcBorders>
              <w:top w:val="single" w:sz="4" w:space="0" w:color="000000"/>
              <w:left w:val="single" w:sz="4" w:space="0" w:color="000000"/>
              <w:bottom w:val="single" w:sz="4" w:space="0" w:color="auto"/>
              <w:right w:val="single" w:sz="4" w:space="0" w:color="000000"/>
            </w:tcBorders>
            <w:shd w:val="clear" w:color="auto" w:fill="D9D9D9"/>
            <w:hideMark/>
          </w:tcPr>
          <w:p w:rsidR="003D03F3" w:rsidRDefault="003D03F3">
            <w:pPr>
              <w:tabs>
                <w:tab w:val="left" w:pos="12600"/>
              </w:tabs>
              <w:jc w:val="center"/>
              <w:rPr>
                <w:rFonts w:ascii="Arial" w:hAnsi="Arial" w:cs="Arial"/>
                <w:b/>
                <w:i/>
                <w:sz w:val="16"/>
                <w:szCs w:val="16"/>
              </w:rPr>
            </w:pPr>
            <w:r>
              <w:rPr>
                <w:rFonts w:ascii="Arial" w:hAnsi="Arial" w:cs="Arial"/>
                <w:b/>
                <w:i/>
                <w:sz w:val="16"/>
                <w:szCs w:val="16"/>
              </w:rPr>
              <w:t>Реєстраційна процедура</w:t>
            </w:r>
          </w:p>
        </w:tc>
        <w:tc>
          <w:tcPr>
            <w:tcW w:w="993" w:type="dxa"/>
            <w:tcBorders>
              <w:top w:val="single" w:sz="4" w:space="0" w:color="000000"/>
              <w:left w:val="single" w:sz="4" w:space="0" w:color="000000"/>
              <w:bottom w:val="single" w:sz="4" w:space="0" w:color="auto"/>
              <w:right w:val="single" w:sz="4" w:space="0" w:color="000000"/>
            </w:tcBorders>
            <w:shd w:val="clear" w:color="auto" w:fill="D9D9D9"/>
            <w:hideMark/>
          </w:tcPr>
          <w:p w:rsidR="003D03F3" w:rsidRDefault="003D03F3">
            <w:pPr>
              <w:tabs>
                <w:tab w:val="left" w:pos="12600"/>
              </w:tabs>
              <w:jc w:val="center"/>
              <w:rPr>
                <w:rFonts w:ascii="Arial" w:hAnsi="Arial" w:cs="Arial"/>
                <w:b/>
                <w:i/>
                <w:sz w:val="16"/>
                <w:szCs w:val="16"/>
              </w:rPr>
            </w:pPr>
            <w:r>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hideMark/>
          </w:tcPr>
          <w:p w:rsidR="003D03F3" w:rsidRDefault="003D03F3">
            <w:pPr>
              <w:tabs>
                <w:tab w:val="left" w:pos="12600"/>
              </w:tabs>
              <w:jc w:val="center"/>
              <w:rPr>
                <w:rFonts w:ascii="Arial" w:hAnsi="Arial" w:cs="Arial"/>
                <w:b/>
                <w:i/>
                <w:sz w:val="16"/>
                <w:szCs w:val="16"/>
              </w:rPr>
            </w:pPr>
            <w:r>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hideMark/>
          </w:tcPr>
          <w:p w:rsidR="003D03F3" w:rsidRDefault="003D03F3">
            <w:pPr>
              <w:tabs>
                <w:tab w:val="left" w:pos="12600"/>
              </w:tabs>
              <w:jc w:val="center"/>
              <w:rPr>
                <w:rFonts w:ascii="Arial" w:hAnsi="Arial" w:cs="Arial"/>
                <w:b/>
                <w:i/>
                <w:sz w:val="16"/>
                <w:szCs w:val="16"/>
              </w:rPr>
            </w:pPr>
            <w:r>
              <w:rPr>
                <w:rFonts w:ascii="Arial" w:hAnsi="Arial" w:cs="Arial"/>
                <w:b/>
                <w:i/>
                <w:sz w:val="16"/>
                <w:szCs w:val="16"/>
              </w:rPr>
              <w:t>Номер реєстраційного посвідчення</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АДАПТОЛ®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капсули по 300 мг; по 10 капсул у блістері; по 2 блістери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 "Олайнфарм"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Латвiя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Латвiя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Pr>
                <w:rFonts w:ascii="Arial" w:hAnsi="Arial" w:cs="Arial"/>
                <w:sz w:val="16"/>
                <w:szCs w:val="16"/>
              </w:rPr>
              <w:br/>
              <w:t>Діюча редакція: Прискока Андрій. Пропонована редакція: Савченко Дмитро Сергійович.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UA/2785/02/01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АДЕМЕТІОНІНУ 1,4-БУТАНДИСУЛЬФОНАТ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порошок (субстанція) у пакетах з фольгованої плівки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ТОВ НВФ «МІКРОХІМ»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ТОВ НВФ «МІКРОХІМ» </w:t>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ЛЗ у зв'язку з фактичною зміною юридичної адреси, а також зміна найменування заявника, а саме згідно статуту ТОВ НВФ "МІКРОХІМ" скорочене найменування Товариства.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юридичної адреси виробника АФІ, а також зміна найменування виробника, а саме згідно статуту ТОВ НВФ "МІКРОХІМ" скорочене найменування Товариства.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UA/14867/01/01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АДЕНОРМ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капсули з модифікованим вивільненням, тверді по 0,4 мг; по 10 капсул у блістері; по 3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 "КИЇВСЬКИЙ ВІТАМІННИЙ ЗАВОД"</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 "КИЇВСЬКИЙ ВІТАМІННИЙ ЗАВОД"</w:t>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в текст маркування первинної та вторинної упаковки лікарського засобу, а саме вилучення інформації російською мовою.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UA/6709/01/01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АЙДРІНК®</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порошок для орального розчину зі смаком чорної смородини по 5,2 г в саше; по 10 саше в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розділу «Ідентифікація» до вимог моногрaфії Paracetamol ЄФ, 10.7 (2.2.24) для АФІ парацетамол (виробників Shenzhou Jiheng Pharmaceutical Co., Ltd, Китай та Anqiu Lu’an Pharmaceutical Co., Ltd, Китай) від виробника ГЛЗ.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розділу «Супровідні домішки» до вимог моногрaфії Paracetamol ЄФ, 10.7 (2.2.29) для АФІ парацетамол (виробників Shenzhou Jiheng Pharmaceutical Co., Ltd, Китай та Anqiu Lu’an Pharmaceutical Co., Ltd, Китай) від виробника ГЛЗ. Критерії прийнятності не змінилися.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UA/14814/01/01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АЙДРІНК®</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порошок для орального розчину зі смаком лимону по 4,8 г в саше; по 10 саше в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розділу «Ідентифікація» до вимог моногрaфії Paracetamol ЄФ, 10.7 (2.2.24) для АФІ парацетамол (виробників Shenzhou Jiheng Pharmaceutical Co., Ltd, Китай та Anqiu Lu’an Pharmaceutical Co., Ltd, Китай) від виробника ГЛЗ.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розділу «Супровідні домішки» до вимог моногрaфії Paracetamol ЄФ, 10.7 (2.2.29) для АФІ парацетамол (виробників Shenzhou Jiheng Pharmaceutical Co., Ltd, Китай та Anqiu Lu’an Pharmaceutical Co., Ltd, Китай) від виробника ГЛЗ. Критерії прийнятності не змінилися.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UA/14813/01/01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АКІНЗЕО®</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капсули тверді, 300 мг/0,5 мг, по 1 капсулі в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Хелсінн Хелскеа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Швейцарія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Хелсінн Бірекс Фармасьютікалз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Ірландiя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додання альтернативного розміру серії 360 000 таблеток для проміжних таблеток Нетупітант в доповнення до вже затвердженого розміру серії 120 000 таблеток.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готового лікарського засобу для твердих капсул Акінзео® 300 мг Нетупітант/0,5 мг Палоносетрон (затверджено: 40 000 капсул; запропоновано; 120 000 капсул).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відповідального за виробництво, контроль якості діючих речовин палоносетрону гідрохлорид, нетупітант без зміни адреси виробництва, а також для виробників проміжних продуктів, що використовуються в процесі виробництва діючої речовини нетупітант Затверджено: Helsinn Advanced Synthesis SA Запропоновано: HAS Healthcare Advanced Synthesis SA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UA/17170/01/01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АКСЕФ®</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оболонкою по 250 мг, по 10 таблеток у блістері; по 1 або по 2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НОБЕЛ ІЛАЧ САНАЇ ВЕ ТІДЖАРЕТ А.Ш.</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Туреччина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UA/3767/01/01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АКСЕФ®</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оболонкою по 500 мг по 10 таблеток у блістері; по 1 або по 2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НОБЕЛ ІЛАЧ САНАЇ ВЕ ТІДЖАРЕТ А.Ш.</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Туреччина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UA/3767/01/02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АЛОПУРИНОЛ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по 100 мг, по 10 таблеток у блістері; по 5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Публічне акціонерне товариство "Науково-виробничий центр "Борщагівський хіміко-фармацевтичний завод", Україна (виробництво за повним циклом); Товариство з обмеженою відповідальністю "АГРОФАРМ", Україна (виробництво, пакування, випуск серій); Товариство з обмеженою відповідальністю "Натур+", Україна (контроль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2008-211-Rev 03 (затверджено: R1-CEP 2008-211-Rev 02) для АФІ алопуринолу від вже затвердженого виробника IPCA LABORATORIES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2008-211-Rev 04 для АФІ алопуринолу від вже затвердженого виробника IPCA LABORATORIES LIMITED, Індія.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UA/7302/01/01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АЛОПУРИНОЛ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по 100 мг, по 10 таблеток у блістері; по 5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Публічне акціонерне товариство "Науково-виробничий центр "Борщагівський хіміко-фармацевтичний завод", Україна (виробництво за повним циклом); Товариство з обмеженою відповідальністю "АГРОФАРМ", Україна (виробництво, пакування, випуск серій); Товариство з обмеженою відповідальністю "Натур+", Україна (контроль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UA/7302/01/01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АЛЬБУНОРМ 20 %</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розчин для інфузій, 200 г/л, по 50 мл або 100 мл розчину у флаконі, по 1 флакону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Австрія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виробник, відповідальний за виробництво in-bulk, первинну упаковку, контроль якості, вторинну упаковку, візуальна інспекція, маркування, випуск серії: Октафарма Фармацевтика Продуктіонсгес. м.б.Х., Австрія; виробник, відповідальний за виробництво in-bulk, первинну упаковку, контроль якості, випуск серії: Октафарма АБ, Швеція; виробник, відповідальний за виробництво in-bulk, первинну упаковку, контроль якості, випуск серії: Октафарма, Франція; виробник, відповідальний за виробництво in-bulk, первинну упаковку, контроль якості, випуск серії: Октафарма Продуктіонсгеселшафт Дойчланд мбХ, Німеччина; виробник, відповідальний за візуальний контроль, маркування та вторинну упаковку: Октафарма Дессау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Австрія/Німеччина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Готовий лікарський засіб. Безпека сторонніх агентів. Оновлення інформації "Оцінка безпеки сторонніх агентів" (розділ 3.2.А.2) (інші зміни) Зміни до оцінки безпеки сторонніх агентів внаслідок імплементації нового розміру контейнерів для плазми.</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UA/17703/01/01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АЛЬБУНОРМ 25 %</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розчин для інфузій, 250 г/л; по 50 мл або 100 мл розчину у флаконі, по 1 флакону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Австрія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виробник, відповідальний за виробництво in-bulk, первинну упаковку, контроль якості, вторинну упаковку, візуальна інспекція, маркування, випуск серії: Октафарма Фармацевтика Продуктіонсгес. м.б.Х., Австрія; виробник, відповідальний за виробництво in-bulk, первинну упаковку, контроль якості, випуск серії: Октафарма АБ, Швеція; виробник, відповідальний за виробництво in-bulk, первинну упаковку, контроль якості, випуск серії: Октафарма, Франція; виробник, відповідальний за виробництво in-bulk, первинну упаковку, контроль якості, випуск серії: Октафарма Продуктіонсгеселшафт Дойчланд мбХ, Німеччина; виробник, відповідальний за візуальний контроль, маркування та вторинну упаковку: Октафарма Дессау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Австрія/ Швеція/Німеччина</w:t>
            </w:r>
          </w:p>
          <w:p w:rsidR="003D03F3" w:rsidRDefault="003D03F3">
            <w:pPr>
              <w:pStyle w:val="110"/>
              <w:tabs>
                <w:tab w:val="left" w:pos="12600"/>
              </w:tabs>
              <w:jc w:val="center"/>
              <w:rPr>
                <w:rFonts w:ascii="Arial" w:hAnsi="Arial" w:cs="Arial"/>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Готовий лікарський засіб. Безпека сторонніх агентів. Оновлення інформації "Оцінка безпеки сторонніх агентів" (розділ 3.2.А.2) (інші зміни) Зміни до оцінки безпеки сторонніх агентів внаслідок імплементації нового розміру контейнерів для плазми.</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UA/17703/01/02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АЛЬБУНОРМ 5%</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розчин для інфузій, 50 г/л; по 100 мл, 250 мл або 500 мл розчину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Австрія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виробник, відповідальний за виробництво in-bulk, первинну упаковку, контроль якості, вторинну упаковку, візуальна інспекція, маркування, випуск серії: Октафарма Фармацевтика Продуктіонсгес. м.б.Х., Австрія; виробник, відповідальний за виробництво in-bulk, первинну упаковку, контроль якості, випуск серії: Октафарма АБ, Швеція; виробник, відповідальний за виробництво in-bulk, первинну упаковку, контроль якості, випуск серії: Октафарма, Франція; виробник, відповідальний за виробництво in-bulk, первинну упаковку, контроль якості, випуск серії: Октафарма Продуктіонсгеселшафт Дойчланд мбХ, Німеччина; виробник, відповідальний за візуальний контроль, маркування та вторинну упаковку: Октафарма Дессау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Австрія/Німеччина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Готовий лікарський засіб. Безпека сторонніх агентів. Оновлення інформації "Оцінка безпеки сторонніх агентів" (розділ 3.2.А.2) (інші зміни) Зміни до оцінки безпеки сторонніх агентів внаслідок імплементації нового розміру контейнерів для плазми.</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UA/17703/01/03</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АМБРОКСОЛ ЕКСТРА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по 30 мг; по 10 таблеток у блістері; по 2 блістери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"Астрафарм"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ТОВ "Астрафарм"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"Особливості застосування", "Побічні реакції" відповідно до інформації щодо медичного застосування референтного лікарського засобу (ЛАЗОЛВАН, таблетки).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UA/8801/01/01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АМБРОКСОЛ-ЗДОРОВ`Я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розчин для інгаляцій та перорального застосування, 15 мг/2мл по 50 мл або по 100 мл у флаконі, закупореному пробкою-крапельницею; по 1 флакону зі стаканом мірним у коробці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2004-201 - Rev 05 (затверджено: R1-CEP 2004-201 - Rev 03) для АФІ амброксолу гідрохлориду від вже затвердженого виробника SHILPA MEDICARE LIMITED, India який змінив назву на SHILPA PHARMA LIFESCIENCES LIMITED, India</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UA/16542/01/01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АМБРОКСОЛ-ЗДОРОВ'Я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сироп, 15 мг/5 мл по 100 мл у флаконі; по 1 флакону разом з мірною ложкою в картонній коробці;  по 2,5 мл або 5 мл, або 10 мл у саше; по 20 саше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"Харківське фармацевтичне підприємство "Здоров'я народу", Україна (всі стадії виробництва,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2004-201 - Rev 05 (затверджено: R1-CEP 2004-201 - Rev 03) для АФІ амброксолу гідрохлориду від вже затвердженого виробника SHILPA MEDICARE LIMITED, India який змінив назву на SHILPA PHARMA LIFESCIENCES LIMITED, India.</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UA/5897/01/01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АМБРОКСОЛ-ЗДОРОВ'Я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сироп, 30 мг/5 мл по 100 мл у флаконі; по 1 флакону разом з мірною ложкою в картонній коробці; по 5 мл у саше; по 20 саше у коробці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Товариство з обмеженою відповідальністю "Харківське фармацевтичне підприємство "Здоров'я народу",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2004-201 - Rev 05 (затверджено: R1-CEP 2004-201 - Rev 03) для АФІ амброксолу гідрохлориду від вже затвердженого виробника SHILPA MEDICARE LIMITED, India який змінив назву на SHILPA PHARMA LIFESCIENCES LIMITED, India.</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UA/5897/01/02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АМІТРИПТИЛІН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оболонкою, по 25 мг; по 25 таблеток у банках або контейнерах; по 10 таблеток у блістерах; по 10 таблеток у блістері, по 5 блістерів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Товариство з обмеженою відповідальністю "Фармацевтична компанія "Здоров'я"</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всі стадії виробництва, контроль якості, випуск серії:</w:t>
            </w:r>
            <w:r>
              <w:rPr>
                <w:rFonts w:ascii="Arial" w:hAnsi="Arial" w:cs="Arial"/>
                <w:sz w:val="16"/>
                <w:szCs w:val="16"/>
              </w:rPr>
              <w:br/>
              <w:t xml:space="preserve">Товариство з обмеженою відповідальністю "Фармацевтична компанія "Здоров'я",Україна;  </w:t>
            </w:r>
            <w:r>
              <w:rPr>
                <w:rFonts w:ascii="Arial" w:hAnsi="Arial" w:cs="Arial"/>
                <w:sz w:val="16"/>
                <w:szCs w:val="16"/>
              </w:rPr>
              <w:br/>
              <w:t>всі стадії виробництва, контроль якості, випуск серії:</w:t>
            </w:r>
            <w:r>
              <w:rPr>
                <w:rFonts w:ascii="Arial" w:hAnsi="Arial" w:cs="Arial"/>
                <w:sz w:val="16"/>
                <w:szCs w:val="16"/>
              </w:rPr>
              <w:br/>
              <w:t>Товариство з обмеженою відповідальністю "Дослідний завод "ГНЦЛС", Україна</w:t>
            </w:r>
          </w:p>
          <w:p w:rsidR="003D03F3" w:rsidRDefault="003D03F3">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4 роки </w:t>
            </w:r>
            <w:r>
              <w:rPr>
                <w:rFonts w:ascii="Arial" w:hAnsi="Arial" w:cs="Arial"/>
                <w:sz w:val="16"/>
                <w:szCs w:val="16"/>
              </w:rPr>
              <w:br/>
              <w:t xml:space="preserve">Запропоновано: Термін придатності: 5 років.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UA/4872/01/01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АМЛОДИПІН-ДАРНИЦЯ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таблетки по 5 мг; по 10 таблеток у контурній чарунковій упаковці; по 2 контурні чарункові упаковки у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додавання інформації щодо нанесення QR-коду на вторинну упаковку та вилучення тексту, який нанесений російською мовою.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UA/7940/01/01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АМЛОДИПІН-ДАРНИЦЯ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таблетки по 10 мг; по 10 таблеток у контурній чарунковій упаковці; по 2 контурні чарункові упаковки у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додавання інформації щодо нанесення QR-коду на вторинну упаковку та вилучення тексту, який нанесений російською мовою.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UA/7940/01/02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АНАЛЬГІН-ДАРНИЦЯ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по 500 мг по 10 таблеток у контурній чарунковій упаковці; по 1 контурній чарунковій упаковці в пачці; по 10 таблеток у контурних чарункових упаковках</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вилучити виробничу дільницю зі складу препарату АФІ метамізолу натрію (анальгін), фірми Wuhan Wuyao Pharmaceutical Co., Ltd., China.</w:t>
            </w:r>
            <w:r>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Подано оновлений сертифікат від уже затвердженого виробника на АФІ Метамізол натрію (анальгін), виробництва Shandong Xinhua Pharmaceutical Co., Ltd., China, СЕР № R1-CEP 2001-356-Rev 04 на заміну CEP № R1-CEP 2001-356-Rev 03. Відповідно оновлено розділи 3.2.S.4.1. Специфікація та 3.2.S.4.2. Аналітичні методики.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Подано оновлений сертифікат від уже затвердженого виробника на АФІ Метамізол натрію (анальгін), виробництва Hebei Jiheng (Group) Pharmaceutical Co., Ltd., China, СЕР № R1-CEP 2005-143-Rev 01 на заміну СЕР № R1-CEP 2005-143-Rev 00. Як наслідок зміни у первинній упаковці АФІ Метамізол натрію, виробництва Hebei Jiheng Pharmaceutical Co., Ltd., China, а саме: приведення розділу «Упаковка» у відповідність до СЕР № R1-CEP 2005-143-Rev 01 (Упаковка відповідно до нормативної документації фірми-виробника (в одинарних або подвійних поліетиленових пакетах), оснащена етикеткою, розміщеною на первинній та/або вторинній упаковці).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Подано оновлений сертифікат від уже затвердженого виробника на АФІ Метамізол натрію (анальгін), виробництва Hebei Jiheng Pharmaceutical Co., Ltd., China оновленого сертифіката відповідності Європейській фармакопеї СЕР № R1-CEP 2005-143-Rev 02 на заміну СЕР № R1-CEP 2005-143-Rev 01. Як наслідок змінилася адреса місця провадження діяльності та уточнено назву фірми виробника АФІ (Hebei Jiheng Pharmaceutical Co., Ltd., China; No. 1, Weiwu Street Hengshui Industrial Park China – 053 000 Hengshui City, Hebei Province).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незначного показника якості зі специфікації АФІ Метамізол натрію (анальгін), а саме тест «Аномальна токсичність», оскільки АФІ використовується для виробництва нестерильного лікарського засобу Анальгін-Дарниця, таблетки по 500 мг, вилучено тест «Аномальна токсичність», що не суперечить вимогам загальної статті «Субстанції для фармацевтичного застосування» Державної Фармакопеї України.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вносяться незначні зміни та редакційні уточнення до розділів: 3.2.S.4.1. Специфікація та 3.2.S.4.2. Аналітичні методики за показником якості "Мікробіологічна чистота".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внесено незначні зміни та редакційні уточнення, які оформлені відповідно до матеріалів фірми-виробника та рекомендацій ДФУ/ЄФ, до розділів: 3.2.S.4.1. Специфікація за тестами «Ідентифікація», «Кислотність або лужність», «Супровідні домішки», «Формальдегід», «Залишкові кількості органічних розчинників», 3.2.S.4.2. Аналітичні методики за тестами «Ідентифікація», «Сульфати», «Супровідні домішки» (внесено уточнення до придатності хроматографічної системи (кількості теоретичних тарілок) за результатами валідації), «Залишкові кількості органічних розчинників» та «Формальдегід» (доповнено термінами придатності розчинів за результатами валідації).</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UA/3222/01/01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АНАФЕРОН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по 20 таблеток у блістері; по 1 блістеру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"Матеріа Медика-Україна"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ЗАТ Сантоніка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Литва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UA/2614/01/01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АНАФЕРОН ДИТЯЧИЙ</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по 20 таблеток у блістері; по 1 блістеру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"Матеріа Медика-Україна"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ЗАТ Сантоніка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Литва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UA/7756/01/01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АРИПРАЗОЛ®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по 10 мг; по 10 таблеток у блістері; по 1, 3 або 6 блістерів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риски, призначеної для розділення таблетки на рівні дози) Для дозування 10 мг переведення риски з дизайнерського на функціональний формат (ділення таблетки на дві рівні половини із зазначенням ії функціонування та властивостей). Зміни І типу - Зміни з якості. Готовий лікарський засіб. Зміни у виробництві (інші зміни) Видалення з розділів 3.2.Р.3.3 опис виробничого процесу та контролю виробництва, 3.2.Р.3.4 контроль критичних етапів і проміжної продукції, 3.2.Р.3.5 валідація процесу та/або його оцінка» інформація щодо контролю готової продукції у зв’язку з приведенням до формату ЗТД. Зміни І типу - Зміни з якості. Готовий лікарський засіб. Зміни у виробництві (інші зміни) Уточнення інформації щодо нанесення номера серії та терміну придатності на стадії «Фасування», «Пакування» у зв’язку з технологічною можливістю нанесення номера серії та терміну придатності-методом друку в доповнення методу нанесення відтиску. Зміни І типу - Зміни з якості. Готовий лікарський засіб. Зміни у виробництві (інші зміни) Зміна стратегії контролю п. «Залишкові кількості органічних розчинників» в рутині та на валідації; пропонується перенесення результатів контролю «ЗКОР» з грануляту на таблетки нерозфасовані та перенесення результатів на готовий лікарський засіб. Вилучається зноска зі специфікації ГЛЗ «контроль показника здійснюється на проміжній продукції та після виробництва «п» серій препарату, при отриманні позитивних результатів контроль буде здійснюватися у режимі моніторингу, результати контролю будуть враховуватися при оформленні сертифікату якості на готовий лікарський засіб», Результати контролю будуть надані в пояснювальній записці у складі досьє. Зміни І типу - Зміни з якості. Готовий лікарський засіб. Зміни у виробництві (інші зміни) Зміни проведення рутинного та валідаційного контролю.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 розділу «Кількісне визначення» зміни використання рідинного хроматографа з УФ-детектором замість діодно -матричного детектора для уніфікації та приведення до використання єдиного обладнання для проведення контролю показників методом ВЕРХ.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у пробопідготовці розчину порівняння в методиці "Залишкові кількості органічних розчинників" (концентрація розчину порівняння залишається незмінною, зміна необхідна для отримання потрібного об’єму розчину порівняння для заколу шести флаконів згідно методики). Також пропонується підвищити точності наважки випробовуваного розчину та розчину порівняння, для отримання більш точних результатів. Додано до методики фразу щодо кількості інжекції розчину порівняння.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UA/15765/01/01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АРИПРАЗОЛ®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по 15 мг; по 10 таблеток у блістері; по 1, 3 або 6 блістерів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(інші зміни) Видалення з розділів 3.2.Р.3.3 опис виробничого процесу та контролю виробництва, 3.2.Р.3.4 контроль критичних етапів і проміжної продукції, 3.2.Р.3.5 валідація процесу та/або його оцінка» інформація щодо контролю готової продукції у зв’язку з приведенням до формату ЗТД. Зміни І типу - Зміни з якості. Готовий лікарський засіб. Зміни у виробництві (інші зміни) Уточнення інформації щодо нанесення номера серії та терміну придатності на стадії «Фасування», «Пакування» у зв’язку з технологічною можливістю нанесення номера серії та терміну придатності-методом друку в доповнення методу нанесення відтиску. Зміни І типу - Зміни з якості. Готовий лікарський засіб. Зміни у виробництві (інші зміни) Зміна стратегії контролю п. «Залишкові кількості органічних розчинників» в рутині та на валідації; пропонується перенесення результатів контролю «ЗКОР» з грануляту на таблетки нерозфасовані та перенесення результатів на готовий лікарський засіб. Вилучається зноска зі специфікації ГЛЗ «контроль показника здійснюється на проміжній продукції та після виробництва «п» серій препарату, при отриманні позитивних результатів контроль буде здійснюватися у режимі моніторингу, результати контролю будуть враховуватися при оформленні сертифікату якості на готовий лікарський засіб», Результати контролю будуть надані в пояснювальній записці у складі досьє. Зміни І типу - Зміни з якості. Готовий лікарський засіб. Зміни у виробництві (інші зміни) Зміни проведення рутинного та валідаційного контролю.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 розділу «Кількісне визначення» зміни використання рідинного хроматографа з УФ-детектором замість діодно -матричного детектора для уніфікації та приведення до використання єдиного обладнання для проведення контролю показників методом ВЕРХ.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у пробопідготовці розчину порівняння в методиці "Залишкові кількості органічних розчинників" (концентрація розчину порівняння залишається незмінною, зміна необхідна для отримання потрібного об’єму розчину порівняння для заколу шести флаконів згідно методики). Також пропонується підвищити точності наважки випробовуваного розчину та розчину порівняння, для отримання більш точних результатів. Додано до методики фразу щодо кількості інжекції розчину порівняння.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UA/15765/01/02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АРТРОКОЛ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гель, 25 мг/г по 45 г в тубі; по 1 тубі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ТОВ «УОРЛД МЕДИЦИН» </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УОРЛД МЕДИЦИН ІЛАЧ САН. ВЕ ТІДЖ. А.Ш.</w:t>
            </w:r>
            <w:r>
              <w:rPr>
                <w:rFonts w:ascii="Arial" w:hAnsi="Arial" w:cs="Arial"/>
                <w:sz w:val="16"/>
                <w:szCs w:val="16"/>
              </w:rPr>
              <w:br/>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Мевсім Ількбахар Дінчель / Mrs. Mevsim Ilkbahar Dincel.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w:t>
            </w:r>
            <w:r>
              <w:rPr>
                <w:rFonts w:ascii="Arial" w:hAnsi="Arial" w:cs="Arial"/>
                <w:sz w:val="16"/>
                <w:szCs w:val="16"/>
              </w:rPr>
              <w:br/>
              <w:t>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UA/19017/01/01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АРТРОКОЛ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гель, 25 мг/г по 45 г в тубі; по 1 тубі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К.О. СЛАВІЯ ФАРМ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Румунія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Pr>
                <w:rFonts w:ascii="Arial" w:hAnsi="Arial" w:cs="Arial"/>
                <w:sz w:val="16"/>
                <w:szCs w:val="16"/>
              </w:rPr>
              <w:br/>
              <w:t>Зміни внесені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UA/14118/01/01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АРУТИМОЛ®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краплі очні, розчин, 5 мг/мл; по 5 мл у пластиковому флаконі-капельниці Bottelpack, який закривається кришкою, що нагвинчується, з пробійником; по 1 флакону-крапельниці в картонній коробці; по 5 мл у флаконі, з крапельницею та гвинтовою кришкою;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"Бауш Хелс"</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Др. Герхард Манн, Хем-фарм. Фабрик ГмбХ, Німеччина (виробництво балку, первинне пакування, вторинне пакування, аналітичні випробування, випуск серії); Лабораторія Шовен, Францiя (виробництво балку, первинне пакування, аналітичні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1998-147 - Rev 08 (затверджено: R1-CEP 1998-147 - Rev 07) для АФІ тимололу малеату від вже затвердженого виробника TEVA PHARMACEUTICAL INDUSTRIES LTD.</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UA/4073/01/02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АСКОРІЛ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по 10 таблеток у блістері; по 1 або по 2, або по 5 блістерів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Гленмарк Фармасьютикалз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та вторинної упаковок лікарського засобу у розділ «НОМЕР СЕРІЇ ЛІКАРСЬКОГО ЗАСОБУ».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UA/11237/01/01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АСКОРІЛ ЕКСПЕКТОРАНТ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сироп; по 100 мл або по 200 мл у пластикових або скляних флаконах; по 1 флакону разом з мірним ковпачком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Гленмарк Фармасьютикалз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та вторинної упаковок лікарського засобу у розділ «НОМЕР СЕРІЇ ЛІКАРСЬКОГО ЗАСОБУ». Термін введення змін - протяго 6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UA/8670/01/01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АТГАМ / ATGAM ЛІМФОЦИТАРНИЙ ІМУНОГЛОБУЛІН, АНТИТИМОЦИТАРНИЙ ГЛОБУЛІН (КІНСЬКИЙ)</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концентрат для приготування розчину для інфузій по 50 мг/мл; по 5 мл в ампулі; по 5 ампул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США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Фармація і Апджон Компані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Pan Era Biotec PVT Ltd. як постачальника pertussis adjuvant.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Зміна критеріїв прийнятності для тесту гемаглютинації, що виконується на стадії Purification of Horse Plasma for ATG у процесі виробництва готового лікарського засобу, з «не більше ніж 160» на «не більше ніж у пробірці 4» після імуноадсорбції.</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UA/16311/01/01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АТЕНОЛОЛ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по 0,05 г; по 10 таблеток у блістері; по 2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ПАТ "Монфарм" </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ПАТ "Монфарм" </w:t>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ПАТ "Монфарм", Україна, без зміни місця виробництва: Термін введення змін протягом 6 місяців після затвердження.</w:t>
            </w:r>
            <w:r>
              <w:rPr>
                <w:rFonts w:ascii="Arial" w:hAnsi="Arial" w:cs="Arial"/>
                <w:sz w:val="16"/>
                <w:szCs w:val="16"/>
              </w:rPr>
              <w:b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Pr>
                <w:rFonts w:ascii="Arial" w:hAnsi="Arial" w:cs="Arial"/>
                <w:sz w:val="16"/>
                <w:szCs w:val="16"/>
              </w:rPr>
              <w:br/>
              <w:t>Діюча редакція: Совгира Сергій Сергійович. Пропонована редакція: Пастушенко Інна Вікторівна.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UA/8377/01/01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АТРОПІН-ДАРНИЦЯ®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розчин для ін'єкцій, 1 мг/мл по 1 мл в ампулі; по 5 ампул у контурній чарунковій упаковці; по 2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До Тексту маркування лікарського засобу вносяться незначні зміни, а саме: маркування викладено лише українською мовою та у п. 17 доповнено технічною інформацією щодо нанесення QR-коду на вторинну упаковку.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UA/3928/01/01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АФЛУБІН® ПЕНЦИКЛОВІР ТОНУВАЛЬНИЙ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крем 1 %; по 2 г у тубі, по 1 тубі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«ПЕРРІГО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виробництво за повним циклом:</w:t>
            </w:r>
            <w:r>
              <w:rPr>
                <w:rFonts w:ascii="Arial" w:hAnsi="Arial" w:cs="Arial"/>
                <w:sz w:val="16"/>
                <w:szCs w:val="16"/>
              </w:rPr>
              <w:br/>
              <w:t xml:space="preserve">Медженікс Бенелюкс НВ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w:t>
            </w:r>
          </w:p>
          <w:p w:rsidR="003D03F3" w:rsidRDefault="003D03F3">
            <w:pPr>
              <w:pStyle w:val="110"/>
              <w:tabs>
                <w:tab w:val="left" w:pos="12600"/>
              </w:tabs>
              <w:jc w:val="center"/>
              <w:rPr>
                <w:rFonts w:ascii="Arial" w:hAnsi="Arial" w:cs="Arial"/>
                <w:sz w:val="16"/>
                <w:szCs w:val="16"/>
              </w:rPr>
            </w:pPr>
            <w:r>
              <w:rPr>
                <w:rFonts w:ascii="Arial" w:hAnsi="Arial" w:cs="Arial"/>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"Протипоказання", "Особливості застосування", "Застосування у період вагітності або годування груддю", "Спосіб застосування та дози", "Побічні реакції".</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UA/13113/01/01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БЕЛАДОННИ ЕКСТРАКТ</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супозиторії ректальні по 0,015 г; по 5 супозиторіїв у стрипі; по 2 стрипи в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ПАТ "Монфарм" </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ПАТ "Монфарм" </w:t>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ПАТ "Монфарм", Україна, без зміни місця виробництва: Термін введення змін протягом 6 місяців після затвердження.</w:t>
            </w:r>
            <w:r>
              <w:rPr>
                <w:rFonts w:ascii="Arial" w:hAnsi="Arial" w:cs="Arial"/>
                <w:sz w:val="16"/>
                <w:szCs w:val="16"/>
              </w:rPr>
              <w:b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Pr>
                <w:rFonts w:ascii="Arial" w:hAnsi="Arial" w:cs="Arial"/>
                <w:sz w:val="16"/>
                <w:szCs w:val="16"/>
              </w:rPr>
              <w:br/>
              <w:t>Діюча редакція: Совгира Сергій Сергійович. Пропонована редакція: Пастушенко Інна Вікторівна.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UA/7335/01/01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БЕРИАТЕ®</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порошок та розчинник для розчину для ін'єкцій або інфузій, 500 МО; по 1 флакону з порошком у комплекті з 1 флаконом з розчинником (вода для ін'єкцій) по 5 мл та 1 пристроєм для додавання розчинника з вбудованим фільтром 15 мкм ("Mix-2Vial™ 20/20") в картонній коробці; по 1 флакону з порошком у комплекті з 1 флаконом з розчинником (вода для ін'єкцій) по 5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ЦСЛ Берінг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ЦСЛ Берінг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 ЕМЕА/H/PMF/000001/04/AU/020/G.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 ЕМЕА/H/PMF/000001/04/AU/021/G.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 ЕМЕА/H/PMF/000001/04/AU/022/G.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w:t>
            </w:r>
            <w:r>
              <w:rPr>
                <w:rFonts w:ascii="Arial" w:hAnsi="Arial" w:cs="Arial"/>
                <w:sz w:val="16"/>
                <w:szCs w:val="16"/>
              </w:rPr>
              <w:br/>
              <w:t xml:space="preserve">Включення оновленого мастер-файла на плазму у реєстраційне досьє на лікарський засіб: PMF Certificate № ЕМЕА/H/PMF/000001/04/AU/023/G.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 ЕМЕА/H/PMF/000001/04/AU/024/G.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w:t>
            </w:r>
            <w:r>
              <w:rPr>
                <w:rFonts w:ascii="Arial" w:hAnsi="Arial" w:cs="Arial"/>
                <w:sz w:val="16"/>
                <w:szCs w:val="16"/>
              </w:rPr>
              <w:br/>
              <w:t>Включення оновленого мастер-файла на плазму у реєстраційне досьє на лікарський засіб: PMF Certificate № ЕМЕА/H/PMF/000001/04/AU/025/G.</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UA/17404/01/02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БЕРИАТЕ®</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порошок та розчинник для розчину для ін'єкцій або інфузій, 1000 МО; по 1 флакону з порошком у комплекті з 1 флаконом з розчинником (вода для ін'єкцій) по 10 мл та 1 пристроєм для додавання розчинника з вбудованим фільтром 15 мкм ("Mix-2Vial™ 20/20") в картонній коробці; по 1 флакону з порошком у комплекті з 1 флаконом з розчинником (вода для ін'єкцій) по 10 мл та 1 пристроєм для додавання розчинника з вбудованим фільтром 15 мкм ("Mix-2Vial™ 20/20"), та 1 картонною коробкою з комплектом для внутрішнього внутрішньовенного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ЦСЛ Берінг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ЦСЛ Берінг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 ЕМЕА/H/PMF/000001/04/AU/020/G.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 ЕМЕА/H/PMF/000001/04/AU/021/G.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 ЕМЕА/H/PMF/000001/04/AU/022/G.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w:t>
            </w:r>
            <w:r>
              <w:rPr>
                <w:rFonts w:ascii="Arial" w:hAnsi="Arial" w:cs="Arial"/>
                <w:sz w:val="16"/>
                <w:szCs w:val="16"/>
              </w:rPr>
              <w:br/>
              <w:t xml:space="preserve">Включення оновленого мастер-файла на плазму у реєстраційне досьє на лікарський засіб: PMF Certificate № ЕМЕА/H/PMF/000001/04/AU/023/G.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 ЕМЕА/H/PMF/000001/04/AU/024/G.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w:t>
            </w:r>
            <w:r>
              <w:rPr>
                <w:rFonts w:ascii="Arial" w:hAnsi="Arial" w:cs="Arial"/>
                <w:sz w:val="16"/>
                <w:szCs w:val="16"/>
              </w:rPr>
              <w:br/>
              <w:t>Включення оновленого мастер-файла на плазму у реєстраційне досьє на лікарський засіб: PMF Certificate № ЕМЕА/H/PMF/000001/04/AU/025/G.</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UA/17404/01/03</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БЕРИАТЕ®</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порошок та розчинник для розчину для ін'єкцій або інфузій, 250 МО; по 1 флакону з порошком у комплекті з 1 флаконом з розчинником (вода для ін'єкцій) по 2,5 мл та 1 пристроєм для додавання розчинника з вбудованим фільтром 15 мкм ("Mix-2Vial™ 20/20") в картонній коробці; по 1 флакону з порошком у комплекті з 1 флаконом з розчинником (вода для ін'єкцій) по 2,5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ЦСЛ Берінг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ЦСЛ Берінг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 ЕМЕА/H/PMF/000001/04/AU/020/G.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 ЕМЕА/H/PMF/000001/04/AU/021/G.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 ЕМЕА/H/PMF/000001/04/AU/022/G.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w:t>
            </w:r>
            <w:r>
              <w:rPr>
                <w:rFonts w:ascii="Arial" w:hAnsi="Arial" w:cs="Arial"/>
                <w:sz w:val="16"/>
                <w:szCs w:val="16"/>
              </w:rPr>
              <w:br/>
              <w:t xml:space="preserve">Включення оновленого мастер-файла на плазму у реєстраційне досьє на лікарський засіб: PMF Certificate № ЕМЕА/H/PMF/000001/04/AU/023/G.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 ЕМЕА/H/PMF/000001/04/AU/024/G.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w:t>
            </w:r>
            <w:r>
              <w:rPr>
                <w:rFonts w:ascii="Arial" w:hAnsi="Arial" w:cs="Arial"/>
                <w:sz w:val="16"/>
                <w:szCs w:val="16"/>
              </w:rPr>
              <w:br/>
              <w:t>Включення оновленого мастер-файла на плазму у реєстраційне досьє на лікарський засіб: PMF Certificate № ЕМЕА/H/PMF/000001/04/AU/025/G.</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UA/17404/01/01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БЕТАМЕТАЗОН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крем, 0,64 мг/г по 15 г у тубі; 1 туба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Адміністративна зміна назви виробника АФІ. Адреса виробництва залишається без змін. Виробнича дільниця та усі виробничі операції залишаються незмінними. Діюча редакція: Crystal Pharma S.A.U., Іспанія </w:t>
            </w:r>
            <w:r>
              <w:rPr>
                <w:rFonts w:ascii="Arial" w:hAnsi="Arial" w:cs="Arial"/>
                <w:sz w:val="16"/>
                <w:szCs w:val="16"/>
              </w:rPr>
              <w:br/>
              <w:t xml:space="preserve">Пропонована редакція: Curia Spain S.A.U., Іспанія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UA/4321/01/01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БЕТАСАЛІК®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мазь по 15 г у тубі; по 1 тубі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Адміністративна зміна назви виробника АФІ Бетаметазону дипропіонату. Адреса виробництва залишається без змін. Виробнича дільниця та усі виробничі операції залишаються незмінними. Діюча редакція: Crystal Pharma S.A.U., Іспанія Пропонована редакція: Curia Spain S.A.U., Іспанія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UA/0558/01/01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БІОЦИКЛІН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по 45 мг по 10 таблеток у блістері; по 3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Вроцлавське підприємство лікарських трав "ГЕРБАПОЛЬ" АТ</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Польща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Вроцлавське підприємство лікарських трав "ГЕРБАПОЛЬ"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введення додаткового методу випробування ідентифікації допоміжної речовини лактози моногідрату методом спектроскопії в ближньому ІЧ-діапазоні ЄФ, 2.2.40 (NIR). </w:t>
            </w:r>
            <w:r>
              <w:rPr>
                <w:rFonts w:ascii="Arial" w:hAnsi="Arial" w:cs="Arial"/>
                <w:sz w:val="16"/>
                <w:szCs w:val="16"/>
              </w:rPr>
              <w:br/>
              <w:t>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UA/13590/01/01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БІСАКОДИЛ-ДАРНИЦЯ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таблетки, вкриті оболонкою, кишковорозчинні, по 5 мг; по 10 таблеток у контурній чарунковій упаковці; по 3 контурні чарункові упаковки в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внесення змін на допоміжну речовину поліетиленгліколь (макрогол 4000), а саме: за показником "Етиленоксид і діоксан" запропоновано введення нової in-house методики випробування ГХ (ДФУ, 2.2.28), що є альтернативною методиці, зазначеної в монографії ЄФ «Macrogols»; внесення стилістичних та редакційних правок, без змін встановлених критерій прийнятності за даним показником якості. Супутня зміна</w:t>
            </w:r>
            <w:r>
              <w:rPr>
                <w:rFonts w:ascii="Arial" w:hAnsi="Arial" w:cs="Arial"/>
                <w:sz w:val="16"/>
                <w:szCs w:val="16"/>
              </w:rPr>
              <w:br/>
              <w:t>-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Внесення змін до специфікації та методів контролю допоміжної речовини поліетиленгліколь (макрогол 4000), а саме за показниками "Ідентифікація", "Прозорість розчину", "Кольоровість розчину", "Кислотність або лужність", "Гідроксильне число", "Відновлюючі речовини", "Формальдегід" - аналітичні методики контролю залишені без змін, внесені редакційні правки, що оформлені відповідно до рекомендацій та стилістики ДФУ; відповідно до вимог ДФУ, 1.4 «Монографії» показник «Розчинність» має рекомендаційний характер, на цій підставі, вимоги до розчинності перенесено до загальних властивостей; показники "Кінематична в’язкість", "Динамічна в’язкість" - аналітичні методики контролю залишені без змін. Внесено редакційні правки: відповідно до діючої монографії «Macrogols» Європейської Фармакопеї визначення показників "Кінематична в'язкість" і "Динамічна в'язкість" проводиться в рамках тесту "В'язкість". Також уточнено значення густини, що використовується для розрахунку динамічної в'язкості.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вилучення показника "Важкі метали" із специфікації та методів контролю допоміжної речовини поліетиленгліколь (макрогол 4000), з відповідними змінами в р. 3.2.Р.4.1. Специфікація та 3.2.Р.4.2 Аналітичні методики.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внесення змін до специфікації та методів контролю якості на допоміжну речовину поліетиленгліколь (макрогол 4000) за показником «Мікробіологічна чистота» - приведення відповідно до вимог ЄФ 2.6.12, 5.1.4. Супутня зміна-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UA/2575/01/01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БІСОПРОЛОЛ-ТЕВА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по 10 мг, по 10 таблеток у блістері; по 3 або 5, або 9 блістерів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«Тева Україна»</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Меркле ГмбХ (Виробництво нерозфасованого продукту, дозвіл на випуск серії; Первинна та вторинна упаковка,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Додавання нового розміру упаковки ЛЗ, а саме: по 10 таблеток у блістері; по 9 блістерів в коробці. Зміни внесені в інструкцію для медичного застосування лікарського засобу у розділ "Упаковка" (зміна розміру упаковки).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UA/1728/01/02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БІСОПРОЛОЛ-ТЕВА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по 5 мг, по 10 таблеток у блістері; по 3 або 5, або 9 блістерів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«Тева Україна»</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Меркле ГмбХ (Виробництво нерозфасованого продукту, дозвіл на випуск серії; </w:t>
            </w:r>
            <w:r>
              <w:rPr>
                <w:rFonts w:ascii="Arial" w:hAnsi="Arial" w:cs="Arial"/>
                <w:sz w:val="16"/>
                <w:szCs w:val="16"/>
              </w:rPr>
              <w:br/>
              <w:t>Первинна та вторинна упаковка,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Додавання нового розміру упаковки ЛЗ, а саме: по 10 таблеток у блістері; по 9 блістерів в коробці. Зміни внесені в інструкцію для медичного застосування лікарського засобу у розділ "Упаковка" (зміна розміру упаковки).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UA/1728/01/01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БОФЕН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суспензія оральна, 100 мг/5 мл; по 100 мл у флаконі скляному або полімерному; по 1 флакону в пачці разом з ложкою дозувальною;</w:t>
            </w:r>
            <w:r>
              <w:rPr>
                <w:rFonts w:ascii="Arial" w:hAnsi="Arial" w:cs="Arial"/>
                <w:sz w:val="16"/>
                <w:szCs w:val="16"/>
              </w:rPr>
              <w:br/>
              <w:t>по 100 мл у банці полімерній; по 1 банці разом з ложкою дозувальною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Супутня зміна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Зміни з якості. Готовий лікарський засіб. Контроль допоміжних речовин. Зміна у методах випробування допоміжної речовини (інші зміни) Зміна ароматизатора апельсинового на інший аналогічний ароматизатор, що має ідентичний апельсиновий запах та має аналогічне функціональне призначення для даної лікарської форми. Та як наслідок зміни до специфікації для вхідного контролю допоміжної речовини (ароматизатора), а саме уточнення до розділу «Опис» та вилучення зі специфікації незначних показників якості.</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UA/10184/01/01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БРИНЕКС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краплі очні, суспензія, 1 %; по 5 мл або по 10 мл у флаконі з пробкою-крапельницею та кришкою;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СЕНТIСС ФАРМА ПВТ. ЛТД.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СЕНТIСС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готового лікарського засобу 120 л до вже затвердженого розміру серії 60 л. Затверджено: 60 л (відповідно 11111 флаконів по 5 мл або 5660 флаконів по 10 мл) Запропоновано: 60 л (відповідно 11111 флаконів по 5 мл або 5660 флаконів по 10 мл) та 120 л (відповідно 20690 флаконів по 5 мл або 11111 флаконів по 10 мл).</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UA/17178/01/01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БРОНХО-ВАКСОМ ДІТИ</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капсули по 3,5 мг по 10 капсул у блістері; по 1 або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ОМ 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Швейцарія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ОМ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Pr>
                <w:rFonts w:ascii="Arial" w:hAnsi="Arial" w:cs="Arial"/>
                <w:sz w:val="16"/>
                <w:szCs w:val="16"/>
              </w:rPr>
              <w:br/>
              <w:t>Діюча редакція: Gabriele Fox. Пропонована редакція: Yves Miclo.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w:t>
            </w:r>
            <w:r>
              <w:rPr>
                <w:rFonts w:ascii="Arial" w:hAnsi="Arial" w:cs="Arial"/>
                <w:sz w:val="16"/>
                <w:szCs w:val="16"/>
              </w:rPr>
              <w:br/>
              <w:t>Діюча редакція: Данілова Лариса Володимирівна. Пропонована редакція: Хілько Євгенія Олександрівна.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UA/18520/01/01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БРОНХО-МУНАЛ®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капсули тверді по 7 мг, по 10 капсул у блістері; по 1 або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Словенія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Лек Фармацевтична компанія д. д., Словенія (первинне та вторинне пакування, контроль серії, випуск серії); ОМ Фарма СА, Швейцарія (виробництво in bulk,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Словенія/Швейцарія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Style w:val="cs9ff1b61121"/>
                <w:color w:val="auto"/>
                <w:sz w:val="16"/>
                <w:szCs w:val="16"/>
                <w:vertAlign w:val="superscript"/>
              </w:rPr>
            </w:pPr>
            <w:r>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зміна у частині матеріалу первинної упаковки, що не контактує з готовим лікарським засобом, а саме матеріал грунтовки для нанесення друку на алюмінієвій фользі для блістеру, що містить нітроцелюлозу змінюється на матеріал грунтовки, що не містить нітроцелюлози. У зв’язку з цією зміною до специфікації алюмінієвої фольги додано примітку про те, що ґрунтовка для друку, яка використовується для фольги, не містить нітроцелюлози. Критерії прийнятності алюмінієвої фольги з ґрунтовкою, що не містить нітроцелюлози, аналогічні критеріям, встановленим для фольги з ґрунтовкою, яка містить нітроцелюлозу, адже якість алюмінієвого шару і термолаку залишається незмінною.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 3.2.Р.7. Система контейнер/ закупорювальний засіб, а саме вилучення зі специфікації для алюмінієвої фольги параметру «Ширина» (Aluminium foil width).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 3.2.Р.7. Система контейнер/ закупорювальний засіб, а саме вилучення зі специфікації для PVC/PVDC foil параметрів «PVC/PVDC foil width», «PVC/PVDC foil thickness», «Determination of the PVDC humidity».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оновлення р. 3.2.Р.7. Система контейнер/ закупорювальний засіб, а саме внесення змін до специфікації для PVC/PVDC foil за п. «Загальна вага площі» (звуження допустимих меж): Затверджено: Total specific mass: 400 ± 40 g/m2 </w:t>
            </w:r>
            <w:r>
              <w:rPr>
                <w:rFonts w:ascii="Arial" w:hAnsi="Arial" w:cs="Arial"/>
                <w:sz w:val="16"/>
                <w:szCs w:val="16"/>
              </w:rPr>
              <w:br/>
              <w:t xml:space="preserve">Запропновано: </w:t>
            </w:r>
            <w:r>
              <w:rPr>
                <w:rStyle w:val="cs9ff1b61121"/>
                <w:color w:val="auto"/>
                <w:sz w:val="16"/>
                <w:szCs w:val="16"/>
              </w:rPr>
              <w:t>Total area weight: 378.0 − 421.1 g/m</w:t>
            </w:r>
            <w:r>
              <w:rPr>
                <w:rStyle w:val="cs9ff1b61121"/>
                <w:color w:val="auto"/>
                <w:sz w:val="16"/>
                <w:szCs w:val="16"/>
                <w:vertAlign w:val="superscript"/>
              </w:rPr>
              <w:t>2</w:t>
            </w:r>
          </w:p>
          <w:p w:rsidR="003D03F3" w:rsidRDefault="003D03F3">
            <w:pPr>
              <w:pStyle w:val="110"/>
              <w:tabs>
                <w:tab w:val="left" w:pos="12600"/>
              </w:tabs>
              <w:jc w:val="center"/>
            </w:pP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UA/14314/01/01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БУДЕСОНІД АСТРАЗЕНЕКА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суспензія для розпилення, 0,5 мг/мл;</w:t>
            </w:r>
            <w:r>
              <w:rPr>
                <w:rFonts w:ascii="Arial" w:hAnsi="Arial" w:cs="Arial"/>
                <w:sz w:val="16"/>
                <w:szCs w:val="16"/>
              </w:rPr>
              <w:br/>
              <w:t>по 2 мл в контейнері; по 5 контейнерів у конверті; по 4 конверти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АСТРАЗЕНЕКА АБ</w:t>
            </w:r>
            <w:r>
              <w:rPr>
                <w:rFonts w:ascii="Arial" w:hAnsi="Arial" w:cs="Arial"/>
                <w:sz w:val="16"/>
                <w:szCs w:val="16"/>
              </w:rPr>
              <w:br/>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Швеція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autoSpaceDE w:val="0"/>
              <w:autoSpaceDN w:val="0"/>
              <w:adjustRightInd w:val="0"/>
              <w:jc w:val="center"/>
              <w:rPr>
                <w:rFonts w:ascii="Arial" w:hAnsi="Arial" w:cs="Arial"/>
                <w:bCs/>
                <w:sz w:val="16"/>
                <w:szCs w:val="16"/>
              </w:rPr>
            </w:pPr>
            <w:r>
              <w:rPr>
                <w:rFonts w:ascii="Arial" w:hAnsi="Arial" w:cs="Arial"/>
                <w:bCs/>
                <w:sz w:val="16"/>
                <w:szCs w:val="16"/>
              </w:rPr>
              <w:t>виробництво, контроль якості та випуск серії:</w:t>
            </w:r>
          </w:p>
          <w:p w:rsidR="003D03F3" w:rsidRDefault="003D03F3">
            <w:pPr>
              <w:autoSpaceDE w:val="0"/>
              <w:autoSpaceDN w:val="0"/>
              <w:adjustRightInd w:val="0"/>
              <w:jc w:val="center"/>
              <w:rPr>
                <w:rFonts w:ascii="Arial" w:hAnsi="Arial" w:cs="Arial"/>
                <w:bCs/>
                <w:sz w:val="16"/>
                <w:szCs w:val="16"/>
              </w:rPr>
            </w:pPr>
            <w:r>
              <w:rPr>
                <w:rFonts w:ascii="Arial" w:hAnsi="Arial" w:cs="Arial"/>
                <w:bCs/>
                <w:sz w:val="16"/>
                <w:szCs w:val="16"/>
              </w:rPr>
              <w:t>АстраЗенека АБ, Швеція</w:t>
            </w:r>
          </w:p>
          <w:p w:rsidR="003D03F3" w:rsidRDefault="003D03F3">
            <w:pPr>
              <w:autoSpaceDE w:val="0"/>
              <w:autoSpaceDN w:val="0"/>
              <w:adjustRightInd w:val="0"/>
              <w:jc w:val="center"/>
              <w:rPr>
                <w:rFonts w:ascii="Arial" w:hAnsi="Arial" w:cs="Arial"/>
                <w:bCs/>
                <w:sz w:val="16"/>
                <w:szCs w:val="16"/>
              </w:rPr>
            </w:pPr>
            <w:r>
              <w:rPr>
                <w:rFonts w:ascii="Arial" w:hAnsi="Arial" w:cs="Arial"/>
                <w:bCs/>
                <w:sz w:val="16"/>
                <w:szCs w:val="16"/>
              </w:rPr>
              <w:t>контроль якості:</w:t>
            </w:r>
          </w:p>
          <w:p w:rsidR="003D03F3" w:rsidRDefault="003D03F3">
            <w:pPr>
              <w:autoSpaceDE w:val="0"/>
              <w:autoSpaceDN w:val="0"/>
              <w:adjustRightInd w:val="0"/>
              <w:jc w:val="center"/>
              <w:rPr>
                <w:rFonts w:ascii="Arial" w:hAnsi="Arial" w:cs="Arial"/>
                <w:bCs/>
                <w:sz w:val="16"/>
                <w:szCs w:val="16"/>
                <w:lang w:val="uk-UA"/>
              </w:rPr>
            </w:pPr>
            <w:r>
              <w:rPr>
                <w:rFonts w:ascii="Arial" w:hAnsi="Arial" w:cs="Arial"/>
                <w:bCs/>
                <w:sz w:val="16"/>
                <w:szCs w:val="16"/>
              </w:rPr>
              <w:t>АстраЗенека АБ, Швеція</w:t>
            </w:r>
          </w:p>
          <w:p w:rsidR="003D03F3" w:rsidRDefault="003D03F3">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Швеція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поштового індексу без зміни фактичного місцезнаходження виробника ГЛЗ AstraZeneca AB (Forskargatan 18). </w:t>
            </w:r>
            <w:r>
              <w:rPr>
                <w:rFonts w:ascii="Arial" w:hAnsi="Arial" w:cs="Arial"/>
                <w:sz w:val="16"/>
                <w:szCs w:val="16"/>
              </w:rPr>
              <w:br/>
              <w:t xml:space="preserve">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w:t>
            </w:r>
            <w:r>
              <w:rPr>
                <w:rFonts w:ascii="Arial" w:hAnsi="Arial" w:cs="Arial"/>
                <w:sz w:val="16"/>
                <w:szCs w:val="16"/>
              </w:rPr>
              <w:br/>
              <w:t xml:space="preserve">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Адміністративна зміна поштового індексу без зміни фактичного місцезнаходження виробника ГЛЗ AstraZeneca AB (Gartunavagen). </w:t>
            </w:r>
            <w:r>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(редакційні правки).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UA/19102/01/02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БУДЕСОНІД АСТРАЗЕНЕКА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суспензія для розпилення, 0,25 мг/мл; по 2 мл в контейнері; по 5 контейнерів у конверті; по 4 конверти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АСТРАЗЕНЕКА АБ</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Швеція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autoSpaceDE w:val="0"/>
              <w:autoSpaceDN w:val="0"/>
              <w:adjustRightInd w:val="0"/>
              <w:jc w:val="center"/>
              <w:rPr>
                <w:rFonts w:ascii="Arial" w:hAnsi="Arial" w:cs="Arial"/>
                <w:bCs/>
                <w:sz w:val="16"/>
                <w:szCs w:val="16"/>
              </w:rPr>
            </w:pPr>
            <w:r>
              <w:rPr>
                <w:rFonts w:ascii="Arial" w:hAnsi="Arial" w:cs="Arial"/>
                <w:bCs/>
                <w:sz w:val="16"/>
                <w:szCs w:val="16"/>
              </w:rPr>
              <w:t>виробництво, контроль якості та випуск серії:</w:t>
            </w:r>
          </w:p>
          <w:p w:rsidR="003D03F3" w:rsidRDefault="003D03F3">
            <w:pPr>
              <w:autoSpaceDE w:val="0"/>
              <w:autoSpaceDN w:val="0"/>
              <w:adjustRightInd w:val="0"/>
              <w:jc w:val="center"/>
              <w:rPr>
                <w:rFonts w:ascii="Arial" w:hAnsi="Arial" w:cs="Arial"/>
                <w:bCs/>
                <w:sz w:val="16"/>
                <w:szCs w:val="16"/>
              </w:rPr>
            </w:pPr>
            <w:r>
              <w:rPr>
                <w:rFonts w:ascii="Arial" w:hAnsi="Arial" w:cs="Arial"/>
                <w:bCs/>
                <w:sz w:val="16"/>
                <w:szCs w:val="16"/>
              </w:rPr>
              <w:t>АстраЗенека АБ, Швеція</w:t>
            </w:r>
          </w:p>
          <w:p w:rsidR="003D03F3" w:rsidRDefault="003D03F3">
            <w:pPr>
              <w:autoSpaceDE w:val="0"/>
              <w:autoSpaceDN w:val="0"/>
              <w:adjustRightInd w:val="0"/>
              <w:jc w:val="center"/>
              <w:rPr>
                <w:rFonts w:ascii="Arial" w:hAnsi="Arial" w:cs="Arial"/>
                <w:bCs/>
                <w:sz w:val="16"/>
                <w:szCs w:val="16"/>
              </w:rPr>
            </w:pPr>
            <w:r>
              <w:rPr>
                <w:rFonts w:ascii="Arial" w:hAnsi="Arial" w:cs="Arial"/>
                <w:bCs/>
                <w:sz w:val="16"/>
                <w:szCs w:val="16"/>
              </w:rPr>
              <w:t>контроль якості:</w:t>
            </w:r>
          </w:p>
          <w:p w:rsidR="003D03F3" w:rsidRDefault="003D03F3">
            <w:pPr>
              <w:autoSpaceDE w:val="0"/>
              <w:autoSpaceDN w:val="0"/>
              <w:adjustRightInd w:val="0"/>
              <w:jc w:val="center"/>
              <w:rPr>
                <w:rFonts w:ascii="Arial" w:hAnsi="Arial" w:cs="Arial"/>
                <w:bCs/>
                <w:sz w:val="16"/>
                <w:szCs w:val="16"/>
                <w:lang w:val="uk-UA"/>
              </w:rPr>
            </w:pPr>
            <w:r>
              <w:rPr>
                <w:rFonts w:ascii="Arial" w:hAnsi="Arial" w:cs="Arial"/>
                <w:bCs/>
                <w:sz w:val="16"/>
                <w:szCs w:val="16"/>
              </w:rPr>
              <w:t>АстраЗенека АБ, Швеція</w:t>
            </w:r>
          </w:p>
          <w:p w:rsidR="003D03F3" w:rsidRDefault="003D03F3">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Швеція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поштового індексу без зміни фактичного місцезнаходження виробника ГЛЗ AstraZeneca AB (Forskargatan 18). </w:t>
            </w:r>
            <w:r>
              <w:rPr>
                <w:rFonts w:ascii="Arial" w:hAnsi="Arial" w:cs="Arial"/>
                <w:sz w:val="16"/>
                <w:szCs w:val="16"/>
              </w:rPr>
              <w:br/>
              <w:t xml:space="preserve">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w:t>
            </w:r>
            <w:r>
              <w:rPr>
                <w:rFonts w:ascii="Arial" w:hAnsi="Arial" w:cs="Arial"/>
                <w:sz w:val="16"/>
                <w:szCs w:val="16"/>
              </w:rPr>
              <w:br/>
              <w:t xml:space="preserve">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Адміністративна зміна поштового індексу без зміни фактичного місцезнаходження виробника ГЛЗ AstraZeneca AB (Gartunavagen). </w:t>
            </w:r>
            <w:r>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(редакційні правки).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UA/19102/01/01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БУЗИНИ ЧОРНОЇ КВІТКИ</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квітки по 40 г або по 50 г у пачках з внутрішнім пакетом; по 1,5 г у фільтр-пакеті; по 20 фільтр-пакетів у пачці або у пачці з внутрішнім пакетом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ПрАТ "Ліктрави"</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 xml:space="preserve">без рецепта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UA/6354/01/01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БУСТРИКС™ КОМБІНОВАНА ВАКЦИНА ДЛЯ ПРОФІЛАКТИКИ ДИФТЕРІЇ, ПРАВЦЯ, КАШЛЮКУ (АЦЕЛЮЛЯРНИЙ КОМПОНЕНТ) (АДСОРБОВАНА, ЗІ ЗМЕНШЕНИМ ВМІСТОМ АНТИГЕНІВ)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суспензія для ін'єкцій,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Велика Британiя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 Перенесення тестів з контролю якості in vivo з дільниці GSK Vaccines GmbH, Marburg (Німеччина) на дільницю GlaxoSmithKline S.A., Rixensart (Бельгія), а саме: </w:t>
            </w:r>
            <w:r>
              <w:rPr>
                <w:rFonts w:ascii="Arial" w:hAnsi="Arial" w:cs="Arial"/>
                <w:sz w:val="16"/>
                <w:szCs w:val="16"/>
              </w:rPr>
              <w:br/>
              <w:t xml:space="preserve">1. Minimum Lethal Dose (MLD) performed on Diphtheria pre-Working Seeds and Tetanus Master Seeds. </w:t>
            </w:r>
            <w:r>
              <w:rPr>
                <w:rFonts w:ascii="Arial" w:hAnsi="Arial" w:cs="Arial"/>
                <w:sz w:val="16"/>
                <w:szCs w:val="16"/>
              </w:rPr>
              <w:br/>
              <w:t>2. Absence of Toxin and irreversibility of Tetanus Toxoid performed on Tetanus toxoid drug substance (release and stability). 3. Tetanus potency and Diphtheria potency on DTcc (drug product intermediate, stability testing only)</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UA/14955/01/01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Велика Британiя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Бельгiя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 Перенесення тестів з контролю якості in vivo з дільниці GSK Vaccines GmbH, Marburg (Німеччина) на дільницю GlaxoSmithKline S.A., Rixensart (Бельгія), а саме: 1. Minimum Lethal Dose (MLD) performed on Diphtheria pre-Working Seeds and Tetanus Master Seeds.</w:t>
            </w:r>
            <w:r>
              <w:rPr>
                <w:rFonts w:ascii="Arial" w:hAnsi="Arial" w:cs="Arial"/>
                <w:sz w:val="16"/>
                <w:szCs w:val="16"/>
              </w:rPr>
              <w:br/>
              <w:t xml:space="preserve">2. Absence of Toxin and irreversibility of Tetanus Toxoid performed on Tetanus toxoid drug substance (release and stability). 3. Tetanus potency and Diphtheria potency on DTcc (drug product intermediate, stability testing only).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UA/15071/01/01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ВАЛЕРІАНА ЕКСТРАКТ</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по 20 мг по 10 таблеток у блістері; по 5 або по 10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"Тернофарм"</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"Тернофарм"</w:t>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у зв'язку з отриманням оновлених результатів вивчення стабільності в реальному часі. Затверджено: Термін придатності 2 роки Запропоновано: </w:t>
            </w:r>
            <w:r>
              <w:rPr>
                <w:rFonts w:ascii="Arial" w:hAnsi="Arial" w:cs="Arial"/>
                <w:sz w:val="16"/>
                <w:szCs w:val="16"/>
              </w:rPr>
              <w:br/>
              <w:t xml:space="preserve">Термін придатності 3 роки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UA/17560/01/01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ВАЛСАРТАН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порошок (субстанція) в мішках подвійних поліетиленових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Джубілант Фармова Лімітед</w:t>
            </w:r>
            <w:r>
              <w:rPr>
                <w:rFonts w:ascii="Arial" w:hAnsi="Arial" w:cs="Arial"/>
                <w:sz w:val="16"/>
                <w:szCs w:val="16"/>
              </w:rPr>
              <w:br/>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для АФІ Валсартан СЕР R1-CEP 2011-110-Rev 04 (попередня версія СЕР R1-CEP 2011-110-Rev 03) від вже затвердженого виробника «Jubilant Generics Limited», Індія, у зв’язку з додаванням виробника проміжного продукту M/s Atul Bioscience Ltd. та оновленням вимог для домішок нітрозамінів (обидві домішки не повинні бути присутніми на «будь-якому рівні» та не повинні виявлятися одночасно (більше межі виявлення))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для АФІ Валсартан СЕР R1-CEP 2011-110-Rev 05 (попередня версія СЕР R1-CEP 2011-110-Rev 04) від вже затвердженого виробника «Jubilant Generics Limited», Індія, у зв’язку зі зміною назви фірми-виробника з “Jubilant Generics Limited” на “Jubilant Pharmova Limited” при цьому адреса виробничої дільниці не змінюється.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для АФІ Валсартан СЕР R1-CEP 2011-110-Rev 06 (попередня версія СЕР R1-CEP 2011-110-Rev 05) від вже затвердженого виробника «Jubilant Generics Limited», Індія, у зв’язку із додаванням постачальників проміжних продуктів та оновленням в пакуванні – змінено товщину поліетиленового мішка з метою попередження можливих пошкоджень пакування. При цьому виробничий процес, специфікація та аналітичні методики для проміжних продуктів залишаються без змін.</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UA/18158/01/01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ВАЛЬЦИТ®</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по 450 мг; по 60 таблеток у пляшці; по 1 пляшці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ТОВ «Рош Україна» </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Виробництво нерозфасованої продукції, первинне пакування, випробування контролю якості:</w:t>
            </w:r>
          </w:p>
          <w:p w:rsidR="003D03F3" w:rsidRDefault="003D03F3">
            <w:pPr>
              <w:pStyle w:val="110"/>
              <w:tabs>
                <w:tab w:val="left" w:pos="12600"/>
              </w:tabs>
              <w:jc w:val="center"/>
              <w:rPr>
                <w:rFonts w:ascii="Arial" w:hAnsi="Arial" w:cs="Arial"/>
                <w:sz w:val="16"/>
                <w:szCs w:val="16"/>
              </w:rPr>
            </w:pPr>
            <w:r>
              <w:rPr>
                <w:rFonts w:ascii="Arial" w:hAnsi="Arial" w:cs="Arial"/>
                <w:sz w:val="16"/>
                <w:szCs w:val="16"/>
              </w:rPr>
              <w:t>Патеон Інк., Канада</w:t>
            </w:r>
          </w:p>
          <w:p w:rsidR="003D03F3" w:rsidRDefault="003D03F3">
            <w:pPr>
              <w:pStyle w:val="110"/>
              <w:tabs>
                <w:tab w:val="left" w:pos="12600"/>
              </w:tabs>
              <w:jc w:val="center"/>
              <w:rPr>
                <w:rFonts w:ascii="Arial" w:hAnsi="Arial" w:cs="Arial"/>
                <w:sz w:val="16"/>
                <w:szCs w:val="16"/>
              </w:rPr>
            </w:pPr>
            <w:r>
              <w:rPr>
                <w:rFonts w:ascii="Arial" w:hAnsi="Arial" w:cs="Arial"/>
                <w:sz w:val="16"/>
                <w:szCs w:val="16"/>
              </w:rPr>
              <w:t>Вторинне пакування, випуск серії:</w:t>
            </w:r>
          </w:p>
          <w:p w:rsidR="003D03F3" w:rsidRDefault="003D03F3">
            <w:pPr>
              <w:pStyle w:val="110"/>
              <w:tabs>
                <w:tab w:val="left" w:pos="12600"/>
              </w:tabs>
              <w:jc w:val="center"/>
              <w:rPr>
                <w:rFonts w:ascii="Arial" w:hAnsi="Arial" w:cs="Arial"/>
                <w:sz w:val="16"/>
                <w:szCs w:val="16"/>
              </w:rPr>
            </w:pPr>
            <w:r>
              <w:rPr>
                <w:rFonts w:ascii="Arial" w:hAnsi="Arial" w:cs="Arial"/>
                <w:sz w:val="16"/>
                <w:szCs w:val="16"/>
              </w:rPr>
              <w:t>Ф.Хоффманн-Ля Рош Лтд, Швейцарія</w:t>
            </w:r>
          </w:p>
          <w:p w:rsidR="003D03F3" w:rsidRDefault="003D03F3">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Канада/</w:t>
            </w:r>
          </w:p>
          <w:p w:rsidR="003D03F3" w:rsidRDefault="003D03F3">
            <w:pPr>
              <w:pStyle w:val="110"/>
              <w:tabs>
                <w:tab w:val="left" w:pos="12600"/>
              </w:tabs>
              <w:jc w:val="center"/>
              <w:rPr>
                <w:rFonts w:ascii="Arial" w:hAnsi="Arial" w:cs="Arial"/>
                <w:sz w:val="16"/>
                <w:szCs w:val="16"/>
              </w:rPr>
            </w:pPr>
            <w:r>
              <w:rPr>
                <w:rFonts w:ascii="Arial" w:hAnsi="Arial" w:cs="Arial"/>
                <w:sz w:val="16"/>
                <w:szCs w:val="16"/>
              </w:rPr>
              <w:t>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Pr>
                <w:rFonts w:ascii="Arial" w:hAnsi="Arial" w:cs="Arial"/>
                <w:sz w:val="16"/>
                <w:szCs w:val="16"/>
              </w:rPr>
              <w:br/>
              <w:t xml:space="preserve">Зміна уповноваженої особи заявника, відповідальної за фармаконагляд. Діюча редакція: Dr Birgitt Gellert. Пропонована редакція: Лойченко Олена Володимирівна. Зміна контактних даних уповноваженої особи, відповідальної за фармаконагляд. Зміна місцезнаходження мастер-файла та його номера. Зміна місця здійснення основної діяльності з фармаконагляду.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UA/14688/01/01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ВАНАТЕКС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80 мг, по 14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Польща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Фармацевтичний завод "ПОЛЬФАРМА"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в затвердженому методі випробування ГЛЗ за показником «Кількісний вміст нітрозамінів» (GC-MS/MS) вноситься з метою уточнення опису температури зберігання калібрувальних розчинів. Також внесено редакційні зміни в таблицю параметрів мас-спектрометра.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 xml:space="preserve">за рецептом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UA/12634/01/01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ВАНАТЕКС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160 мг, по 14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Польща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в затвердженому методі випробування ГЛЗ за показником «Кількісний вміст нітрозамінів» (GC-MS/MS) вноситься з метою уточнення опису температури зберігання калібрувальних розчинів. Також внесено редакційні зміни в таблицю параметрів мас-спектрометра.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 xml:space="preserve">за рецептом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UA/12634/01/02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ВЕЛОЗ</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оболонкою, кишковорозчинні по 20 мг; по 10 таблеток у стрипі; по 2 або 3 стрипи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Торрент Фармасьютікалс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spacing w:after="240"/>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UA/4849/01/02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ВІЗИН® КЛАСИЧНИЙ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краплі очні, розчин 0,05%; по 15 мл у флаконі з поліетилену з крапельницею; по 1 флакону в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МакНіл Продактс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Англія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Янссен Фармацевтика НВ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Pr>
                <w:rFonts w:ascii="Arial" w:hAnsi="Arial" w:cs="Arial"/>
                <w:sz w:val="16"/>
                <w:szCs w:val="16"/>
              </w:rPr>
              <w:br/>
              <w:t xml:space="preserve">Діюча редакція: Агнешка Мейчер-Данн / Agnieszka Majcher-Dann. Пропонована редакція: Агнешка Шимхель / Agnieszka Szymchel. </w:t>
            </w:r>
            <w:r>
              <w:rPr>
                <w:rFonts w:ascii="Arial" w:hAnsi="Arial" w:cs="Arial"/>
                <w:sz w:val="16"/>
                <w:szCs w:val="16"/>
              </w:rPr>
              <w:br/>
              <w:t>Зміна контактних даних уповноваженої особи заявника, відповідальної за фармаконагляд.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Арнаутова Юлія Леонідівна / Arnautova Yuliya Leonidivna. Пропонована редакція: Нагорна Катерина Іванівна / Nahorna Kateryna Ivanivna.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UA/11541/01/01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ВІЗИПАК</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розчин для ін’єкцій, 270 мг йоду/мл; по 50 мл або по 100 мл у флаконі; по 10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ДжиІ Хелскеа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Норвегiя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ДжиІ Хелскеа Ірландія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Ірландiя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заміна тесту на еластичність на тест ідентифікації гумової пробки відповідно до вимог загальної статті 3.2.9 ЕР.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вилучено детальну інформацію щодо постачальників первинної упаковки та опис програм кваліфікації постачальників у відповідності до рекомендацій CMDh.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додано альтернативний тест ІЧ-спектрофотометрії для поліпропіленових флаконів. Зміни І типу - Зміни з якості. Готовий лікарський засіб. Система контейнер/закупорювальний засіб (інші зміни) – вилучено інформацію щодо частоти тестування для пакувальних матеріалів у відповідність до рекомендацій CMDh.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введення додаткового захисного ковпачка типу фліп-топ для поліпропіленового флакону.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до розділу 3.2.Р.5.2.Аналітичні методики-Технічні тести додано опис методики контролю зовнішнього вигляду первинної упаковки з альтернативним захисним ковпачком типу фліп-топ та внесені редакційні зміни до розділу 3.2.Р.5.2.Аналітичні методики.</w:t>
            </w:r>
            <w:r>
              <w:rPr>
                <w:rFonts w:ascii="Arial" w:hAnsi="Arial" w:cs="Arial"/>
                <w:sz w:val="16"/>
                <w:szCs w:val="16"/>
              </w:rPr>
              <w:br/>
              <w:t xml:space="preserve">Зміни II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Стерильні лікарські засоби та лікарські засоби біологічного/імунологічного походження – введення додаткового виду пробки первинної упаковки – бромбутилових пробок сірого кольору із наповнювачем з кальцинованої глини. А також внесення редакційних змін у матеріали реєстраційного досьє. Зміни II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Стерильні лікарські засоби та лікарські засоби біологічного/імунологічного походження </w:t>
            </w:r>
            <w:r>
              <w:rPr>
                <w:rFonts w:ascii="Arial" w:hAnsi="Arial" w:cs="Arial"/>
                <w:sz w:val="16"/>
                <w:szCs w:val="16"/>
              </w:rPr>
              <w:br/>
              <w:t>– введення додаткового виду пробки первинної упаковки – бромбутилових пробок сірого кольору із силікатним наповнювачем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UA/4254/01/01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ВІЗИПАК</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розчин для ін’єкцій, 320 мг йоду/мл; по 20 мл, або по 50 мл, або по 100 мл, або по 200 мл, або по 500 мл у флаконі; по 10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ДжиІ Хелскеа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Норвегiя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ДжиІ Хелскеа Ірландія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Ірландiя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заміна тесту на еластичність на тест ідентифікації гумової пробки відповідно до вимог загальної статті 3.2.9 ЕР.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вилучено детальну інформацію щодо постачальників первинної упаковки та опис програм кваліфікації постачальників у відповідності до рекомендацій CMDh.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додано альтернативний тест ІЧ-спектрофотометрії для поліпропіленових флаконів. Зміни І типу - Зміни з якості. Готовий лікарський засіб. Система контейнер/закупорювальний засіб (інші зміни) – вилучено інформацію щодо частоти тестування для пакувальних матеріалів у відповідність до рекомендацій CMDh.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введення додаткового захисного ковпачка типу фліп-топ для поліпропіленового флакону.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до розділу 3.2.Р.5.2.Аналітичні методики-Технічні тести додано опис методики контролю зовнішнього вигляду первинної упаковки з альтернативним захисним ковпачком типу фліп-топ та внесені редакційні зміни до розділу 3.2.Р.5.2.Аналітичні методики.</w:t>
            </w:r>
            <w:r>
              <w:rPr>
                <w:rFonts w:ascii="Arial" w:hAnsi="Arial" w:cs="Arial"/>
                <w:sz w:val="16"/>
                <w:szCs w:val="16"/>
              </w:rPr>
              <w:br/>
              <w:t xml:space="preserve">Зміни II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Стерильні лікарські засоби та лікарські засоби біологічного/імунологічного походження – введення додаткового виду пробки первинної упаковки – бромбутилових пробок сірого кольору із наповнювачем з кальцинованої глини. А також внесення редакційних змін у матеріали реєстраційного досьє. Зміни II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Стерильні лікарські засоби та лікарські засоби біологічного/імунологічного походження </w:t>
            </w:r>
            <w:r>
              <w:rPr>
                <w:rFonts w:ascii="Arial" w:hAnsi="Arial" w:cs="Arial"/>
                <w:sz w:val="16"/>
                <w:szCs w:val="16"/>
              </w:rPr>
              <w:br/>
              <w:t>– введення додаткового виду пробки первинної упаковки – бромбутилових пробок сірого кольору із силікатним наповнювачем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UA/4254/01/02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ВІКС АКТИВ БАЛЬЗАМ З МЕНТОЛОМ ТА ЕВКАЛІПТОМ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мазь, по 25 г або 50 г, або 100 г у банці; по 1 банці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Проктер енд Гембл Інтернешнл Оперейшнз СА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Швейцарія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Проктер енд Гембл Мануфекчурінг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Видалення специфікаціїї "Під час випуску перед пакуванням" оскільки продукт в Україні не має Реєстраційного свідоцтва "in bulk" та Заявник не постачає на територію України нерозфасовану продукцію.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Додавання до специфікації під час випуску Ідентифікації Тимолу та Олії кедрової з метою гармонізації досьє та специфікацій з європейськими.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Кількісного визначення Тимола на Ідентифікацію у розділі 3.2.Р.3.4 враховуючі що Тимол є допоміжною речовиною, а не активною, з метою оптимізації контролю якості та гармонізації досьє з європейським.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UA/11440/01/01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ВІТАКСОН®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розчин для ін'єкцій, по 2 мл в ампулі; по 5 ампул у блістері; по 1 або 2 блістери в пачці; по 2 мл в ампулі; по 5 або по 10 ампул у пачці з картону з гофрованою вкладкою</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Pr>
                <w:rFonts w:ascii="Arial" w:hAnsi="Arial" w:cs="Arial"/>
                <w:sz w:val="16"/>
                <w:szCs w:val="16"/>
              </w:rPr>
              <w:br/>
              <w:t>подання оновленого сертифіката відповідності Європейській фармакопеї № R1-CEP 1998-140-Rev 03 (затверджено: R1-CEP 1998-140-Rev 02) для діючої речовини Cyanocobalamin від вже затвердженого виробника Sanofi Chimiе, Франція.</w:t>
            </w:r>
            <w:r>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1998-140-Rev 04 для діючої речовини Cyanocobalamin від вже затвердженого виробника Sanofi Chimiе, Франція.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1998-140-Rev 05 для діючої речовини Cyanocobalamin від вже затвердженого виробника, як наслідок зміна назви та адреси власника СЕР та зміна назви виробничої дільниці з Sanofi Chimie, Франція на Euroapi France, Франція.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внесення змін до Специфікації діючої речовини Cyanocobalamin за показником "Розчинність"- показник вилучено (Показник має інформативний характер). Зміни І типу - Зміни з якості. АФІ. Контроль АФІ (інші зміни) - зміна у методах випробування діючої речовини Cyanocobalamin за показником «Мікробіологічна чистота», а саме вилучено опис проведення методики, оскільки методика контролю за даним показником проводиться відповідно до вимог ЕР, доповнено посиланням на ДФУ* (*- діюче видання); критерії прийнятності залишені без змін.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UA/10507/01/01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ВОРИТАБ®-200</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по 200 мг по 10 таблеток у блістері; по 1 блістеру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ОАЕ</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готового лікарського засобу ВОРИТАБ®-50 з 17,000 кг до 22,000 кг.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зменшення розміру серії готового лікарського засобу ВОРИТАБ®-200 з 68,000 кг до 22,000 кг.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 (R1-CEP 2013-171- Rev 01) для АФІ вориконазолу від нового виробника (доповнення) Chromo Laboratories India Private Limited, India</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UA/10647/01/01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ВОРИТАБ®-50</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по 50 мг по 10 таблеток у блістері; по 1 блістеру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ОАЕ</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готового лікарського засобу ВОРИТАБ®-50 з 17,000 кг до 22,000 кг.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зменшення розміру серії готового лікарського засобу ВОРИТАБ®-200 з 68,000 кг до 22,000 кг.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 (R1-CEP 2013-171- Rev 01) для АФІ вориконазолу від нового виробника (доповнення) Chromo Laboratories India Private Limited, India</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UA/10647/01/02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ГАВРЕТО</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капсули по 100 мг, по 120 капсул у пляшці, по 1 пляшці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Швейцарія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b/>
                <w:sz w:val="16"/>
                <w:szCs w:val="16"/>
              </w:rPr>
              <w:t>Виробництво, випробування контролю якості при випуску, випробування стабільності, пакування проміжного продукту SDD (дисперсії пралсетинібу, висушеної розпиленням):</w:t>
            </w:r>
            <w:r>
              <w:rPr>
                <w:rFonts w:ascii="Arial" w:hAnsi="Arial" w:cs="Arial"/>
                <w:sz w:val="16"/>
                <w:szCs w:val="16"/>
              </w:rPr>
              <w:br/>
              <w:t>Ховіоне Фармасіенсія, С.А., Португалія</w:t>
            </w:r>
            <w:r>
              <w:rPr>
                <w:rFonts w:ascii="Arial" w:hAnsi="Arial" w:cs="Arial"/>
                <w:sz w:val="16"/>
                <w:szCs w:val="16"/>
              </w:rPr>
              <w:br/>
              <w:t>Виробництво капсул, випробувания контролю якості при випуску, тестування під час випробувань стабільності, пакування капсул y bulk упаковку:</w:t>
            </w:r>
            <w:r>
              <w:rPr>
                <w:rFonts w:ascii="Arial" w:hAnsi="Arial" w:cs="Arial"/>
                <w:sz w:val="16"/>
                <w:szCs w:val="16"/>
              </w:rPr>
              <w:br/>
              <w:t>Каталент КТС, ЛЛС, США;</w:t>
            </w:r>
            <w:r>
              <w:rPr>
                <w:rFonts w:ascii="Arial" w:hAnsi="Arial" w:cs="Arial"/>
                <w:sz w:val="16"/>
                <w:szCs w:val="16"/>
              </w:rPr>
              <w:br/>
              <w:t xml:space="preserve">Первинне та вторинне пакування: </w:t>
            </w:r>
            <w:r>
              <w:rPr>
                <w:rFonts w:ascii="Arial" w:hAnsi="Arial" w:cs="Arial"/>
                <w:sz w:val="16"/>
                <w:szCs w:val="16"/>
              </w:rPr>
              <w:br/>
              <w:t>АндерсонБрекон Інк. (ПКІ Фарма Сервісез), США</w:t>
            </w:r>
            <w:r>
              <w:rPr>
                <w:rFonts w:ascii="Arial" w:hAnsi="Arial" w:cs="Arial"/>
                <w:sz w:val="16"/>
                <w:szCs w:val="16"/>
              </w:rPr>
              <w:br/>
              <w:t>Випуск серії:</w:t>
            </w:r>
            <w:r>
              <w:rPr>
                <w:rFonts w:ascii="Arial" w:hAnsi="Arial" w:cs="Arial"/>
                <w:sz w:val="16"/>
                <w:szCs w:val="16"/>
              </w:rPr>
              <w:br/>
              <w:t>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Португалія/</w:t>
            </w:r>
          </w:p>
          <w:p w:rsidR="003D03F3" w:rsidRDefault="003D03F3">
            <w:pPr>
              <w:pStyle w:val="110"/>
              <w:tabs>
                <w:tab w:val="left" w:pos="12600"/>
              </w:tabs>
              <w:jc w:val="center"/>
              <w:rPr>
                <w:rFonts w:ascii="Arial" w:hAnsi="Arial" w:cs="Arial"/>
                <w:sz w:val="16"/>
                <w:szCs w:val="16"/>
              </w:rPr>
            </w:pPr>
            <w:r>
              <w:rPr>
                <w:rFonts w:ascii="Arial" w:hAnsi="Arial" w:cs="Arial"/>
                <w:sz w:val="16"/>
                <w:szCs w:val="16"/>
              </w:rPr>
              <w:t>США/</w:t>
            </w:r>
          </w:p>
          <w:p w:rsidR="003D03F3" w:rsidRDefault="003D03F3">
            <w:pPr>
              <w:pStyle w:val="110"/>
              <w:tabs>
                <w:tab w:val="left" w:pos="12600"/>
              </w:tabs>
              <w:jc w:val="center"/>
              <w:rPr>
                <w:rFonts w:ascii="Arial" w:hAnsi="Arial" w:cs="Arial"/>
                <w:sz w:val="16"/>
                <w:szCs w:val="16"/>
              </w:rPr>
            </w:pPr>
            <w:r>
              <w:rPr>
                <w:rFonts w:ascii="Arial" w:hAnsi="Arial" w:cs="Arial"/>
                <w:sz w:val="16"/>
                <w:szCs w:val="16"/>
              </w:rPr>
              <w:t>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w:t>
            </w:r>
            <w:r>
              <w:rPr>
                <w:rFonts w:ascii="Arial" w:hAnsi="Arial" w:cs="Arial"/>
                <w:b/>
                <w:bCs/>
                <w:sz w:val="16"/>
                <w:szCs w:val="16"/>
                <w:lang w:val="en-US" w:eastAsia="en-US"/>
              </w:rPr>
              <w:t> </w:t>
            </w:r>
            <w:r>
              <w:rPr>
                <w:rFonts w:ascii="Arial" w:hAnsi="Arial" w:cs="Arial"/>
                <w:b/>
                <w:sz w:val="16"/>
                <w:szCs w:val="16"/>
              </w:rPr>
              <w:t>уточнення написання функцій одного з виробників в наказі МОЗ України № 937 від 23.05.2023 в процесі реєстрації із зобов’язанням.</w:t>
            </w:r>
            <w:r>
              <w:rPr>
                <w:rFonts w:ascii="Arial" w:hAnsi="Arial" w:cs="Arial"/>
                <w:sz w:val="16"/>
                <w:szCs w:val="16"/>
              </w:rPr>
              <w:t xml:space="preserve"> Редакція в наказі - Виробництво, випробування контролю якості при випуску, випробування стабільності, пакування проміжного продукту SDD (дисперей пралсетинібу, висушеної розпиленням): Ховіоне Фармасіенсія, С.А., Португалія; Виробництво капсул, випробувания контролю якості при випуску, тестування під час випробувань стабільності, пакування капсул y bulk упаковку: Каталент КТС, ЛЛС, США; Первинне та вторинне пакування: АндерсонБрекон Інк. (ПКІ Фарма Сервісез), США; Випуск серії: Ф.Хоффманн-Ля Рош Лтд, Швейцарія. </w:t>
            </w:r>
          </w:p>
          <w:p w:rsidR="003D03F3" w:rsidRDefault="003D03F3">
            <w:pPr>
              <w:pStyle w:val="110"/>
              <w:tabs>
                <w:tab w:val="left" w:pos="12600"/>
              </w:tabs>
              <w:jc w:val="center"/>
              <w:rPr>
                <w:rFonts w:ascii="Arial" w:hAnsi="Arial" w:cs="Arial"/>
                <w:sz w:val="16"/>
                <w:szCs w:val="16"/>
              </w:rPr>
            </w:pPr>
            <w:r>
              <w:rPr>
                <w:rFonts w:ascii="Arial" w:hAnsi="Arial" w:cs="Arial"/>
                <w:b/>
                <w:sz w:val="16"/>
                <w:szCs w:val="16"/>
              </w:rPr>
              <w:t>Вірна редакція - Виробництво, випробування контролю якості при випуску, випробування стабільності, пакування проміжного продукту SDD (дисперсії пралсетинібу, висушеної розпиленням): Ховіоне Фармасіенсія, С.А., Португалія; Виробництво капсул, випробувания контролю якості при випуску, тестування під час випробувань стабільності, пакування капсул y bulk упаковку: Каталент КТС, ЛЛС, США; Первинне та вторинне пакування: АндерсонБрекон Інк. (ПКІ Фарма Сервісез), США; Випуск серії: Ф.Хоффманн-Ля Рош Лтд, Швейцарія.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UA/20035/01/01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ГАДОВІСТ 1,0</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розчин для ін'єкцій, 1 ммоль/мл; по 5 мл або по 7,5 мл, або по 10 мл у скляному шприці, вкладеному у прозору пластикову коробку, закриту папером; по 5 шприців у картонній коробці; по 5 мл або по 7,5 мл, або по 10 мл у пластиковому шприці, вкладеному у прозору пластикову коробку, закриту поліетиленом; по 5 шприців у картонній коробці; по 7,5 мл або по 15 мл у скляному флаконі;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Байєр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підрозділ "Фармакодинаміка", "Показання" (редагування тексту), "Спосіб застосування та дози" (доповнення даних щодо мінімального дозування для візуалізації центральної нервової системи), "Побічні реакції" Введення змін протягом 3-х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UA/6664/01/01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Санофі Пастер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Францiя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виробництво готового нерозфасованого продукту, заповнення, вторинне пакування, контроль якості, випуск серій: Санофі Пастер, Франція; виробництво готового нерозфасованого продукту, вторинне пакування (шприци), контроль якості, випуск серій: Санофі Пастер, Францiя; вторинне пакування, випуск серій: Санофі-Авентіс Прайвіт Ко. Лтд., Платформа логістики та дистрибуції у м. Будапешт,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Франція/Угорщина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Зміна у специфікації розчину натрію лактату, що використовується в якості вихідного матеріалу при виробництві очищеного дифтерійного анатоксину та нерозфасованого кон’югованого полісахариду Haemophilus b. Затверджено: “Sodium lactate solution” Ph.Eur. 1151, Edition 9.0. Запропоновано: “Sodium (S) lactate solution” Ph.Eur. 2033, current edition. Термін введення змін - червень 2024.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Заміна in-house reference standard (серія S3190), який використовується для визначення вмісту дифтерійного токсину або анатоксину (титр флокуляції) відносно діючої речовини очищеного дифтерійного анатоксину (PDT) на комерційну серію дифтерійного антитоксину від зовнішнього постачальника (серія 14AD19004). Термін введення змін - червень 2025.</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UA/13080/01/01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ГЕКСОРАЛ®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спрей для ротової порожнини 0,2%; по 40 мл в алюмінієвому балоні; по 1 балону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МакНіл Продактс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Англія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ДЕЛЬФАРМ ОРЛЕАН</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Pr>
                <w:rFonts w:ascii="Arial" w:hAnsi="Arial" w:cs="Arial"/>
                <w:sz w:val="16"/>
                <w:szCs w:val="16"/>
              </w:rPr>
              <w:br/>
              <w:t xml:space="preserve">Діюча редакція: Агнешка Мейчер-Данн / Agnieszka Majcher-Dann. Пропонована редакція: Агнешка Шимхель / Agnieszka Szymchel. </w:t>
            </w:r>
            <w:r>
              <w:rPr>
                <w:rFonts w:ascii="Arial" w:hAnsi="Arial" w:cs="Arial"/>
                <w:sz w:val="16"/>
                <w:szCs w:val="16"/>
              </w:rPr>
              <w:br/>
              <w:t xml:space="preserve">Зміна контактних даних уповноваженої особи заявника, відповідальної за фармаконагляд;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w:t>
            </w:r>
            <w:r>
              <w:rPr>
                <w:rFonts w:ascii="Arial" w:hAnsi="Arial" w:cs="Arial"/>
                <w:sz w:val="16"/>
                <w:szCs w:val="16"/>
              </w:rPr>
              <w:br/>
              <w:t>Арнаутова Юлія Леонідівна / Arnautova Yuliya Leonidivna. Пропонована редакція: Нагорна Катерина Іванівна / Nahorna Kateryna Ivanivna.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UA/7714/01/01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ГЕЛАСПАН 4%</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розчин для інфузій по 500 мл у флаконах поліетиленових; по 10 флаконів у картонній коробці; по 500 мл у мішках пластикових; по 20 мішків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Б. Браун Мельзунген АГ</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Б. Браун Медикал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на первинній та вторинній упаковках лікарського засобу у п. 8 "Дата закінчення терміну придатності".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UA/13871/01/01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ГЕЛОФУЗИН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розчин для інфузій; по 500 мл розчину у флаконах; по 10 флаконів у картонній коробці; по 500 мл розчину у флаконах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Б. Браун Мельзунген АГ</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Б. Браун Медикал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в текст маркування первинної та вторинної упаковок лікарського засобу у п.8. ДАТА ЗАКІНЧЕННЯ ТЕРМІНУ ПРИДАТНОСТІ.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UA/5905/01/01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ГЕМАКСАМ</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spacing w:after="240"/>
              <w:rPr>
                <w:rFonts w:ascii="Arial" w:hAnsi="Arial" w:cs="Arial"/>
                <w:sz w:val="16"/>
                <w:szCs w:val="16"/>
              </w:rPr>
            </w:pPr>
            <w:r>
              <w:rPr>
                <w:rFonts w:ascii="Arial" w:hAnsi="Arial" w:cs="Arial"/>
                <w:sz w:val="16"/>
                <w:szCs w:val="16"/>
              </w:rPr>
              <w:t xml:space="preserve">розчин для ін'єкцій 50 мг/мл, по 5 мл в ампулі; по 10 або 50 ампул у пачці з картону; по 10 мл в ампулі; по 5 або 10 ампул у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"ФАРМАСЕЛ"</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«ФАРМАСЕЛ», Україна (контроль, випуск серії); ХОЛОПАК Ферпакунгстехнік ГмбХ, Німеччина (виробництво нерозфасованої продукції, первинна та вторинна упаковка, контроль); ХОЛОПАК Ферпакунгстехнік ГмбХ, Німеччина (вторинна упаковка, контроль)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p w:rsidR="003D03F3" w:rsidRDefault="003D03F3">
            <w:pPr>
              <w:pStyle w:val="110"/>
              <w:tabs>
                <w:tab w:val="left" w:pos="12600"/>
              </w:tabs>
              <w:jc w:val="center"/>
              <w:rPr>
                <w:rFonts w:ascii="Arial" w:hAnsi="Arial" w:cs="Arial"/>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Pr>
                <w:rFonts w:ascii="Arial" w:hAnsi="Arial" w:cs="Arial"/>
                <w:sz w:val="16"/>
                <w:szCs w:val="16"/>
              </w:rPr>
              <w:br/>
              <w:t xml:space="preserve">Діюча редакція: Супрун Едуард Володимирович. Пропонована редакція: Богач Тетяна Олександрівна. Зміна номера мастер-файла системи фармаконагляду.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UA/13418/01/01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ГЕНСУЛІН М30</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суспензія для ін'єкцій, 100 ОД/мл; по 10 мл у флаконі; по 1 флакону в картонній пачці; по 3 мл в картриджі; по 5 картриджів у блістері; по 1 блістеру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БІОТОН С.А.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Польща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виробник, відповідальний за виробництво, первинне і вторинне пакування, контроль та випуск серії:</w:t>
            </w:r>
            <w:r>
              <w:rPr>
                <w:rFonts w:ascii="Arial" w:hAnsi="Arial" w:cs="Arial"/>
                <w:sz w:val="16"/>
                <w:szCs w:val="16"/>
              </w:rPr>
              <w:br/>
              <w:t>БІОТОН С.А., Польща; виробник, відповідальний за контроль серії: Інститут Біотехнології та Антибіотиків,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D03F3" w:rsidRPr="003D03F3" w:rsidRDefault="003D03F3">
            <w:pPr>
              <w:autoSpaceDE w:val="0"/>
              <w:autoSpaceDN w:val="0"/>
              <w:adjustRightInd w:val="0"/>
              <w:jc w:val="center"/>
              <w:rPr>
                <w:rFonts w:ascii="Arial" w:hAnsi="Arial" w:cs="Arial"/>
                <w:bCs/>
                <w:sz w:val="16"/>
                <w:szCs w:val="16"/>
                <w:lang w:val="uk-UA" w:eastAsia="en-US"/>
              </w:rPr>
            </w:pPr>
            <w:r w:rsidRPr="003D03F3">
              <w:rPr>
                <w:rFonts w:ascii="Arial" w:hAnsi="Arial" w:cs="Arial"/>
                <w:sz w:val="16"/>
                <w:szCs w:val="16"/>
                <w:lang w:val="uk-UA"/>
              </w:rPr>
              <w:t xml:space="preserve">внесення змін до реєстраційних матеріалів: </w:t>
            </w:r>
            <w:r w:rsidRPr="003D03F3">
              <w:rPr>
                <w:rFonts w:ascii="Arial" w:hAnsi="Arial" w:cs="Arial"/>
                <w:bCs/>
                <w:sz w:val="16"/>
                <w:szCs w:val="16"/>
                <w:lang w:val="uk-UA" w:eastAsia="en-US"/>
              </w:rP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w:t>
            </w:r>
          </w:p>
          <w:p w:rsidR="003D03F3" w:rsidRPr="003D03F3" w:rsidRDefault="003D03F3">
            <w:pPr>
              <w:autoSpaceDE w:val="0"/>
              <w:autoSpaceDN w:val="0"/>
              <w:adjustRightInd w:val="0"/>
              <w:jc w:val="center"/>
              <w:rPr>
                <w:rFonts w:ascii="Arial" w:hAnsi="Arial" w:cs="Arial"/>
                <w:bCs/>
                <w:sz w:val="16"/>
                <w:szCs w:val="16"/>
                <w:lang w:val="uk-UA" w:eastAsia="en-US"/>
              </w:rPr>
            </w:pPr>
            <w:r w:rsidRPr="003D03F3">
              <w:rPr>
                <w:rFonts w:ascii="Arial" w:hAnsi="Arial" w:cs="Arial"/>
                <w:bCs/>
                <w:sz w:val="16"/>
                <w:szCs w:val="16"/>
                <w:lang w:val="uk-UA" w:eastAsia="en-US"/>
              </w:rPr>
              <w:t>Випробування " Мікроскопічне зображення кристалів" вилучено зі переліку випробувань, що контролюються у процесі виробництва (</w:t>
            </w:r>
            <w:r>
              <w:rPr>
                <w:rFonts w:ascii="Arial" w:hAnsi="Arial" w:cs="Arial"/>
                <w:bCs/>
                <w:sz w:val="16"/>
                <w:szCs w:val="16"/>
                <w:lang w:val="en-US" w:eastAsia="en-US"/>
              </w:rPr>
              <w:t>IPC</w:t>
            </w:r>
            <w:r w:rsidRPr="003D03F3">
              <w:rPr>
                <w:rFonts w:ascii="Arial" w:hAnsi="Arial" w:cs="Arial"/>
                <w:bCs/>
                <w:sz w:val="16"/>
                <w:szCs w:val="16"/>
                <w:lang w:val="uk-UA" w:eastAsia="en-US"/>
              </w:rPr>
              <w:t>). Випробування вилучене як незначне випробування, випробування " Мікроскопічне зображення кристалів" виконується в кінцевому лікарському засобі відповідно до затвердженої специфікації лікарського засобу Генсулін Н. Контроль мікроскопічного зображення на більш ранній стадії виробництва не покращує якість або контроль поточного виробничого процесу.</w:t>
            </w:r>
          </w:p>
          <w:p w:rsidR="003D03F3" w:rsidRDefault="003D03F3">
            <w:pPr>
              <w:autoSpaceDE w:val="0"/>
              <w:autoSpaceDN w:val="0"/>
              <w:adjustRightInd w:val="0"/>
              <w:jc w:val="center"/>
              <w:rPr>
                <w:rFonts w:ascii="Arial" w:hAnsi="Arial" w:cs="Arial"/>
                <w:bCs/>
                <w:sz w:val="16"/>
                <w:szCs w:val="16"/>
                <w:lang w:eastAsia="en-US"/>
              </w:rPr>
            </w:pPr>
            <w:r w:rsidRPr="003D03F3">
              <w:rPr>
                <w:rFonts w:ascii="Arial" w:hAnsi="Arial" w:cs="Arial"/>
                <w:bCs/>
                <w:sz w:val="16"/>
                <w:szCs w:val="16"/>
                <w:lang w:val="uk-UA" w:eastAsia="en-US"/>
              </w:rPr>
              <w:t xml:space="preserve">Зміни І типу - Зміни з якості. </w:t>
            </w:r>
            <w:r>
              <w:rPr>
                <w:rFonts w:ascii="Arial" w:hAnsi="Arial" w:cs="Arial"/>
                <w:bCs/>
                <w:sz w:val="16"/>
                <w:szCs w:val="16"/>
                <w:lang w:eastAsia="en-US"/>
              </w:rPr>
              <w:t>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w:t>
            </w:r>
          </w:p>
          <w:p w:rsidR="003D03F3" w:rsidRDefault="003D03F3">
            <w:pPr>
              <w:autoSpaceDE w:val="0"/>
              <w:autoSpaceDN w:val="0"/>
              <w:adjustRightInd w:val="0"/>
              <w:jc w:val="center"/>
              <w:rPr>
                <w:rFonts w:ascii="Arial" w:hAnsi="Arial" w:cs="Arial"/>
                <w:bCs/>
                <w:sz w:val="16"/>
                <w:szCs w:val="16"/>
                <w:lang w:eastAsia="en-US"/>
              </w:rPr>
            </w:pPr>
            <w:r>
              <w:rPr>
                <w:rFonts w:ascii="Arial" w:hAnsi="Arial" w:cs="Arial"/>
                <w:bCs/>
                <w:sz w:val="16"/>
                <w:szCs w:val="16"/>
                <w:lang w:eastAsia="en-US"/>
              </w:rPr>
              <w:t>Випробування " Гомогенність" вилучено зі переліку випробувань, що контролюються у процесі виробництва (</w:t>
            </w:r>
            <w:r>
              <w:rPr>
                <w:rFonts w:ascii="Arial" w:hAnsi="Arial" w:cs="Arial"/>
                <w:bCs/>
                <w:sz w:val="16"/>
                <w:szCs w:val="16"/>
                <w:lang w:val="en-US" w:eastAsia="en-US"/>
              </w:rPr>
              <w:t>IPC</w:t>
            </w:r>
            <w:r>
              <w:rPr>
                <w:rFonts w:ascii="Arial" w:hAnsi="Arial" w:cs="Arial"/>
                <w:bCs/>
                <w:sz w:val="16"/>
                <w:szCs w:val="16"/>
                <w:lang w:eastAsia="en-US"/>
              </w:rPr>
              <w:t xml:space="preserve">) як незначущий параметр. Вилучення випробування проведено на основі огляду історичних даних, які довели, що лікарський засіб виготовляється високовідтворюваним способом, та показали, що на кожному з виробничих етапів вміст </w:t>
            </w:r>
            <w:r>
              <w:rPr>
                <w:rFonts w:ascii="Arial" w:hAnsi="Arial" w:cs="Arial"/>
                <w:bCs/>
                <w:sz w:val="16"/>
                <w:szCs w:val="16"/>
                <w:lang w:val="en-US" w:eastAsia="en-US"/>
              </w:rPr>
              <w:t>A</w:t>
            </w:r>
            <w:r>
              <w:rPr>
                <w:rFonts w:ascii="Arial" w:hAnsi="Arial" w:cs="Arial"/>
                <w:bCs/>
                <w:sz w:val="16"/>
                <w:szCs w:val="16"/>
                <w:lang w:eastAsia="en-US"/>
              </w:rPr>
              <w:t>Ф</w:t>
            </w:r>
            <w:r>
              <w:rPr>
                <w:rFonts w:ascii="Arial" w:hAnsi="Arial" w:cs="Arial"/>
                <w:bCs/>
                <w:sz w:val="16"/>
                <w:szCs w:val="16"/>
                <w:lang w:val="en-US" w:eastAsia="en-US"/>
              </w:rPr>
              <w:t>I</w:t>
            </w:r>
            <w:r>
              <w:rPr>
                <w:rFonts w:ascii="Arial" w:hAnsi="Arial" w:cs="Arial"/>
                <w:bCs/>
                <w:sz w:val="16"/>
                <w:szCs w:val="16"/>
                <w:lang w:eastAsia="en-US"/>
              </w:rPr>
              <w:t xml:space="preserve"> є практично однаковим (що підтверджується дуже низьким значенням </w:t>
            </w:r>
            <w:r>
              <w:rPr>
                <w:rFonts w:ascii="Arial" w:hAnsi="Arial" w:cs="Arial"/>
                <w:bCs/>
                <w:sz w:val="16"/>
                <w:szCs w:val="16"/>
                <w:lang w:val="en-US" w:eastAsia="en-US"/>
              </w:rPr>
              <w:t>RSD</w:t>
            </w:r>
            <w:r>
              <w:rPr>
                <w:rFonts w:ascii="Arial" w:hAnsi="Arial" w:cs="Arial"/>
                <w:bCs/>
                <w:sz w:val="16"/>
                <w:szCs w:val="16"/>
                <w:lang w:eastAsia="en-US"/>
              </w:rPr>
              <w:t xml:space="preserve">). Незалежно від точки відбору, вміст </w:t>
            </w:r>
            <w:r>
              <w:rPr>
                <w:rFonts w:ascii="Arial" w:hAnsi="Arial" w:cs="Arial"/>
                <w:bCs/>
                <w:sz w:val="16"/>
                <w:szCs w:val="16"/>
                <w:lang w:val="en-US" w:eastAsia="en-US"/>
              </w:rPr>
              <w:t>A</w:t>
            </w:r>
            <w:r>
              <w:rPr>
                <w:rFonts w:ascii="Arial" w:hAnsi="Arial" w:cs="Arial"/>
                <w:bCs/>
                <w:sz w:val="16"/>
                <w:szCs w:val="16"/>
                <w:lang w:eastAsia="en-US"/>
              </w:rPr>
              <w:t>Ф</w:t>
            </w:r>
            <w:r>
              <w:rPr>
                <w:rFonts w:ascii="Arial" w:hAnsi="Arial" w:cs="Arial"/>
                <w:bCs/>
                <w:sz w:val="16"/>
                <w:szCs w:val="16"/>
                <w:lang w:val="en-US" w:eastAsia="en-US"/>
              </w:rPr>
              <w:t>I</w:t>
            </w:r>
            <w:r>
              <w:rPr>
                <w:rFonts w:ascii="Arial" w:hAnsi="Arial" w:cs="Arial"/>
                <w:bCs/>
                <w:sz w:val="16"/>
                <w:szCs w:val="16"/>
                <w:lang w:eastAsia="en-US"/>
              </w:rPr>
              <w:t xml:space="preserve"> не змінюється – однорідність не змінюється під час процесу. Отже, отримані результати підтвердили, що контроль однорідності під час процесу не є необхідним.</w:t>
            </w:r>
          </w:p>
          <w:p w:rsidR="003D03F3" w:rsidRDefault="003D03F3">
            <w:pPr>
              <w:autoSpaceDE w:val="0"/>
              <w:autoSpaceDN w:val="0"/>
              <w:adjustRightInd w:val="0"/>
              <w:jc w:val="center"/>
              <w:rPr>
                <w:rFonts w:ascii="Arial" w:hAnsi="Arial" w:cs="Arial"/>
                <w:bCs/>
                <w:sz w:val="16"/>
                <w:szCs w:val="16"/>
                <w:lang w:eastAsia="en-US"/>
              </w:rPr>
            </w:pPr>
            <w:r>
              <w:rPr>
                <w:rFonts w:ascii="Arial" w:hAnsi="Arial" w:cs="Arial"/>
                <w:bCs/>
                <w:sz w:val="16"/>
                <w:szCs w:val="16"/>
                <w:lang w:eastAsia="en-US"/>
              </w:rP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w:t>
            </w:r>
          </w:p>
          <w:p w:rsidR="003D03F3" w:rsidRDefault="003D03F3">
            <w:pPr>
              <w:autoSpaceDE w:val="0"/>
              <w:autoSpaceDN w:val="0"/>
              <w:adjustRightInd w:val="0"/>
              <w:jc w:val="center"/>
              <w:rPr>
                <w:rFonts w:ascii="Arial" w:hAnsi="Arial" w:cs="Arial"/>
                <w:bCs/>
                <w:sz w:val="16"/>
                <w:szCs w:val="16"/>
                <w:lang w:eastAsia="en-US"/>
              </w:rPr>
            </w:pPr>
            <w:r>
              <w:rPr>
                <w:rFonts w:ascii="Arial" w:hAnsi="Arial" w:cs="Arial"/>
                <w:bCs/>
                <w:sz w:val="16"/>
                <w:szCs w:val="16"/>
                <w:lang w:eastAsia="en-US"/>
              </w:rPr>
              <w:t>Додавання параметру контролю у процесі виробництва - крутний момент закручування кришки з межею&gt; 50 мН*м. Тестування цього параметра дозволяє підтвердити цілісність кришки лікарського засобу. Критерії прийнятності для даного тесту прийняті на основі досліджень фармацевтичної розробки. Мінімальна сила (крутний момент), яка необхідна для закриття/закручування кришки, була обрана на основі емпіричних даних.</w:t>
            </w:r>
          </w:p>
          <w:p w:rsidR="003D03F3" w:rsidRDefault="003D03F3">
            <w:pPr>
              <w:autoSpaceDE w:val="0"/>
              <w:autoSpaceDN w:val="0"/>
              <w:adjustRightInd w:val="0"/>
              <w:jc w:val="center"/>
              <w:rPr>
                <w:rFonts w:ascii="Arial" w:hAnsi="Arial" w:cs="Arial"/>
                <w:bCs/>
                <w:sz w:val="16"/>
                <w:szCs w:val="16"/>
                <w:lang w:eastAsia="en-US"/>
              </w:rPr>
            </w:pPr>
            <w:r>
              <w:rPr>
                <w:rFonts w:ascii="Arial" w:hAnsi="Arial" w:cs="Arial"/>
                <w:bCs/>
                <w:sz w:val="16"/>
                <w:szCs w:val="16"/>
                <w:lang w:eastAsia="en-US"/>
              </w:rP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Відповідна зміна стосується ЛЗ Генсулін Н упакованого по 3 мл в картриджі. З метою приведення до вимог Монографії </w:t>
            </w:r>
            <w:r>
              <w:rPr>
                <w:rFonts w:ascii="Arial" w:hAnsi="Arial" w:cs="Arial"/>
                <w:bCs/>
                <w:sz w:val="16"/>
                <w:szCs w:val="16"/>
                <w:lang w:val="en-US" w:eastAsia="en-US"/>
              </w:rPr>
              <w:t>USP</w:t>
            </w:r>
            <w:r>
              <w:rPr>
                <w:rFonts w:ascii="Arial" w:hAnsi="Arial" w:cs="Arial"/>
                <w:bCs/>
                <w:sz w:val="16"/>
                <w:szCs w:val="16"/>
                <w:lang w:eastAsia="en-US"/>
              </w:rPr>
              <w:t xml:space="preserve"> &lt;382&gt; "</w:t>
            </w:r>
            <w:r>
              <w:rPr>
                <w:rFonts w:ascii="Arial" w:hAnsi="Arial" w:cs="Arial"/>
                <w:bCs/>
                <w:sz w:val="16"/>
                <w:szCs w:val="16"/>
                <w:lang w:val="en-US" w:eastAsia="en-US"/>
              </w:rPr>
              <w:t>Elastomeric</w:t>
            </w:r>
            <w:r>
              <w:rPr>
                <w:rFonts w:ascii="Arial" w:hAnsi="Arial" w:cs="Arial"/>
                <w:bCs/>
                <w:sz w:val="16"/>
                <w:szCs w:val="16"/>
                <w:lang w:eastAsia="en-US"/>
              </w:rPr>
              <w:t xml:space="preserve"> </w:t>
            </w:r>
            <w:r>
              <w:rPr>
                <w:rFonts w:ascii="Arial" w:hAnsi="Arial" w:cs="Arial"/>
                <w:bCs/>
                <w:sz w:val="16"/>
                <w:szCs w:val="16"/>
                <w:lang w:val="en-US" w:eastAsia="en-US"/>
              </w:rPr>
              <w:t>component</w:t>
            </w:r>
            <w:r>
              <w:rPr>
                <w:rFonts w:ascii="Arial" w:hAnsi="Arial" w:cs="Arial"/>
                <w:bCs/>
                <w:sz w:val="16"/>
                <w:szCs w:val="16"/>
                <w:lang w:eastAsia="en-US"/>
              </w:rPr>
              <w:t xml:space="preserve"> </w:t>
            </w:r>
            <w:r>
              <w:rPr>
                <w:rFonts w:ascii="Arial" w:hAnsi="Arial" w:cs="Arial"/>
                <w:bCs/>
                <w:sz w:val="16"/>
                <w:szCs w:val="16"/>
                <w:lang w:val="en-US" w:eastAsia="en-US"/>
              </w:rPr>
              <w:t>functional</w:t>
            </w:r>
            <w:r>
              <w:rPr>
                <w:rFonts w:ascii="Arial" w:hAnsi="Arial" w:cs="Arial"/>
                <w:bCs/>
                <w:sz w:val="16"/>
                <w:szCs w:val="16"/>
                <w:lang w:eastAsia="en-US"/>
              </w:rPr>
              <w:t xml:space="preserve"> </w:t>
            </w:r>
            <w:r>
              <w:rPr>
                <w:rFonts w:ascii="Arial" w:hAnsi="Arial" w:cs="Arial"/>
                <w:bCs/>
                <w:sz w:val="16"/>
                <w:szCs w:val="16"/>
                <w:lang w:val="en-US" w:eastAsia="en-US"/>
              </w:rPr>
              <w:t>suitability</w:t>
            </w:r>
            <w:r>
              <w:rPr>
                <w:rFonts w:ascii="Arial" w:hAnsi="Arial" w:cs="Arial"/>
                <w:bCs/>
                <w:sz w:val="16"/>
                <w:szCs w:val="16"/>
                <w:lang w:eastAsia="en-US"/>
              </w:rPr>
              <w:t xml:space="preserve"> </w:t>
            </w:r>
            <w:r>
              <w:rPr>
                <w:rFonts w:ascii="Arial" w:hAnsi="Arial" w:cs="Arial"/>
                <w:bCs/>
                <w:sz w:val="16"/>
                <w:szCs w:val="16"/>
                <w:lang w:val="en-US" w:eastAsia="en-US"/>
              </w:rPr>
              <w:t>in</w:t>
            </w:r>
            <w:r>
              <w:rPr>
                <w:rFonts w:ascii="Arial" w:hAnsi="Arial" w:cs="Arial"/>
                <w:bCs/>
                <w:sz w:val="16"/>
                <w:szCs w:val="16"/>
                <w:lang w:eastAsia="en-US"/>
              </w:rPr>
              <w:t xml:space="preserve"> </w:t>
            </w:r>
            <w:r>
              <w:rPr>
                <w:rFonts w:ascii="Arial" w:hAnsi="Arial" w:cs="Arial"/>
                <w:bCs/>
                <w:sz w:val="16"/>
                <w:szCs w:val="16"/>
                <w:lang w:val="en-US" w:eastAsia="en-US"/>
              </w:rPr>
              <w:t>parenteral</w:t>
            </w:r>
            <w:r>
              <w:rPr>
                <w:rFonts w:ascii="Arial" w:hAnsi="Arial" w:cs="Arial"/>
                <w:bCs/>
                <w:sz w:val="16"/>
                <w:szCs w:val="16"/>
                <w:lang w:eastAsia="en-US"/>
              </w:rPr>
              <w:t xml:space="preserve"> </w:t>
            </w:r>
            <w:r>
              <w:rPr>
                <w:rFonts w:ascii="Arial" w:hAnsi="Arial" w:cs="Arial"/>
                <w:bCs/>
                <w:sz w:val="16"/>
                <w:szCs w:val="16"/>
                <w:lang w:val="en-US" w:eastAsia="en-US"/>
              </w:rPr>
              <w:t>product</w:t>
            </w:r>
            <w:r>
              <w:rPr>
                <w:rFonts w:ascii="Arial" w:hAnsi="Arial" w:cs="Arial"/>
                <w:bCs/>
                <w:sz w:val="16"/>
                <w:szCs w:val="16"/>
                <w:lang w:eastAsia="en-US"/>
              </w:rPr>
              <w:t xml:space="preserve"> </w:t>
            </w:r>
            <w:r>
              <w:rPr>
                <w:rFonts w:ascii="Arial" w:hAnsi="Arial" w:cs="Arial"/>
                <w:bCs/>
                <w:sz w:val="16"/>
                <w:szCs w:val="16"/>
                <w:lang w:val="en-US" w:eastAsia="en-US"/>
              </w:rPr>
              <w:t>packaging</w:t>
            </w:r>
            <w:r>
              <w:rPr>
                <w:rFonts w:ascii="Arial" w:hAnsi="Arial" w:cs="Arial"/>
                <w:bCs/>
                <w:sz w:val="16"/>
                <w:szCs w:val="16"/>
                <w:lang w:eastAsia="en-US"/>
              </w:rPr>
              <w:t>/</w:t>
            </w:r>
            <w:r>
              <w:rPr>
                <w:rFonts w:ascii="Arial" w:hAnsi="Arial" w:cs="Arial"/>
                <w:bCs/>
                <w:sz w:val="16"/>
                <w:szCs w:val="16"/>
                <w:lang w:val="en-US" w:eastAsia="en-US"/>
              </w:rPr>
              <w:t>delivery</w:t>
            </w:r>
            <w:r>
              <w:rPr>
                <w:rFonts w:ascii="Arial" w:hAnsi="Arial" w:cs="Arial"/>
                <w:bCs/>
                <w:sz w:val="16"/>
                <w:szCs w:val="16"/>
                <w:lang w:eastAsia="en-US"/>
              </w:rPr>
              <w:t xml:space="preserve"> </w:t>
            </w:r>
            <w:r>
              <w:rPr>
                <w:rFonts w:ascii="Arial" w:hAnsi="Arial" w:cs="Arial"/>
                <w:bCs/>
                <w:sz w:val="16"/>
                <w:szCs w:val="16"/>
                <w:lang w:val="en-US" w:eastAsia="en-US"/>
              </w:rPr>
              <w:t>system</w:t>
            </w:r>
            <w:r>
              <w:rPr>
                <w:rFonts w:ascii="Arial" w:hAnsi="Arial" w:cs="Arial"/>
                <w:bCs/>
                <w:sz w:val="16"/>
                <w:szCs w:val="16"/>
                <w:lang w:eastAsia="en-US"/>
              </w:rPr>
              <w:t>", розділ 6 "</w:t>
            </w:r>
            <w:r>
              <w:rPr>
                <w:rFonts w:ascii="Arial" w:hAnsi="Arial" w:cs="Arial"/>
                <w:bCs/>
                <w:sz w:val="16"/>
                <w:szCs w:val="16"/>
                <w:lang w:val="en-US" w:eastAsia="en-US"/>
              </w:rPr>
              <w:t>Plunger</w:t>
            </w:r>
            <w:r>
              <w:rPr>
                <w:rFonts w:ascii="Arial" w:hAnsi="Arial" w:cs="Arial"/>
                <w:bCs/>
                <w:sz w:val="16"/>
                <w:szCs w:val="16"/>
                <w:lang w:eastAsia="en-US"/>
              </w:rPr>
              <w:t xml:space="preserve"> </w:t>
            </w:r>
            <w:r>
              <w:rPr>
                <w:rFonts w:ascii="Arial" w:hAnsi="Arial" w:cs="Arial"/>
                <w:bCs/>
                <w:sz w:val="16"/>
                <w:szCs w:val="16"/>
                <w:lang w:val="en-US" w:eastAsia="en-US"/>
              </w:rPr>
              <w:t>functional</w:t>
            </w:r>
            <w:r>
              <w:rPr>
                <w:rFonts w:ascii="Arial" w:hAnsi="Arial" w:cs="Arial"/>
                <w:bCs/>
                <w:sz w:val="16"/>
                <w:szCs w:val="16"/>
                <w:lang w:eastAsia="en-US"/>
              </w:rPr>
              <w:t xml:space="preserve"> </w:t>
            </w:r>
            <w:r>
              <w:rPr>
                <w:rFonts w:ascii="Arial" w:hAnsi="Arial" w:cs="Arial"/>
                <w:bCs/>
                <w:sz w:val="16"/>
                <w:szCs w:val="16"/>
                <w:lang w:val="en-US" w:eastAsia="en-US"/>
              </w:rPr>
              <w:t>suitability</w:t>
            </w:r>
            <w:r>
              <w:rPr>
                <w:rFonts w:ascii="Arial" w:hAnsi="Arial" w:cs="Arial"/>
                <w:bCs/>
                <w:sz w:val="16"/>
                <w:szCs w:val="16"/>
                <w:lang w:eastAsia="en-US"/>
              </w:rPr>
              <w:t xml:space="preserve"> </w:t>
            </w:r>
            <w:r>
              <w:rPr>
                <w:rFonts w:ascii="Arial" w:hAnsi="Arial" w:cs="Arial"/>
                <w:bCs/>
                <w:sz w:val="16"/>
                <w:szCs w:val="16"/>
                <w:lang w:val="en-US" w:eastAsia="en-US"/>
              </w:rPr>
              <w:t>tests</w:t>
            </w:r>
            <w:r>
              <w:rPr>
                <w:rFonts w:ascii="Arial" w:hAnsi="Arial" w:cs="Arial"/>
                <w:bCs/>
                <w:sz w:val="16"/>
                <w:szCs w:val="16"/>
                <w:lang w:eastAsia="en-US"/>
              </w:rPr>
              <w:t xml:space="preserve">", метод випробування сили розриву поршня та сили ковзання поршня було змінено з випробування на порожніх картриджах на випробування на картриджах, наповнених лікарським засобом, опис випробування також приведений до зазначеної монографії </w:t>
            </w:r>
            <w:r>
              <w:rPr>
                <w:rFonts w:ascii="Arial" w:hAnsi="Arial" w:cs="Arial"/>
                <w:bCs/>
                <w:sz w:val="16"/>
                <w:szCs w:val="16"/>
                <w:lang w:val="en-US" w:eastAsia="en-US"/>
              </w:rPr>
              <w:t>USP</w:t>
            </w:r>
            <w:r>
              <w:rPr>
                <w:rFonts w:ascii="Arial" w:hAnsi="Arial" w:cs="Arial"/>
                <w:bCs/>
                <w:sz w:val="16"/>
                <w:szCs w:val="16"/>
                <w:lang w:eastAsia="en-US"/>
              </w:rPr>
              <w:t xml:space="preserve">. На основі приведення до монографії </w:t>
            </w:r>
            <w:r>
              <w:rPr>
                <w:rFonts w:ascii="Arial" w:hAnsi="Arial" w:cs="Arial"/>
                <w:bCs/>
                <w:sz w:val="16"/>
                <w:szCs w:val="16"/>
                <w:lang w:val="en-US" w:eastAsia="en-US"/>
              </w:rPr>
              <w:t>USP</w:t>
            </w:r>
            <w:r>
              <w:rPr>
                <w:rFonts w:ascii="Arial" w:hAnsi="Arial" w:cs="Arial"/>
                <w:bCs/>
                <w:sz w:val="16"/>
                <w:szCs w:val="16"/>
                <w:lang w:eastAsia="en-US"/>
              </w:rPr>
              <w:t xml:space="preserve">, були змінені допустимі межі для сила розриву поршня та сили ковзання поршня. Також вилучено вимоги щодо періодичності проведення випробувань, яка визначається внутрішнім аналізом ризиків відповідно до системи якості </w:t>
            </w:r>
            <w:r>
              <w:rPr>
                <w:rFonts w:ascii="Arial" w:hAnsi="Arial" w:cs="Arial"/>
                <w:bCs/>
                <w:sz w:val="16"/>
                <w:szCs w:val="16"/>
                <w:lang w:val="en-US" w:eastAsia="en-US"/>
              </w:rPr>
              <w:t>Bioton</w:t>
            </w:r>
            <w:r>
              <w:rPr>
                <w:rFonts w:ascii="Arial" w:hAnsi="Arial" w:cs="Arial"/>
                <w:bCs/>
                <w:sz w:val="16"/>
                <w:szCs w:val="16"/>
                <w:lang w:eastAsia="en-US"/>
              </w:rPr>
              <w:t xml:space="preserve"> </w:t>
            </w:r>
            <w:r>
              <w:rPr>
                <w:rFonts w:ascii="Arial" w:hAnsi="Arial" w:cs="Arial"/>
                <w:bCs/>
                <w:sz w:val="16"/>
                <w:szCs w:val="16"/>
                <w:lang w:val="en-US" w:eastAsia="en-US"/>
              </w:rPr>
              <w:t>S</w:t>
            </w:r>
            <w:r>
              <w:rPr>
                <w:rFonts w:ascii="Arial" w:hAnsi="Arial" w:cs="Arial"/>
                <w:bCs/>
                <w:sz w:val="16"/>
                <w:szCs w:val="16"/>
                <w:lang w:eastAsia="en-US"/>
              </w:rPr>
              <w:t>.</w:t>
            </w:r>
            <w:r>
              <w:rPr>
                <w:rFonts w:ascii="Arial" w:hAnsi="Arial" w:cs="Arial"/>
                <w:bCs/>
                <w:sz w:val="16"/>
                <w:szCs w:val="16"/>
                <w:lang w:val="en-US" w:eastAsia="en-US"/>
              </w:rPr>
              <w:t>A</w:t>
            </w:r>
            <w:r>
              <w:rPr>
                <w:rFonts w:ascii="Arial" w:hAnsi="Arial" w:cs="Arial"/>
                <w:bCs/>
                <w:sz w:val="16"/>
                <w:szCs w:val="16"/>
                <w:lang w:eastAsia="en-US"/>
              </w:rPr>
              <w:t>.</w:t>
            </w:r>
          </w:p>
          <w:p w:rsidR="003D03F3" w:rsidRDefault="003D03F3">
            <w:pPr>
              <w:autoSpaceDE w:val="0"/>
              <w:autoSpaceDN w:val="0"/>
              <w:adjustRightInd w:val="0"/>
              <w:jc w:val="center"/>
              <w:rPr>
                <w:rFonts w:ascii="Arial" w:hAnsi="Arial" w:cs="Arial"/>
                <w:bCs/>
                <w:sz w:val="16"/>
                <w:szCs w:val="16"/>
                <w:lang w:eastAsia="en-US"/>
              </w:rPr>
            </w:pPr>
            <w:r>
              <w:rPr>
                <w:rFonts w:ascii="Arial" w:hAnsi="Arial" w:cs="Arial"/>
                <w:bCs/>
                <w:sz w:val="16"/>
                <w:szCs w:val="16"/>
                <w:lang w:eastAsia="en-US"/>
              </w:rP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до опису випробування у процесі виробництва - біонавантаження перед стерилізаційною фільтрацією - шляхом додавання посилання на оновлену версію </w:t>
            </w:r>
            <w:r>
              <w:rPr>
                <w:rFonts w:ascii="Arial" w:hAnsi="Arial" w:cs="Arial"/>
                <w:bCs/>
                <w:sz w:val="16"/>
                <w:szCs w:val="16"/>
                <w:lang w:val="en-US" w:eastAsia="en-US"/>
              </w:rPr>
              <w:t>Ph</w:t>
            </w:r>
            <w:r>
              <w:rPr>
                <w:rFonts w:ascii="Arial" w:hAnsi="Arial" w:cs="Arial"/>
                <w:bCs/>
                <w:sz w:val="16"/>
                <w:szCs w:val="16"/>
                <w:lang w:eastAsia="en-US"/>
              </w:rPr>
              <w:t xml:space="preserve">. </w:t>
            </w:r>
            <w:r>
              <w:rPr>
                <w:rFonts w:ascii="Arial" w:hAnsi="Arial" w:cs="Arial"/>
                <w:bCs/>
                <w:sz w:val="16"/>
                <w:szCs w:val="16"/>
                <w:lang w:val="en-US" w:eastAsia="en-US"/>
              </w:rPr>
              <w:t>Eur</w:t>
            </w:r>
            <w:r>
              <w:rPr>
                <w:rFonts w:ascii="Arial" w:hAnsi="Arial" w:cs="Arial"/>
                <w:bCs/>
                <w:sz w:val="16"/>
                <w:szCs w:val="16"/>
                <w:lang w:eastAsia="en-US"/>
              </w:rPr>
              <w:t xml:space="preserve">. (2.6.12). Викладення опису методу було приведено до поточної монографії </w:t>
            </w:r>
            <w:r>
              <w:rPr>
                <w:rFonts w:ascii="Arial" w:hAnsi="Arial" w:cs="Arial"/>
                <w:bCs/>
                <w:sz w:val="16"/>
                <w:szCs w:val="16"/>
                <w:lang w:val="en-US" w:eastAsia="en-US"/>
              </w:rPr>
              <w:t>Ph</w:t>
            </w:r>
            <w:r>
              <w:rPr>
                <w:rFonts w:ascii="Arial" w:hAnsi="Arial" w:cs="Arial"/>
                <w:bCs/>
                <w:sz w:val="16"/>
                <w:szCs w:val="16"/>
                <w:lang w:eastAsia="en-US"/>
              </w:rPr>
              <w:t xml:space="preserve">. </w:t>
            </w:r>
            <w:r>
              <w:rPr>
                <w:rFonts w:ascii="Arial" w:hAnsi="Arial" w:cs="Arial"/>
                <w:bCs/>
                <w:sz w:val="16"/>
                <w:szCs w:val="16"/>
                <w:lang w:val="en-US" w:eastAsia="en-US"/>
              </w:rPr>
              <w:t>Eur</w:t>
            </w:r>
            <w:r>
              <w:rPr>
                <w:rFonts w:ascii="Arial" w:hAnsi="Arial" w:cs="Arial"/>
                <w:bCs/>
                <w:sz w:val="16"/>
                <w:szCs w:val="16"/>
                <w:lang w:eastAsia="en-US"/>
              </w:rPr>
              <w:t>. 2.6.12 "</w:t>
            </w:r>
            <w:r>
              <w:rPr>
                <w:rFonts w:ascii="Arial" w:hAnsi="Arial" w:cs="Arial"/>
                <w:bCs/>
                <w:sz w:val="16"/>
                <w:szCs w:val="16"/>
                <w:lang w:val="en-US" w:eastAsia="en-US"/>
              </w:rPr>
              <w:t>Microbiological</w:t>
            </w:r>
            <w:r>
              <w:rPr>
                <w:rFonts w:ascii="Arial" w:hAnsi="Arial" w:cs="Arial"/>
                <w:bCs/>
                <w:sz w:val="16"/>
                <w:szCs w:val="16"/>
                <w:lang w:eastAsia="en-US"/>
              </w:rPr>
              <w:t xml:space="preserve"> </w:t>
            </w:r>
            <w:r>
              <w:rPr>
                <w:rFonts w:ascii="Arial" w:hAnsi="Arial" w:cs="Arial"/>
                <w:bCs/>
                <w:sz w:val="16"/>
                <w:szCs w:val="16"/>
                <w:lang w:val="en-US" w:eastAsia="en-US"/>
              </w:rPr>
              <w:t>examination</w:t>
            </w:r>
            <w:r>
              <w:rPr>
                <w:rFonts w:ascii="Arial" w:hAnsi="Arial" w:cs="Arial"/>
                <w:bCs/>
                <w:sz w:val="16"/>
                <w:szCs w:val="16"/>
                <w:lang w:eastAsia="en-US"/>
              </w:rPr>
              <w:t xml:space="preserve"> </w:t>
            </w:r>
            <w:r>
              <w:rPr>
                <w:rFonts w:ascii="Arial" w:hAnsi="Arial" w:cs="Arial"/>
                <w:bCs/>
                <w:sz w:val="16"/>
                <w:szCs w:val="16"/>
                <w:lang w:val="en-US" w:eastAsia="en-US"/>
              </w:rPr>
              <w:t>of</w:t>
            </w:r>
            <w:r>
              <w:rPr>
                <w:rFonts w:ascii="Arial" w:hAnsi="Arial" w:cs="Arial"/>
                <w:bCs/>
                <w:sz w:val="16"/>
                <w:szCs w:val="16"/>
                <w:lang w:eastAsia="en-US"/>
              </w:rPr>
              <w:t xml:space="preserve"> </w:t>
            </w:r>
            <w:r>
              <w:rPr>
                <w:rFonts w:ascii="Arial" w:hAnsi="Arial" w:cs="Arial"/>
                <w:bCs/>
                <w:sz w:val="16"/>
                <w:szCs w:val="16"/>
                <w:lang w:val="en-US" w:eastAsia="en-US"/>
              </w:rPr>
              <w:t>non</w:t>
            </w:r>
            <w:r>
              <w:rPr>
                <w:rFonts w:ascii="Arial" w:hAnsi="Arial" w:cs="Arial"/>
                <w:bCs/>
                <w:sz w:val="16"/>
                <w:szCs w:val="16"/>
                <w:lang w:eastAsia="en-US"/>
              </w:rPr>
              <w:t>-</w:t>
            </w:r>
            <w:r>
              <w:rPr>
                <w:rFonts w:ascii="Arial" w:hAnsi="Arial" w:cs="Arial"/>
                <w:bCs/>
                <w:sz w:val="16"/>
                <w:szCs w:val="16"/>
                <w:lang w:val="en-US" w:eastAsia="en-US"/>
              </w:rPr>
              <w:t>sterile</w:t>
            </w:r>
            <w:r>
              <w:rPr>
                <w:rFonts w:ascii="Arial" w:hAnsi="Arial" w:cs="Arial"/>
                <w:bCs/>
                <w:sz w:val="16"/>
                <w:szCs w:val="16"/>
                <w:lang w:eastAsia="en-US"/>
              </w:rPr>
              <w:t xml:space="preserve"> </w:t>
            </w:r>
            <w:r>
              <w:rPr>
                <w:rFonts w:ascii="Arial" w:hAnsi="Arial" w:cs="Arial"/>
                <w:bCs/>
                <w:sz w:val="16"/>
                <w:szCs w:val="16"/>
                <w:lang w:val="en-US" w:eastAsia="en-US"/>
              </w:rPr>
              <w:t>products</w:t>
            </w:r>
            <w:r>
              <w:rPr>
                <w:rFonts w:ascii="Arial" w:hAnsi="Arial" w:cs="Arial"/>
                <w:bCs/>
                <w:sz w:val="16"/>
                <w:szCs w:val="16"/>
                <w:lang w:eastAsia="en-US"/>
              </w:rPr>
              <w:t xml:space="preserve">: </w:t>
            </w:r>
            <w:r>
              <w:rPr>
                <w:rFonts w:ascii="Arial" w:hAnsi="Arial" w:cs="Arial"/>
                <w:bCs/>
                <w:sz w:val="16"/>
                <w:szCs w:val="16"/>
                <w:lang w:val="en-US" w:eastAsia="en-US"/>
              </w:rPr>
              <w:t>microbial</w:t>
            </w:r>
            <w:r>
              <w:rPr>
                <w:rFonts w:ascii="Arial" w:hAnsi="Arial" w:cs="Arial"/>
                <w:bCs/>
                <w:sz w:val="16"/>
                <w:szCs w:val="16"/>
                <w:lang w:eastAsia="en-US"/>
              </w:rPr>
              <w:t xml:space="preserve"> </w:t>
            </w:r>
            <w:r>
              <w:rPr>
                <w:rFonts w:ascii="Arial" w:hAnsi="Arial" w:cs="Arial"/>
                <w:bCs/>
                <w:sz w:val="16"/>
                <w:szCs w:val="16"/>
                <w:lang w:val="en-US" w:eastAsia="en-US"/>
              </w:rPr>
              <w:t>enumeration</w:t>
            </w:r>
            <w:r>
              <w:rPr>
                <w:rFonts w:ascii="Arial" w:hAnsi="Arial" w:cs="Arial"/>
                <w:bCs/>
                <w:sz w:val="16"/>
                <w:szCs w:val="16"/>
                <w:lang w:eastAsia="en-US"/>
              </w:rPr>
              <w:t xml:space="preserve"> </w:t>
            </w:r>
            <w:r>
              <w:rPr>
                <w:rFonts w:ascii="Arial" w:hAnsi="Arial" w:cs="Arial"/>
                <w:bCs/>
                <w:sz w:val="16"/>
                <w:szCs w:val="16"/>
                <w:lang w:val="en-US" w:eastAsia="en-US"/>
              </w:rPr>
              <w:t>tests</w:t>
            </w:r>
            <w:r>
              <w:rPr>
                <w:rFonts w:ascii="Arial" w:hAnsi="Arial" w:cs="Arial"/>
                <w:bCs/>
                <w:sz w:val="16"/>
                <w:szCs w:val="16"/>
                <w:lang w:eastAsia="en-US"/>
              </w:rPr>
              <w:t>" (метод мембранної фільтрації 5-2-1). При цьому змін в методі випробування не відбулося, змінено лише викладення опису методу випробування в реєстраційній документації.Зміни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до опису випробування у процесі виробництва -</w:t>
            </w:r>
            <w:r>
              <w:rPr>
                <w:rFonts w:ascii="Arial" w:hAnsi="Arial" w:cs="Arial"/>
                <w:bCs/>
                <w:sz w:val="16"/>
                <w:szCs w:val="16"/>
                <w:lang w:val="en-US" w:eastAsia="en-US"/>
              </w:rPr>
              <w:t>pH</w:t>
            </w:r>
            <w:r>
              <w:rPr>
                <w:rFonts w:ascii="Arial" w:hAnsi="Arial" w:cs="Arial"/>
                <w:bCs/>
                <w:sz w:val="16"/>
                <w:szCs w:val="16"/>
                <w:lang w:eastAsia="en-US"/>
              </w:rPr>
              <w:t xml:space="preserve"> -· шляхом додавання посилання на оновлену версію </w:t>
            </w:r>
            <w:r>
              <w:rPr>
                <w:rFonts w:ascii="Arial" w:hAnsi="Arial" w:cs="Arial"/>
                <w:bCs/>
                <w:sz w:val="16"/>
                <w:szCs w:val="16"/>
                <w:lang w:val="en-US" w:eastAsia="en-US"/>
              </w:rPr>
              <w:t>Ph</w:t>
            </w:r>
            <w:r>
              <w:rPr>
                <w:rFonts w:ascii="Arial" w:hAnsi="Arial" w:cs="Arial"/>
                <w:bCs/>
                <w:sz w:val="16"/>
                <w:szCs w:val="16"/>
                <w:lang w:eastAsia="en-US"/>
              </w:rPr>
              <w:t xml:space="preserve">. </w:t>
            </w:r>
            <w:r>
              <w:rPr>
                <w:rFonts w:ascii="Arial" w:hAnsi="Arial" w:cs="Arial"/>
                <w:bCs/>
                <w:sz w:val="16"/>
                <w:szCs w:val="16"/>
                <w:lang w:val="en-US" w:eastAsia="en-US"/>
              </w:rPr>
              <w:t>Eur</w:t>
            </w:r>
            <w:r>
              <w:rPr>
                <w:rFonts w:ascii="Arial" w:hAnsi="Arial" w:cs="Arial"/>
                <w:bCs/>
                <w:sz w:val="16"/>
                <w:szCs w:val="16"/>
                <w:lang w:eastAsia="en-US"/>
              </w:rPr>
              <w:t xml:space="preserve">. (2.2.3) та видалення інформації про періодичність випробування. Опис методу випробування </w:t>
            </w:r>
            <w:r>
              <w:rPr>
                <w:rFonts w:ascii="Arial" w:hAnsi="Arial" w:cs="Arial"/>
                <w:bCs/>
                <w:sz w:val="16"/>
                <w:szCs w:val="16"/>
                <w:lang w:val="en-US" w:eastAsia="en-US"/>
              </w:rPr>
              <w:t>pH</w:t>
            </w:r>
            <w:r>
              <w:rPr>
                <w:rFonts w:ascii="Arial" w:hAnsi="Arial" w:cs="Arial"/>
                <w:bCs/>
                <w:sz w:val="16"/>
                <w:szCs w:val="16"/>
                <w:lang w:eastAsia="en-US"/>
              </w:rPr>
              <w:t xml:space="preserve"> було змінено: замість попереднього опису використано посилання на поточну монографію </w:t>
            </w:r>
            <w:r>
              <w:rPr>
                <w:rFonts w:ascii="Arial" w:hAnsi="Arial" w:cs="Arial"/>
                <w:bCs/>
                <w:sz w:val="16"/>
                <w:szCs w:val="16"/>
                <w:lang w:val="en-US" w:eastAsia="en-US"/>
              </w:rPr>
              <w:t>Ph</w:t>
            </w:r>
            <w:r>
              <w:rPr>
                <w:rFonts w:ascii="Arial" w:hAnsi="Arial" w:cs="Arial"/>
                <w:bCs/>
                <w:sz w:val="16"/>
                <w:szCs w:val="16"/>
                <w:lang w:eastAsia="en-US"/>
              </w:rPr>
              <w:t>.</w:t>
            </w:r>
            <w:r>
              <w:rPr>
                <w:rFonts w:ascii="Arial" w:hAnsi="Arial" w:cs="Arial"/>
                <w:bCs/>
                <w:sz w:val="16"/>
                <w:szCs w:val="16"/>
                <w:lang w:val="en-US" w:eastAsia="en-US"/>
              </w:rPr>
              <w:t>Eur</w:t>
            </w:r>
            <w:r>
              <w:rPr>
                <w:rFonts w:ascii="Arial" w:hAnsi="Arial" w:cs="Arial"/>
                <w:bCs/>
                <w:sz w:val="16"/>
                <w:szCs w:val="16"/>
                <w:lang w:eastAsia="en-US"/>
              </w:rPr>
              <w:t>. 2.2.3 “</w:t>
            </w:r>
            <w:r>
              <w:rPr>
                <w:rFonts w:ascii="Arial" w:hAnsi="Arial" w:cs="Arial"/>
                <w:bCs/>
                <w:sz w:val="16"/>
                <w:szCs w:val="16"/>
                <w:lang w:val="en-US" w:eastAsia="en-US"/>
              </w:rPr>
              <w:t>Potentiometric</w:t>
            </w:r>
            <w:r>
              <w:rPr>
                <w:rFonts w:ascii="Arial" w:hAnsi="Arial" w:cs="Arial"/>
                <w:bCs/>
                <w:sz w:val="16"/>
                <w:szCs w:val="16"/>
                <w:lang w:eastAsia="en-US"/>
              </w:rPr>
              <w:t xml:space="preserve"> </w:t>
            </w:r>
            <w:r>
              <w:rPr>
                <w:rFonts w:ascii="Arial" w:hAnsi="Arial" w:cs="Arial"/>
                <w:bCs/>
                <w:sz w:val="16"/>
                <w:szCs w:val="16"/>
                <w:lang w:val="en-US" w:eastAsia="en-US"/>
              </w:rPr>
              <w:t>determination</w:t>
            </w:r>
            <w:r>
              <w:rPr>
                <w:rFonts w:ascii="Arial" w:hAnsi="Arial" w:cs="Arial"/>
                <w:bCs/>
                <w:sz w:val="16"/>
                <w:szCs w:val="16"/>
                <w:lang w:eastAsia="en-US"/>
              </w:rPr>
              <w:t xml:space="preserve"> </w:t>
            </w:r>
            <w:r>
              <w:rPr>
                <w:rFonts w:ascii="Arial" w:hAnsi="Arial" w:cs="Arial"/>
                <w:bCs/>
                <w:sz w:val="16"/>
                <w:szCs w:val="16"/>
                <w:lang w:val="en-US" w:eastAsia="en-US"/>
              </w:rPr>
              <w:t>of</w:t>
            </w:r>
            <w:r>
              <w:rPr>
                <w:rFonts w:ascii="Arial" w:hAnsi="Arial" w:cs="Arial"/>
                <w:bCs/>
                <w:sz w:val="16"/>
                <w:szCs w:val="16"/>
                <w:lang w:eastAsia="en-US"/>
              </w:rPr>
              <w:t xml:space="preserve"> </w:t>
            </w:r>
            <w:r>
              <w:rPr>
                <w:rFonts w:ascii="Arial" w:hAnsi="Arial" w:cs="Arial"/>
                <w:bCs/>
                <w:sz w:val="16"/>
                <w:szCs w:val="16"/>
                <w:lang w:val="en-US" w:eastAsia="en-US"/>
              </w:rPr>
              <w:t>pH</w:t>
            </w:r>
            <w:r>
              <w:rPr>
                <w:rFonts w:ascii="Arial" w:hAnsi="Arial" w:cs="Arial"/>
                <w:bCs/>
                <w:sz w:val="16"/>
                <w:szCs w:val="16"/>
                <w:lang w:eastAsia="en-US"/>
              </w:rPr>
              <w:t>”. При цьому змін в методі випробування не відбулося, змінено лише викладення опису методу випробування в реєстраційній документації.</w:t>
            </w:r>
          </w:p>
          <w:p w:rsidR="003D03F3" w:rsidRDefault="003D03F3">
            <w:pPr>
              <w:autoSpaceDE w:val="0"/>
              <w:autoSpaceDN w:val="0"/>
              <w:adjustRightInd w:val="0"/>
              <w:jc w:val="center"/>
              <w:rPr>
                <w:rFonts w:ascii="Arial" w:hAnsi="Arial" w:cs="Arial"/>
                <w:bCs/>
                <w:sz w:val="16"/>
                <w:szCs w:val="16"/>
                <w:lang w:eastAsia="en-US"/>
              </w:rPr>
            </w:pPr>
            <w:r>
              <w:rPr>
                <w:rFonts w:ascii="Arial" w:hAnsi="Arial" w:cs="Arial"/>
                <w:bCs/>
                <w:sz w:val="16"/>
                <w:szCs w:val="16"/>
                <w:lang w:eastAsia="en-US"/>
              </w:rP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до опису випробування у процесі виробництва - об'єм, що витягається - шляхом додавання посилання на оновлену версію </w:t>
            </w:r>
            <w:r>
              <w:rPr>
                <w:rFonts w:ascii="Arial" w:hAnsi="Arial" w:cs="Arial"/>
                <w:bCs/>
                <w:sz w:val="16"/>
                <w:szCs w:val="16"/>
                <w:lang w:val="en-US" w:eastAsia="en-US"/>
              </w:rPr>
              <w:t>Ph</w:t>
            </w:r>
            <w:r>
              <w:rPr>
                <w:rFonts w:ascii="Arial" w:hAnsi="Arial" w:cs="Arial"/>
                <w:bCs/>
                <w:sz w:val="16"/>
                <w:szCs w:val="16"/>
                <w:lang w:eastAsia="en-US"/>
              </w:rPr>
              <w:t xml:space="preserve">. </w:t>
            </w:r>
            <w:r>
              <w:rPr>
                <w:rFonts w:ascii="Arial" w:hAnsi="Arial" w:cs="Arial"/>
                <w:bCs/>
                <w:sz w:val="16"/>
                <w:szCs w:val="16"/>
                <w:lang w:val="en-US" w:eastAsia="en-US"/>
              </w:rPr>
              <w:t>Eur</w:t>
            </w:r>
            <w:r>
              <w:rPr>
                <w:rFonts w:ascii="Arial" w:hAnsi="Arial" w:cs="Arial"/>
                <w:bCs/>
                <w:sz w:val="16"/>
                <w:szCs w:val="16"/>
                <w:lang w:eastAsia="en-US"/>
              </w:rPr>
              <w:t xml:space="preserve">. (2.9.17) та видалення вимоги щодо періодичності випробування. Опис методу випробування "Об'єм, що витягається" було змінено: замість попереднього опису використано посилання на поточну монографію </w:t>
            </w:r>
            <w:r>
              <w:rPr>
                <w:rFonts w:ascii="Arial" w:hAnsi="Arial" w:cs="Arial"/>
                <w:bCs/>
                <w:sz w:val="16"/>
                <w:szCs w:val="16"/>
                <w:lang w:val="en-US" w:eastAsia="en-US"/>
              </w:rPr>
              <w:t>Ph</w:t>
            </w:r>
            <w:r>
              <w:rPr>
                <w:rFonts w:ascii="Arial" w:hAnsi="Arial" w:cs="Arial"/>
                <w:bCs/>
                <w:sz w:val="16"/>
                <w:szCs w:val="16"/>
                <w:lang w:eastAsia="en-US"/>
              </w:rPr>
              <w:t xml:space="preserve">. </w:t>
            </w:r>
            <w:r>
              <w:rPr>
                <w:rFonts w:ascii="Arial" w:hAnsi="Arial" w:cs="Arial"/>
                <w:bCs/>
                <w:sz w:val="16"/>
                <w:szCs w:val="16"/>
                <w:lang w:val="en-US" w:eastAsia="en-US"/>
              </w:rPr>
              <w:t>Eur</w:t>
            </w:r>
            <w:r>
              <w:rPr>
                <w:rFonts w:ascii="Arial" w:hAnsi="Arial" w:cs="Arial"/>
                <w:bCs/>
                <w:sz w:val="16"/>
                <w:szCs w:val="16"/>
                <w:lang w:eastAsia="en-US"/>
              </w:rPr>
              <w:t>. 2.9.17 "</w:t>
            </w:r>
            <w:r>
              <w:rPr>
                <w:rFonts w:ascii="Arial" w:hAnsi="Arial" w:cs="Arial"/>
                <w:bCs/>
                <w:sz w:val="16"/>
                <w:szCs w:val="16"/>
                <w:lang w:val="en-US" w:eastAsia="en-US"/>
              </w:rPr>
              <w:t>Test</w:t>
            </w:r>
            <w:r>
              <w:rPr>
                <w:rFonts w:ascii="Arial" w:hAnsi="Arial" w:cs="Arial"/>
                <w:bCs/>
                <w:sz w:val="16"/>
                <w:szCs w:val="16"/>
                <w:lang w:eastAsia="en-US"/>
              </w:rPr>
              <w:t xml:space="preserve"> </w:t>
            </w:r>
            <w:r>
              <w:rPr>
                <w:rFonts w:ascii="Arial" w:hAnsi="Arial" w:cs="Arial"/>
                <w:bCs/>
                <w:sz w:val="16"/>
                <w:szCs w:val="16"/>
                <w:lang w:val="en-US" w:eastAsia="en-US"/>
              </w:rPr>
              <w:t>for</w:t>
            </w:r>
            <w:r>
              <w:rPr>
                <w:rFonts w:ascii="Arial" w:hAnsi="Arial" w:cs="Arial"/>
                <w:bCs/>
                <w:sz w:val="16"/>
                <w:szCs w:val="16"/>
                <w:lang w:eastAsia="en-US"/>
              </w:rPr>
              <w:t xml:space="preserve"> </w:t>
            </w:r>
            <w:r>
              <w:rPr>
                <w:rFonts w:ascii="Arial" w:hAnsi="Arial" w:cs="Arial"/>
                <w:bCs/>
                <w:sz w:val="16"/>
                <w:szCs w:val="16"/>
                <w:lang w:val="en-US" w:eastAsia="en-US"/>
              </w:rPr>
              <w:t>extractable</w:t>
            </w:r>
            <w:r>
              <w:rPr>
                <w:rFonts w:ascii="Arial" w:hAnsi="Arial" w:cs="Arial"/>
                <w:bCs/>
                <w:sz w:val="16"/>
                <w:szCs w:val="16"/>
                <w:lang w:eastAsia="en-US"/>
              </w:rPr>
              <w:t xml:space="preserve"> </w:t>
            </w:r>
            <w:r>
              <w:rPr>
                <w:rFonts w:ascii="Arial" w:hAnsi="Arial" w:cs="Arial"/>
                <w:bCs/>
                <w:sz w:val="16"/>
                <w:szCs w:val="16"/>
                <w:lang w:val="en-US" w:eastAsia="en-US"/>
              </w:rPr>
              <w:t>volume</w:t>
            </w:r>
            <w:r>
              <w:rPr>
                <w:rFonts w:ascii="Arial" w:hAnsi="Arial" w:cs="Arial"/>
                <w:bCs/>
                <w:sz w:val="16"/>
                <w:szCs w:val="16"/>
                <w:lang w:eastAsia="en-US"/>
              </w:rPr>
              <w:t xml:space="preserve"> </w:t>
            </w:r>
            <w:r>
              <w:rPr>
                <w:rFonts w:ascii="Arial" w:hAnsi="Arial" w:cs="Arial"/>
                <w:bCs/>
                <w:sz w:val="16"/>
                <w:szCs w:val="16"/>
                <w:lang w:val="en-US" w:eastAsia="en-US"/>
              </w:rPr>
              <w:t>of</w:t>
            </w:r>
            <w:r>
              <w:rPr>
                <w:rFonts w:ascii="Arial" w:hAnsi="Arial" w:cs="Arial"/>
                <w:bCs/>
                <w:sz w:val="16"/>
                <w:szCs w:val="16"/>
                <w:lang w:eastAsia="en-US"/>
              </w:rPr>
              <w:t xml:space="preserve"> </w:t>
            </w:r>
            <w:r>
              <w:rPr>
                <w:rFonts w:ascii="Arial" w:hAnsi="Arial" w:cs="Arial"/>
                <w:bCs/>
                <w:sz w:val="16"/>
                <w:szCs w:val="16"/>
                <w:lang w:val="en-US" w:eastAsia="en-US"/>
              </w:rPr>
              <w:t>parenteral</w:t>
            </w:r>
            <w:r>
              <w:rPr>
                <w:rFonts w:ascii="Arial" w:hAnsi="Arial" w:cs="Arial"/>
                <w:bCs/>
                <w:sz w:val="16"/>
                <w:szCs w:val="16"/>
                <w:lang w:eastAsia="en-US"/>
              </w:rPr>
              <w:t xml:space="preserve"> </w:t>
            </w:r>
            <w:r>
              <w:rPr>
                <w:rFonts w:ascii="Arial" w:hAnsi="Arial" w:cs="Arial"/>
                <w:bCs/>
                <w:sz w:val="16"/>
                <w:szCs w:val="16"/>
                <w:lang w:val="en-US" w:eastAsia="en-US"/>
              </w:rPr>
              <w:t>preparations</w:t>
            </w:r>
            <w:r>
              <w:rPr>
                <w:rFonts w:ascii="Arial" w:hAnsi="Arial" w:cs="Arial"/>
                <w:bCs/>
                <w:sz w:val="16"/>
                <w:szCs w:val="16"/>
                <w:lang w:eastAsia="en-US"/>
              </w:rPr>
              <w:t xml:space="preserve">". При цьому змін в методі випробування не відбулося, змінено лише викладення опису методу випробування в реєстраційній документації. Також видалено вимоги щодо періодичності проведення випробування, яка визначається внутрішнім аналізом ризиків відповідно до системи якості </w:t>
            </w:r>
            <w:r>
              <w:rPr>
                <w:rFonts w:ascii="Arial" w:hAnsi="Arial" w:cs="Arial"/>
                <w:bCs/>
                <w:sz w:val="16"/>
                <w:szCs w:val="16"/>
                <w:lang w:val="en-US" w:eastAsia="en-US"/>
              </w:rPr>
              <w:t>Bioton</w:t>
            </w:r>
            <w:r>
              <w:rPr>
                <w:rFonts w:ascii="Arial" w:hAnsi="Arial" w:cs="Arial"/>
                <w:bCs/>
                <w:sz w:val="16"/>
                <w:szCs w:val="16"/>
                <w:lang w:eastAsia="en-US"/>
              </w:rPr>
              <w:t xml:space="preserve"> </w:t>
            </w:r>
            <w:r>
              <w:rPr>
                <w:rFonts w:ascii="Arial" w:hAnsi="Arial" w:cs="Arial"/>
                <w:bCs/>
                <w:sz w:val="16"/>
                <w:szCs w:val="16"/>
                <w:lang w:val="en-US" w:eastAsia="en-US"/>
              </w:rPr>
              <w:t>S</w:t>
            </w:r>
            <w:r>
              <w:rPr>
                <w:rFonts w:ascii="Arial" w:hAnsi="Arial" w:cs="Arial"/>
                <w:bCs/>
                <w:sz w:val="16"/>
                <w:szCs w:val="16"/>
                <w:lang w:eastAsia="en-US"/>
              </w:rPr>
              <w:t>.</w:t>
            </w:r>
            <w:r>
              <w:rPr>
                <w:rFonts w:ascii="Arial" w:hAnsi="Arial" w:cs="Arial"/>
                <w:bCs/>
                <w:sz w:val="16"/>
                <w:szCs w:val="16"/>
                <w:lang w:val="en-US" w:eastAsia="en-US"/>
              </w:rPr>
              <w:t>A</w:t>
            </w:r>
            <w:r>
              <w:rPr>
                <w:rFonts w:ascii="Arial" w:hAnsi="Arial" w:cs="Arial"/>
                <w:bCs/>
                <w:sz w:val="16"/>
                <w:szCs w:val="16"/>
                <w:lang w:eastAsia="en-US"/>
              </w:rPr>
              <w:t>..</w:t>
            </w:r>
          </w:p>
          <w:p w:rsidR="003D03F3" w:rsidRDefault="003D03F3">
            <w:pPr>
              <w:autoSpaceDE w:val="0"/>
              <w:autoSpaceDN w:val="0"/>
              <w:adjustRightInd w:val="0"/>
              <w:jc w:val="center"/>
              <w:rPr>
                <w:rFonts w:ascii="Arial" w:hAnsi="Arial" w:cs="Arial"/>
                <w:bCs/>
                <w:sz w:val="16"/>
                <w:szCs w:val="16"/>
                <w:lang w:eastAsia="en-US"/>
              </w:rPr>
            </w:pPr>
            <w:r>
              <w:rPr>
                <w:rFonts w:ascii="Arial" w:hAnsi="Arial" w:cs="Arial"/>
                <w:bCs/>
                <w:sz w:val="16"/>
                <w:szCs w:val="16"/>
                <w:lang w:eastAsia="en-US"/>
              </w:rP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w:t>
            </w:r>
          </w:p>
          <w:p w:rsidR="003D03F3" w:rsidRDefault="003D03F3">
            <w:pPr>
              <w:autoSpaceDE w:val="0"/>
              <w:autoSpaceDN w:val="0"/>
              <w:adjustRightInd w:val="0"/>
              <w:jc w:val="center"/>
              <w:rPr>
                <w:rFonts w:ascii="Arial" w:hAnsi="Arial" w:cs="Arial"/>
                <w:bCs/>
                <w:sz w:val="16"/>
                <w:szCs w:val="16"/>
                <w:lang w:eastAsia="en-US"/>
              </w:rPr>
            </w:pPr>
            <w:r>
              <w:rPr>
                <w:rFonts w:ascii="Arial" w:hAnsi="Arial" w:cs="Arial"/>
                <w:bCs/>
                <w:sz w:val="16"/>
                <w:szCs w:val="16"/>
                <w:lang w:eastAsia="en-US"/>
              </w:rPr>
              <w:t xml:space="preserve">Зміна допустимих меж для показника "Об'єм, що витягається". Відповідно до вимог монографії </w:t>
            </w:r>
            <w:r>
              <w:rPr>
                <w:rFonts w:ascii="Arial" w:hAnsi="Arial" w:cs="Arial"/>
                <w:bCs/>
                <w:sz w:val="16"/>
                <w:szCs w:val="16"/>
                <w:lang w:val="en-US" w:eastAsia="en-US"/>
              </w:rPr>
              <w:t>Ph</w:t>
            </w:r>
            <w:r>
              <w:rPr>
                <w:rFonts w:ascii="Arial" w:hAnsi="Arial" w:cs="Arial"/>
                <w:bCs/>
                <w:sz w:val="16"/>
                <w:szCs w:val="16"/>
                <w:lang w:eastAsia="en-US"/>
              </w:rPr>
              <w:t xml:space="preserve">. </w:t>
            </w:r>
            <w:r>
              <w:rPr>
                <w:rFonts w:ascii="Arial" w:hAnsi="Arial" w:cs="Arial"/>
                <w:bCs/>
                <w:sz w:val="16"/>
                <w:szCs w:val="16"/>
                <w:lang w:val="en-US" w:eastAsia="en-US"/>
              </w:rPr>
              <w:t>Eur</w:t>
            </w:r>
            <w:r>
              <w:rPr>
                <w:rFonts w:ascii="Arial" w:hAnsi="Arial" w:cs="Arial"/>
                <w:bCs/>
                <w:sz w:val="16"/>
                <w:szCs w:val="16"/>
                <w:lang w:eastAsia="en-US"/>
              </w:rPr>
              <w:t>. 2.9.17 "</w:t>
            </w:r>
            <w:r>
              <w:rPr>
                <w:rFonts w:ascii="Arial" w:hAnsi="Arial" w:cs="Arial"/>
                <w:bCs/>
                <w:sz w:val="16"/>
                <w:szCs w:val="16"/>
                <w:lang w:val="en-US" w:eastAsia="en-US"/>
              </w:rPr>
              <w:t>Test</w:t>
            </w:r>
            <w:r>
              <w:rPr>
                <w:rFonts w:ascii="Arial" w:hAnsi="Arial" w:cs="Arial"/>
                <w:bCs/>
                <w:sz w:val="16"/>
                <w:szCs w:val="16"/>
                <w:lang w:eastAsia="en-US"/>
              </w:rPr>
              <w:t xml:space="preserve"> </w:t>
            </w:r>
            <w:r>
              <w:rPr>
                <w:rFonts w:ascii="Arial" w:hAnsi="Arial" w:cs="Arial"/>
                <w:bCs/>
                <w:sz w:val="16"/>
                <w:szCs w:val="16"/>
                <w:lang w:val="en-US" w:eastAsia="en-US"/>
              </w:rPr>
              <w:t>for</w:t>
            </w:r>
            <w:r>
              <w:rPr>
                <w:rFonts w:ascii="Arial" w:hAnsi="Arial" w:cs="Arial"/>
                <w:bCs/>
                <w:sz w:val="16"/>
                <w:szCs w:val="16"/>
                <w:lang w:eastAsia="en-US"/>
              </w:rPr>
              <w:t xml:space="preserve"> </w:t>
            </w:r>
            <w:r>
              <w:rPr>
                <w:rFonts w:ascii="Arial" w:hAnsi="Arial" w:cs="Arial"/>
                <w:bCs/>
                <w:sz w:val="16"/>
                <w:szCs w:val="16"/>
                <w:lang w:val="en-US" w:eastAsia="en-US"/>
              </w:rPr>
              <w:t>extractable</w:t>
            </w:r>
            <w:r>
              <w:rPr>
                <w:rFonts w:ascii="Arial" w:hAnsi="Arial" w:cs="Arial"/>
                <w:bCs/>
                <w:sz w:val="16"/>
                <w:szCs w:val="16"/>
                <w:lang w:eastAsia="en-US"/>
              </w:rPr>
              <w:t xml:space="preserve"> </w:t>
            </w:r>
            <w:r>
              <w:rPr>
                <w:rFonts w:ascii="Arial" w:hAnsi="Arial" w:cs="Arial"/>
                <w:bCs/>
                <w:sz w:val="16"/>
                <w:szCs w:val="16"/>
                <w:lang w:val="en-US" w:eastAsia="en-US"/>
              </w:rPr>
              <w:t>volume</w:t>
            </w:r>
            <w:r>
              <w:rPr>
                <w:rFonts w:ascii="Arial" w:hAnsi="Arial" w:cs="Arial"/>
                <w:bCs/>
                <w:sz w:val="16"/>
                <w:szCs w:val="16"/>
                <w:lang w:eastAsia="en-US"/>
              </w:rPr>
              <w:t xml:space="preserve"> </w:t>
            </w:r>
            <w:r>
              <w:rPr>
                <w:rFonts w:ascii="Arial" w:hAnsi="Arial" w:cs="Arial"/>
                <w:bCs/>
                <w:sz w:val="16"/>
                <w:szCs w:val="16"/>
                <w:lang w:val="en-US" w:eastAsia="en-US"/>
              </w:rPr>
              <w:t>of</w:t>
            </w:r>
            <w:r>
              <w:rPr>
                <w:rFonts w:ascii="Arial" w:hAnsi="Arial" w:cs="Arial"/>
                <w:bCs/>
                <w:sz w:val="16"/>
                <w:szCs w:val="16"/>
                <w:lang w:eastAsia="en-US"/>
              </w:rPr>
              <w:t xml:space="preserve"> </w:t>
            </w:r>
            <w:r>
              <w:rPr>
                <w:rFonts w:ascii="Arial" w:hAnsi="Arial" w:cs="Arial"/>
                <w:bCs/>
                <w:sz w:val="16"/>
                <w:szCs w:val="16"/>
                <w:lang w:val="en-US" w:eastAsia="en-US"/>
              </w:rPr>
              <w:t>parenteral</w:t>
            </w:r>
            <w:r>
              <w:rPr>
                <w:rFonts w:ascii="Arial" w:hAnsi="Arial" w:cs="Arial"/>
                <w:bCs/>
                <w:sz w:val="16"/>
                <w:szCs w:val="16"/>
                <w:lang w:eastAsia="en-US"/>
              </w:rPr>
              <w:t xml:space="preserve"> </w:t>
            </w:r>
            <w:r>
              <w:rPr>
                <w:rFonts w:ascii="Arial" w:hAnsi="Arial" w:cs="Arial"/>
                <w:bCs/>
                <w:sz w:val="16"/>
                <w:szCs w:val="16"/>
                <w:lang w:val="en-US" w:eastAsia="en-US"/>
              </w:rPr>
              <w:t>preparations</w:t>
            </w:r>
            <w:r>
              <w:rPr>
                <w:rFonts w:ascii="Arial" w:hAnsi="Arial" w:cs="Arial"/>
                <w:bCs/>
                <w:sz w:val="16"/>
                <w:szCs w:val="16"/>
                <w:lang w:eastAsia="en-US"/>
              </w:rPr>
              <w:t xml:space="preserve">" об'єм кожного контейнера повинен бути не менше номінального ("Об'єм, виміряний для кожного з контейнерів, не менше номінального об'єму"). Відповідно до вищезазначених вимог, запис щодо об'єму, що витягується, змінено на ≥ 3 мл (картриджі) та ≥ 10 мл (флакони) (номінальний об'єм - 3 мл та 10 мл відповідно).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Відповідна зміна стосується ЛЗ Генсулін Н упакованого по 3 мл в картриджі. Змінено опис методу випробування для параметру "Глибина введення поршня". При цьому змін в методі випробування не відбулося, використано більш загальне викладення методу випробування в реєстраційній документації. Також вилучено вимоги щодо періодичності проведення випробувань, яка визначається внутрішнім аналізом ризиків відповідно до системи якості </w:t>
            </w:r>
            <w:r>
              <w:rPr>
                <w:rFonts w:ascii="Arial" w:hAnsi="Arial" w:cs="Arial"/>
                <w:bCs/>
                <w:sz w:val="16"/>
                <w:szCs w:val="16"/>
                <w:lang w:val="en-US" w:eastAsia="en-US"/>
              </w:rPr>
              <w:t>Bioton</w:t>
            </w:r>
            <w:r>
              <w:rPr>
                <w:rFonts w:ascii="Arial" w:hAnsi="Arial" w:cs="Arial"/>
                <w:bCs/>
                <w:sz w:val="16"/>
                <w:szCs w:val="16"/>
                <w:lang w:eastAsia="en-US"/>
              </w:rPr>
              <w:t xml:space="preserve"> </w:t>
            </w:r>
            <w:r>
              <w:rPr>
                <w:rFonts w:ascii="Arial" w:hAnsi="Arial" w:cs="Arial"/>
                <w:bCs/>
                <w:sz w:val="16"/>
                <w:szCs w:val="16"/>
                <w:lang w:val="en-US" w:eastAsia="en-US"/>
              </w:rPr>
              <w:t>S</w:t>
            </w:r>
            <w:r>
              <w:rPr>
                <w:rFonts w:ascii="Arial" w:hAnsi="Arial" w:cs="Arial"/>
                <w:bCs/>
                <w:sz w:val="16"/>
                <w:szCs w:val="16"/>
                <w:lang w:eastAsia="en-US"/>
              </w:rPr>
              <w:t>.</w:t>
            </w:r>
            <w:r>
              <w:rPr>
                <w:rFonts w:ascii="Arial" w:hAnsi="Arial" w:cs="Arial"/>
                <w:bCs/>
                <w:sz w:val="16"/>
                <w:szCs w:val="16"/>
                <w:lang w:val="en-US" w:eastAsia="en-US"/>
              </w:rPr>
              <w:t>A</w:t>
            </w:r>
            <w:r>
              <w:rPr>
                <w:rFonts w:ascii="Arial" w:hAnsi="Arial" w:cs="Arial"/>
                <w:bCs/>
                <w:sz w:val="16"/>
                <w:szCs w:val="16"/>
                <w:lang w:eastAsia="en-US"/>
              </w:rPr>
              <w:t>.</w:t>
            </w:r>
          </w:p>
          <w:p w:rsidR="003D03F3" w:rsidRDefault="003D03F3">
            <w:pPr>
              <w:autoSpaceDE w:val="0"/>
              <w:autoSpaceDN w:val="0"/>
              <w:adjustRightInd w:val="0"/>
              <w:jc w:val="center"/>
              <w:rPr>
                <w:rFonts w:ascii="Arial" w:hAnsi="Arial" w:cs="Arial"/>
                <w:bCs/>
                <w:sz w:val="16"/>
                <w:szCs w:val="16"/>
                <w:lang w:eastAsia="en-US"/>
              </w:rPr>
            </w:pPr>
            <w:r>
              <w:rPr>
                <w:rFonts w:ascii="Arial" w:hAnsi="Arial" w:cs="Arial"/>
                <w:bCs/>
                <w:sz w:val="16"/>
                <w:szCs w:val="16"/>
                <w:lang w:eastAsia="en-US"/>
              </w:rP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w:t>
            </w:r>
          </w:p>
          <w:p w:rsidR="003D03F3" w:rsidRDefault="003D03F3">
            <w:pPr>
              <w:autoSpaceDE w:val="0"/>
              <w:autoSpaceDN w:val="0"/>
              <w:adjustRightInd w:val="0"/>
              <w:jc w:val="center"/>
              <w:rPr>
                <w:rFonts w:ascii="Arial" w:hAnsi="Arial" w:cs="Arial"/>
                <w:bCs/>
                <w:sz w:val="16"/>
                <w:szCs w:val="16"/>
                <w:lang w:eastAsia="en-US"/>
              </w:rPr>
            </w:pPr>
            <w:r>
              <w:rPr>
                <w:rFonts w:ascii="Arial" w:hAnsi="Arial" w:cs="Arial"/>
                <w:bCs/>
                <w:sz w:val="16"/>
                <w:szCs w:val="16"/>
                <w:lang w:eastAsia="en-US"/>
              </w:rPr>
              <w:t xml:space="preserve">Відповідна зміна стосується ЛЗ Генсулін Н упакованого по 3 мл в картриджі. Внесення змін до методу випробування у процесі виробництва "Цілісність герметизації контейнера"- введення більш загального опису та видалення інформації про періодичність випробування. При цьому змін в методі випробування не відбулося, змінено лише викладення опису методу випробування в реєстраційній документації. Вимоги щодо періодичності проведення випробування видалено на основі внутрішнього аналізу ризиків відповідно до системи якості </w:t>
            </w:r>
            <w:r>
              <w:rPr>
                <w:rFonts w:ascii="Arial" w:hAnsi="Arial" w:cs="Arial"/>
                <w:bCs/>
                <w:sz w:val="16"/>
                <w:szCs w:val="16"/>
                <w:lang w:val="en-US" w:eastAsia="en-US"/>
              </w:rPr>
              <w:t>Bioton</w:t>
            </w:r>
            <w:r>
              <w:rPr>
                <w:rFonts w:ascii="Arial" w:hAnsi="Arial" w:cs="Arial"/>
                <w:bCs/>
                <w:sz w:val="16"/>
                <w:szCs w:val="16"/>
                <w:lang w:eastAsia="en-US"/>
              </w:rPr>
              <w:t xml:space="preserve"> </w:t>
            </w:r>
            <w:r>
              <w:rPr>
                <w:rFonts w:ascii="Arial" w:hAnsi="Arial" w:cs="Arial"/>
                <w:bCs/>
                <w:sz w:val="16"/>
                <w:szCs w:val="16"/>
                <w:lang w:val="en-US" w:eastAsia="en-US"/>
              </w:rPr>
              <w:t>S</w:t>
            </w:r>
            <w:r>
              <w:rPr>
                <w:rFonts w:ascii="Arial" w:hAnsi="Arial" w:cs="Arial"/>
                <w:bCs/>
                <w:sz w:val="16"/>
                <w:szCs w:val="16"/>
                <w:lang w:eastAsia="en-US"/>
              </w:rPr>
              <w:t>.</w:t>
            </w:r>
            <w:r>
              <w:rPr>
                <w:rFonts w:ascii="Arial" w:hAnsi="Arial" w:cs="Arial"/>
                <w:bCs/>
                <w:sz w:val="16"/>
                <w:szCs w:val="16"/>
                <w:lang w:val="en-US" w:eastAsia="en-US"/>
              </w:rPr>
              <w:t>A</w:t>
            </w:r>
            <w:r>
              <w:rPr>
                <w:rFonts w:ascii="Arial" w:hAnsi="Arial" w:cs="Arial"/>
                <w:bCs/>
                <w:sz w:val="16"/>
                <w:szCs w:val="16"/>
                <w:lang w:eastAsia="en-US"/>
              </w:rPr>
              <w:t>.</w:t>
            </w:r>
          </w:p>
          <w:p w:rsidR="003D03F3" w:rsidRDefault="003D03F3">
            <w:pPr>
              <w:autoSpaceDE w:val="0"/>
              <w:autoSpaceDN w:val="0"/>
              <w:adjustRightInd w:val="0"/>
              <w:jc w:val="center"/>
              <w:rPr>
                <w:rFonts w:ascii="Arial" w:hAnsi="Arial" w:cs="Arial"/>
                <w:bCs/>
                <w:sz w:val="16"/>
                <w:szCs w:val="16"/>
                <w:lang w:eastAsia="en-US"/>
              </w:rPr>
            </w:pPr>
            <w:r>
              <w:rPr>
                <w:rFonts w:ascii="Arial" w:hAnsi="Arial" w:cs="Arial"/>
                <w:bCs/>
                <w:sz w:val="16"/>
                <w:szCs w:val="16"/>
                <w:lang w:eastAsia="en-US"/>
              </w:rP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Опис методу випробування "Механічні включення. Видимі частинки" було змінено: замість попереднього опису використано посилання на поточну монографію </w:t>
            </w:r>
            <w:r>
              <w:rPr>
                <w:rFonts w:ascii="Arial" w:hAnsi="Arial" w:cs="Arial"/>
                <w:bCs/>
                <w:sz w:val="16"/>
                <w:szCs w:val="16"/>
                <w:lang w:val="en-US" w:eastAsia="en-US"/>
              </w:rPr>
              <w:t>Ph</w:t>
            </w:r>
            <w:r>
              <w:rPr>
                <w:rFonts w:ascii="Arial" w:hAnsi="Arial" w:cs="Arial"/>
                <w:bCs/>
                <w:sz w:val="16"/>
                <w:szCs w:val="16"/>
                <w:lang w:eastAsia="en-US"/>
              </w:rPr>
              <w:t xml:space="preserve">. </w:t>
            </w:r>
            <w:r>
              <w:rPr>
                <w:rFonts w:ascii="Arial" w:hAnsi="Arial" w:cs="Arial"/>
                <w:bCs/>
                <w:sz w:val="16"/>
                <w:szCs w:val="16"/>
                <w:lang w:val="en-US" w:eastAsia="en-US"/>
              </w:rPr>
              <w:t>Eur</w:t>
            </w:r>
            <w:r>
              <w:rPr>
                <w:rFonts w:ascii="Arial" w:hAnsi="Arial" w:cs="Arial"/>
                <w:bCs/>
                <w:sz w:val="16"/>
                <w:szCs w:val="16"/>
                <w:lang w:eastAsia="en-US"/>
              </w:rPr>
              <w:t>. 2.9.20 "</w:t>
            </w:r>
            <w:r>
              <w:rPr>
                <w:rFonts w:ascii="Arial" w:hAnsi="Arial" w:cs="Arial"/>
                <w:bCs/>
                <w:sz w:val="16"/>
                <w:szCs w:val="16"/>
                <w:lang w:val="en-US" w:eastAsia="en-US"/>
              </w:rPr>
              <w:t>Particulate</w:t>
            </w:r>
            <w:r>
              <w:rPr>
                <w:rFonts w:ascii="Arial" w:hAnsi="Arial" w:cs="Arial"/>
                <w:bCs/>
                <w:sz w:val="16"/>
                <w:szCs w:val="16"/>
                <w:lang w:eastAsia="en-US"/>
              </w:rPr>
              <w:t xml:space="preserve"> </w:t>
            </w:r>
            <w:r>
              <w:rPr>
                <w:rFonts w:ascii="Arial" w:hAnsi="Arial" w:cs="Arial"/>
                <w:bCs/>
                <w:sz w:val="16"/>
                <w:szCs w:val="16"/>
                <w:lang w:val="en-US" w:eastAsia="en-US"/>
              </w:rPr>
              <w:t>contamination</w:t>
            </w:r>
            <w:r>
              <w:rPr>
                <w:rFonts w:ascii="Arial" w:hAnsi="Arial" w:cs="Arial"/>
                <w:bCs/>
                <w:sz w:val="16"/>
                <w:szCs w:val="16"/>
                <w:lang w:eastAsia="en-US"/>
              </w:rPr>
              <w:t xml:space="preserve">: </w:t>
            </w:r>
            <w:r>
              <w:rPr>
                <w:rFonts w:ascii="Arial" w:hAnsi="Arial" w:cs="Arial"/>
                <w:bCs/>
                <w:sz w:val="16"/>
                <w:szCs w:val="16"/>
                <w:lang w:val="en-US" w:eastAsia="en-US"/>
              </w:rPr>
              <w:t>visible</w:t>
            </w:r>
            <w:r>
              <w:rPr>
                <w:rFonts w:ascii="Arial" w:hAnsi="Arial" w:cs="Arial"/>
                <w:bCs/>
                <w:sz w:val="16"/>
                <w:szCs w:val="16"/>
                <w:lang w:eastAsia="en-US"/>
              </w:rPr>
              <w:t xml:space="preserve"> </w:t>
            </w:r>
            <w:r>
              <w:rPr>
                <w:rFonts w:ascii="Arial" w:hAnsi="Arial" w:cs="Arial"/>
                <w:bCs/>
                <w:sz w:val="16"/>
                <w:szCs w:val="16"/>
                <w:lang w:val="en-US" w:eastAsia="en-US"/>
              </w:rPr>
              <w:t>particles</w:t>
            </w:r>
            <w:r>
              <w:rPr>
                <w:rFonts w:ascii="Arial" w:hAnsi="Arial" w:cs="Arial"/>
                <w:bCs/>
                <w:sz w:val="16"/>
                <w:szCs w:val="16"/>
                <w:lang w:eastAsia="en-US"/>
              </w:rPr>
              <w:t xml:space="preserve">". При цьому змін в методі випробування не відбулося, змінено лише викладення опису методу випробування в реєстраційній документації. Також видалено вимоги щодо періодичності проведення випробування, яка визначається внутрішнім аналізом ризиків відповідно до системи якості </w:t>
            </w:r>
            <w:r>
              <w:rPr>
                <w:rFonts w:ascii="Arial" w:hAnsi="Arial" w:cs="Arial"/>
                <w:bCs/>
                <w:sz w:val="16"/>
                <w:szCs w:val="16"/>
                <w:lang w:val="en-US" w:eastAsia="en-US"/>
              </w:rPr>
              <w:t>Bioton</w:t>
            </w:r>
            <w:r>
              <w:rPr>
                <w:rFonts w:ascii="Arial" w:hAnsi="Arial" w:cs="Arial"/>
                <w:bCs/>
                <w:sz w:val="16"/>
                <w:szCs w:val="16"/>
                <w:lang w:eastAsia="en-US"/>
              </w:rPr>
              <w:t xml:space="preserve"> </w:t>
            </w:r>
            <w:r>
              <w:rPr>
                <w:rFonts w:ascii="Arial" w:hAnsi="Arial" w:cs="Arial"/>
                <w:bCs/>
                <w:sz w:val="16"/>
                <w:szCs w:val="16"/>
                <w:lang w:val="en-US" w:eastAsia="en-US"/>
              </w:rPr>
              <w:t>S</w:t>
            </w:r>
            <w:r>
              <w:rPr>
                <w:rFonts w:ascii="Arial" w:hAnsi="Arial" w:cs="Arial"/>
                <w:bCs/>
                <w:sz w:val="16"/>
                <w:szCs w:val="16"/>
                <w:lang w:eastAsia="en-US"/>
              </w:rPr>
              <w:t>.</w:t>
            </w:r>
            <w:r>
              <w:rPr>
                <w:rFonts w:ascii="Arial" w:hAnsi="Arial" w:cs="Arial"/>
                <w:bCs/>
                <w:sz w:val="16"/>
                <w:szCs w:val="16"/>
                <w:lang w:val="en-US" w:eastAsia="en-US"/>
              </w:rPr>
              <w:t>A</w:t>
            </w:r>
            <w:r>
              <w:rPr>
                <w:rFonts w:ascii="Arial" w:hAnsi="Arial" w:cs="Arial"/>
                <w:bCs/>
                <w:sz w:val="16"/>
                <w:szCs w:val="16"/>
                <w:lang w:eastAsia="en-US"/>
              </w:rPr>
              <w:t>.</w:t>
            </w:r>
          </w:p>
          <w:p w:rsidR="003D03F3" w:rsidRDefault="003D03F3">
            <w:pPr>
              <w:autoSpaceDE w:val="0"/>
              <w:autoSpaceDN w:val="0"/>
              <w:adjustRightInd w:val="0"/>
              <w:jc w:val="center"/>
              <w:rPr>
                <w:rFonts w:ascii="Arial" w:hAnsi="Arial" w:cs="Arial"/>
                <w:bCs/>
                <w:sz w:val="16"/>
                <w:szCs w:val="16"/>
                <w:lang w:eastAsia="en-US"/>
              </w:rPr>
            </w:pPr>
            <w:r>
              <w:rPr>
                <w:rFonts w:ascii="Arial" w:hAnsi="Arial" w:cs="Arial"/>
                <w:bCs/>
                <w:sz w:val="16"/>
                <w:szCs w:val="16"/>
                <w:lang w:eastAsia="en-US"/>
              </w:rP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w:t>
            </w:r>
          </w:p>
          <w:p w:rsidR="003D03F3" w:rsidRDefault="003D03F3">
            <w:pPr>
              <w:autoSpaceDE w:val="0"/>
              <w:autoSpaceDN w:val="0"/>
              <w:adjustRightInd w:val="0"/>
              <w:jc w:val="center"/>
              <w:rPr>
                <w:rFonts w:ascii="Arial" w:hAnsi="Arial" w:cs="Arial"/>
                <w:bCs/>
                <w:sz w:val="16"/>
                <w:szCs w:val="16"/>
                <w:lang w:eastAsia="en-US"/>
              </w:rPr>
            </w:pPr>
            <w:r>
              <w:rPr>
                <w:rFonts w:ascii="Arial" w:hAnsi="Arial" w:cs="Arial"/>
                <w:bCs/>
                <w:sz w:val="16"/>
                <w:szCs w:val="16"/>
                <w:lang w:eastAsia="en-US"/>
              </w:rPr>
              <w:t xml:space="preserve">Опис зовнішнього вигляду наповнених та упакованих картриджів та флаконів оновлено, об'єднано в один розділ "Упаковка та маркування" і спрощено. Вимоги щодо періодичності проведення випробування видалено на основі внутрішнього аналізу ризиків відповідно до системи якості </w:t>
            </w:r>
            <w:r>
              <w:rPr>
                <w:rFonts w:ascii="Arial" w:hAnsi="Arial" w:cs="Arial"/>
                <w:bCs/>
                <w:sz w:val="16"/>
                <w:szCs w:val="16"/>
                <w:lang w:val="en-US" w:eastAsia="en-US"/>
              </w:rPr>
              <w:t>Bioton</w:t>
            </w:r>
            <w:r>
              <w:rPr>
                <w:rFonts w:ascii="Arial" w:hAnsi="Arial" w:cs="Arial"/>
                <w:bCs/>
                <w:sz w:val="16"/>
                <w:szCs w:val="16"/>
                <w:lang w:eastAsia="en-US"/>
              </w:rPr>
              <w:t xml:space="preserve"> </w:t>
            </w:r>
            <w:r>
              <w:rPr>
                <w:rFonts w:ascii="Arial" w:hAnsi="Arial" w:cs="Arial"/>
                <w:bCs/>
                <w:sz w:val="16"/>
                <w:szCs w:val="16"/>
                <w:lang w:val="en-US" w:eastAsia="en-US"/>
              </w:rPr>
              <w:t>S</w:t>
            </w:r>
            <w:r>
              <w:rPr>
                <w:rFonts w:ascii="Arial" w:hAnsi="Arial" w:cs="Arial"/>
                <w:bCs/>
                <w:sz w:val="16"/>
                <w:szCs w:val="16"/>
                <w:lang w:eastAsia="en-US"/>
              </w:rPr>
              <w:t>.</w:t>
            </w:r>
            <w:r>
              <w:rPr>
                <w:rFonts w:ascii="Arial" w:hAnsi="Arial" w:cs="Arial"/>
                <w:bCs/>
                <w:sz w:val="16"/>
                <w:szCs w:val="16"/>
                <w:lang w:val="en-US" w:eastAsia="en-US"/>
              </w:rPr>
              <w:t>A</w:t>
            </w:r>
            <w:r>
              <w:rPr>
                <w:rFonts w:ascii="Arial" w:hAnsi="Arial" w:cs="Arial"/>
                <w:bCs/>
                <w:sz w:val="16"/>
                <w:szCs w:val="16"/>
                <w:lang w:eastAsia="en-US"/>
              </w:rPr>
              <w:t>.</w:t>
            </w:r>
          </w:p>
          <w:p w:rsidR="003D03F3" w:rsidRDefault="003D03F3">
            <w:pPr>
              <w:autoSpaceDE w:val="0"/>
              <w:autoSpaceDN w:val="0"/>
              <w:adjustRightInd w:val="0"/>
              <w:jc w:val="center"/>
              <w:rPr>
                <w:rFonts w:ascii="Arial" w:hAnsi="Arial" w:cs="Arial"/>
                <w:bCs/>
                <w:sz w:val="16"/>
                <w:szCs w:val="16"/>
                <w:lang w:eastAsia="en-US"/>
              </w:rPr>
            </w:pPr>
            <w:r>
              <w:rPr>
                <w:rFonts w:ascii="Arial" w:hAnsi="Arial" w:cs="Arial"/>
                <w:bCs/>
                <w:sz w:val="16"/>
                <w:szCs w:val="16"/>
                <w:lang w:eastAsia="en-US"/>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w:t>
            </w:r>
          </w:p>
          <w:p w:rsidR="003D03F3" w:rsidRDefault="003D03F3">
            <w:pPr>
              <w:autoSpaceDE w:val="0"/>
              <w:autoSpaceDN w:val="0"/>
              <w:adjustRightInd w:val="0"/>
              <w:jc w:val="center"/>
              <w:rPr>
                <w:rFonts w:ascii="Arial" w:hAnsi="Arial" w:cs="Arial"/>
                <w:bCs/>
                <w:sz w:val="16"/>
                <w:szCs w:val="16"/>
                <w:lang w:val="en-US" w:eastAsia="en-US"/>
              </w:rPr>
            </w:pPr>
            <w:r>
              <w:rPr>
                <w:rFonts w:ascii="Arial" w:hAnsi="Arial" w:cs="Arial"/>
                <w:bCs/>
                <w:sz w:val="16"/>
                <w:szCs w:val="16"/>
                <w:lang w:eastAsia="en-US"/>
              </w:rPr>
              <w:t xml:space="preserve">Внесення незначної зміни в методику "Механічні включення. Видимі частинки" (нерозчинні домішки) шляхом заміни кислоти хлористоводневої на кислоту аскорбінову на етапі підготовки зразка. Зміна типу кислоти полягає в заміні кислоти хлористоводневої на аскорбінову кислоту, яка є більш безпечною для використання в виробничих умовах. Зміна поточної підготовки зразка для випробування "Механічні включення. Видимі частинки" стосується випробувань у </w:t>
            </w:r>
            <w:r>
              <w:rPr>
                <w:rFonts w:ascii="Arial" w:hAnsi="Arial" w:cs="Arial"/>
                <w:bCs/>
                <w:sz w:val="16"/>
                <w:szCs w:val="16"/>
                <w:lang w:val="en-US" w:eastAsia="en-US"/>
              </w:rPr>
              <w:t>IPC</w:t>
            </w:r>
            <w:r>
              <w:rPr>
                <w:rFonts w:ascii="Arial" w:hAnsi="Arial" w:cs="Arial"/>
                <w:bCs/>
                <w:sz w:val="16"/>
                <w:szCs w:val="16"/>
                <w:lang w:eastAsia="en-US"/>
              </w:rPr>
              <w:t xml:space="preserve"> (випробування в процесі виробництва), а не випробування готового лікарського засобу. </w:t>
            </w:r>
            <w:r>
              <w:rPr>
                <w:rFonts w:ascii="Arial" w:hAnsi="Arial" w:cs="Arial"/>
                <w:bCs/>
                <w:sz w:val="16"/>
                <w:szCs w:val="16"/>
                <w:lang w:val="en-US" w:eastAsia="en-US"/>
              </w:rPr>
              <w:t>Аналітичний метод, описаний у 3.2.P.5.2, залишається без змін.</w:t>
            </w:r>
          </w:p>
          <w:p w:rsidR="003D03F3" w:rsidRDefault="003D03F3">
            <w:pPr>
              <w:pStyle w:val="110"/>
              <w:tabs>
                <w:tab w:val="left" w:pos="12600"/>
              </w:tabs>
              <w:jc w:val="center"/>
              <w:rPr>
                <w:rFonts w:ascii="Arial" w:hAnsi="Arial" w:cs="Arial"/>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UA/1978/01/01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ГЕНСУЛІН М30</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суспензія для ін'єкцій, 100 ОД/мл; in bulk: по 10 мл у скляному флаконі; по 150 флаконів у пластиковій касеті; по 1 касеті у коробці; по 3 мл в картриджі; по 600 картриджів у пластиковій касеті; по 1 касеті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БІОТОН С.А.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Польща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БІОТОН С.А., Польща (виробник, відповідальний за виробництво, первинне і вторинне пакування, контроль та випуск серії); Інститут Біотехнології та Антибіотиків, Польща (виробник, відповідальний за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випробування "Мікроскопічне зображення кристалів" вилучено зі переліку випробувань, що контролюються у процесі виробництва (IPC). Випробування вилучене як незначне випробування, випробування " Мікроскопічне зображення кристалів" виконується в кінцевому лікарському засобі відповідно до затвердженої специфікації лікарського засобу Генсулін М30. Контроль мікроскопічного зображення на більш ранній стадії виробництва не покращує якість або контроль поточного виробничого процесу.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Випробування "Гомогенність" вилучено зі переліку випробувань, що контролюються у процесі виробництва (IPC) як незначущий параметр. Вилучення випробування проведено на основі огляду історичних даних, які довели, що лікарський засіб виготовляється високовідтворюваним способом, та показали, що на кожному з виробничих етапів вміст AФI є практично однаковим (що підтверджується дуже низьким значенням RSD). Незалежно від точки відбору, вміст AФI не змінюється – однорідність не змінюється під час процесу. Отже, отримані результати підтвердили, що контроль однорідності під час процесу не є необхідним.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додавання параметру контролю у процесі виробництва - крутний момент закручування кришки з межею&gt; 50 мН*м. Тестування цього параметра дозволяє підтвердити цілісність кришки лікарського засобу. Критерії прийнятності для даного тесту прийняті на основі досліджень фармацевтичної розробки. Мінімальна сила (крутний момент), яка необхідна для закриття/закручування кришки, була обрана на основі емпіричних даних.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Відповідна зміна стосується ЛЗ Генсулін М30 упакованого по 3 мл в картриджі. З метою приведення до вимог Монографії USP "Elastomeric component functional suitability in parenteral product packaging/delivery system", розділ 6 "Plunger functional suitability tests", метод випробування сили розриву поршня та сили ковзання поршня було змінено з випробування на порожніх картриджах на випробування на картриджах, наповнених лікарським засобом, опис випробування також приведений до зазначеної монографії USP. На основі приведення до монографії USP, були змінені допустимі межі для сили розриву поршня та сили ковзання поршня. Також вилучено вимоги щодо періодичності проведення випробувань, яка визначається внутрішнім аналізом ризиків відповідно до системи якості Bioton S.A.</w:t>
            </w:r>
            <w:r>
              <w:rPr>
                <w:rFonts w:ascii="Arial" w:hAnsi="Arial" w:cs="Arial"/>
                <w:sz w:val="16"/>
                <w:szCs w:val="16"/>
              </w:rPr>
              <w:b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Внесення змін до опису випробування у процесі виробництва - біонавантаження перед стерилізаційною фільтрацією - шляхом додавання посилання на оновлену версію Ph. Eur. (2.6.12). Викладення опису методу було приведено до поточної монографії Ph. Eur. 2.6.12 "Microbiological examination of non-sterile products: microbial enumeration tests" (метод мембранної фільтрації 5-2-1). При цьому змін в методі випробування не відбулося, змінено лише викладення опису методу випробування в реєстраційній документації.</w:t>
            </w:r>
            <w:r>
              <w:rPr>
                <w:rFonts w:ascii="Arial" w:hAnsi="Arial" w:cs="Arial"/>
                <w:sz w:val="16"/>
                <w:szCs w:val="16"/>
              </w:rPr>
              <w:b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внесення змін до опису випробування у процесі виробництва -pH -· шляхом додавання посилання на оновлену версію Ph. Eur. (2.2.3) та видалення інформації про періодичність випробування. Опис методу випробування pH було змінено: замість попереднього опису використано посилання на поточну монографію Ph.Eur. 2.2.3 “Potentiometric determination of pH”. При цьому змін в методі випробування не відбулося, змінено лише викладення опису методу випробування в реєстраційній документації.</w:t>
            </w:r>
            <w:r>
              <w:rPr>
                <w:rFonts w:ascii="Arial" w:hAnsi="Arial" w:cs="Arial"/>
                <w:sz w:val="16"/>
                <w:szCs w:val="16"/>
              </w:rPr>
              <w:b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Внесення змін до опису випробування у процесі виробництва - об'єм, що витягається - шляхом додавання посилання на оновлену версію Ph. Eur. (2.9.17) та видалення вимоги щодо періодичності випробування. Опис методу випробування "Об'єм, що витягається" було змінено: замість попереднього опису використано посилання на поточну монографію Ph. Eur. 2.9.17 "Test for extractable volume of parenteral preparations". При цьому змін в методі випробування не відбулося, змінено лише викладення опису методу випробування в реєстраційній документації. Також видалено вимоги щодо періодичності проведення випробування, яка визначається внутрішнім аналізом ризиків відповідно до системи якості Bioton S.A.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Зміна допустимих меж для показника "Об'єм, що витягається". Відповідно до вимог монографії Ph. Eur. 2.9.17 "Test for extractable volume of parenteral preparations" об'єм кожного контейнера повинен бути не менше номінального ("Об'єм, виміряний для кожного з контейнерів, не менше номінального об'єму"). </w:t>
            </w:r>
            <w:r>
              <w:rPr>
                <w:rStyle w:val="csab6e076957"/>
                <w:color w:val="auto"/>
                <w:sz w:val="16"/>
                <w:szCs w:val="16"/>
              </w:rPr>
              <w:t>Відповідно до вищезазначених вимог, запис щодо об'єму, що витягується, змінено на ≥ 3 мл (картриджі) та ≥ 10 мл (флакони) (номінальний об'єм - 3 мл та 10 мл відповідно).</w:t>
            </w:r>
            <w:r>
              <w:rPr>
                <w:rFonts w:ascii="Arial" w:hAnsi="Arial" w:cs="Arial"/>
                <w:sz w:val="16"/>
                <w:szCs w:val="16"/>
              </w:rPr>
              <w:b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Відповідна зміна стосується ЛЗ Генсулін М30 упакованого по 3 мл в картриджі. Змінено опис методу випробування для параметру "Глибина введення поршня". При цьому змін в методі випробування не відбулося, використано більш загальне викладення методу випробування в реєстраційній документації. Також вилучено вимоги щодо періодичності проведення випробувань, яка визначається внутрішнім аналізом ризиків відповідно до системи якості Bioton S.A.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Відповідна зміна стосується ЛЗ Генсулін М30 упакованого по 3 мл в картриджі. Внесення змін до методу випробування у процесі виробництва "Цілісність герметизації контейнера"- введення більш загального опису та видалення інформації про періодичність випробування. При цьому змін в методі випробування не відбулося, змінено лише викладення опису методу випробування в реєстраційній документації. Вимоги щодо періодичності проведення випробування видалено на основі внутрішнього аналізу ризиків відповідно до системи якості Bioton S.A.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Опис методу випробування "Механічні включення. Видимі частинки" було змінено: замість попереднього опису використано посилання на поточну монографію Ph. Eur. 2.9.20 "Particulate contamination: visible particles". При цьому змін в методі випробування не відбулося, змінено лише викладення опису методу випробування в реєстраційній документації. Також видалено вимоги щодо періодичності проведення випробування, яка визначається внутрішнім аналізом ризиків відповідно до системи якості Bioton S.A.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w:t>
            </w:r>
            <w:r>
              <w:rPr>
                <w:rFonts w:ascii="Arial" w:hAnsi="Arial" w:cs="Arial"/>
                <w:sz w:val="16"/>
                <w:szCs w:val="16"/>
              </w:rPr>
              <w:br/>
              <w:t xml:space="preserve">Опис зовнішнього вигляду наповнених та упакованих картриджів та флаконів оновлено, об'єднано в один розділ "Упаковка та маркування" і спрощено. Вимоги щодо періодичності проведення випробування видалено на основі внутрішнього аналізу ризиків відповідно до системи якості Bioton S.A. Зміни І типу - Зміни з якості. Готовий лікарський засіб. Контроль готового лікарського - </w:t>
            </w:r>
            <w:r>
              <w:rPr>
                <w:rFonts w:ascii="Arial" w:hAnsi="Arial" w:cs="Arial"/>
                <w:sz w:val="16"/>
                <w:szCs w:val="16"/>
              </w:rPr>
              <w:br/>
              <w:t xml:space="preserve">Внесення незначної зміни в методику "Механічні включення. Видимі частинки" (нерозчинні домішки) шляхом заміни кислоти хлористоводневої на кислоту аскорбінову на етапі підготовки зразка. Зміна типу кислоти полягає в заміні кислоти хлористоводневої на аскорбінову кислоту, яка є більш безпечною для використання в виробничих умовах. Зміна поточної підготовки зразка для випробування "Механічні включення. Видимі частинки" стосується випробувань у IPC (випробування в процесі виробництва), а не випробування готового лікарського засобу. Аналітичний метод, описаний у 3.2.P.5.2, залишається без змін.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UA/9809/01/01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ГЕНСУЛІН 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суспензія для ін'єкцій, 100 ОД/мл; по 10 мл у скляному флаконі; по 1 флакону в картонній пачці; по 3 мл в картриджі; по 5 картриджів у блістері; по 1 блістеру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БІОТОН С.А.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Польща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виробник, відповідальний за виробництво, первинне і вторинне пакування, контроль та випуск серії: БІОТОН С.А., Польща; виробник, відповідальний за контроль серії: Інститут Біотехнології та Антибіотиків,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Випробування " Мікроскопічне зображення кристалів" вилучено зі переліку випробувань, що контролюються у процесі виробництва (IPC). Випробування вилучене як незначне випробування, випробування " Мікроскопічне зображення кристалів" виконується в кінцевому лікарському засобі відповідно до затвердженої специфікації лікарського засобу Генсулін Н. Контроль мікроскопічного зображення на більш ранній стадії виробництва не покращує якість або контроль поточного виробничого процесу;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Випробування " Гомогенність" вилучено зі переліку випробувань, що контролюються у процесі виробництва (IPC) як незначущий параметр. Вилучення випробування проведено на основі огляду історичних даних, які довели, що лікарський засіб виготовляється високовідтворюваним способом, та показали, що на кожному з виробничих етапів вміст AФI є практично однаковим (що підтверджується дуже низьким значенням RSD). Незалежно від точки відбору, вміст AФI не змінюється – однорідність не змінюється під час процесу. Отже, отримані результати підтвердили, що контроль однорідності під час процесу не є необхідним;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Додавання параметру контролю у процесі виробництва - крутний момент закручування кришки з межею&gt; 50 мН*м. Тестування цього параметра дозволяє підтвердити цілісність кришки лікарського засобу. Критерії прийнятності для даного тесту прийняті на основі досліджень фармацевтичної розробки. Мінімальна сила (крутний момент), яка необхідна для закриття/закручування кришки, була обрана на основі емпіричних даних;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Відповідна зміна стосується ЛЗ Генсулін Н упакованого по 3 мл в картриджі. З метою приведення до вимог Монографії USP "Elastomeric component functional suitability in parenteral product packaging/delivery system", розділ 6 "Plunger functional suitability tests", метод випробування сили розриву поршня та сили ковзання поршня було змінено з випробування на порожніх картриджах на випробування на картриджах, наповнених лікарським засобом, опис випробування також приведений до зазначеної монографії USP. На основі приведення до монографії USP, були змінені допустимі межі для сили розриву поршня та сили ковзання поршня. Також вилучено вимоги щодо періодичності проведення випробувань, яка визначається внутрішнім аналізом ризиків відповідно до системи якості Bioton S.A.;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Внесення змін до опису випробування у процесі виробництва - біонавантаження перед стерилізаційною фільтрацією - шляхом додавання посилання на оновлену версію Ph. Eur. (2.6.12). Викладення опису методу було приведено до поточної монографії Ph. Eur. 2.6.12 "Microbiological examination of non-sterile products: microbial enumeration tests" (метод мембранної фільтрації 5-2-1). При цьому змін в методі випробування не відбулося, змінено лише викладення опису методу випробування в реєстраційній документації;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Внесення змін до опису випробування у процесі виробництва -pH -· шляхом додавання посилання на оновлену версію Ph. Eur. (2.2.3) та видалення інформації про періодичність випробування. Опис методу випробування pH було змінено: замість попереднього опису використано посилання на поточну монографію Ph.Eur. 2.2.3 “Potentiometric determination of pH”. При цьому змін в методі випробування не відбулося, змінено лише викладення опису методу випробування в реєстраційній документації;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Внесення змін до опису випробування у процесі виробництва - об'єм, що витягається - шляхом додавання посилання на оновлену версію Ph. Eur. (2.9.17) та видалення вимоги щодо періодичності випробування. Опис методу випробування "Об'єм, що витягається" було змінено: замість попереднього опису використано посилання на поточну монографію Ph. Eur. 2.9.17 "Test for extractable volume of parenteral preparations". При цьому змін в методі випробування не відбулося, змінено лише викладення опису методу випробування в реєстраційній документації. Також видалено вимоги щодо періодичності проведення випробування, яка визначається внутрішнім аналізом ризиків відповідно до системи якості Bioton S.A.;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Зміна допустимих меж для показника "Об'єм, що витягається". Відповідно до вимог монографії Ph. Eur. 2.9.17 "Test for extractable volume of parenteral preparations" об'єм кожного контейнера повинен бути не менше номінального ("Об'єм, виміряний для кожного з контейнерів, не менше номінального об'єму"). </w:t>
            </w:r>
            <w:r>
              <w:rPr>
                <w:rStyle w:val="csab6e076970"/>
                <w:color w:val="auto"/>
                <w:sz w:val="16"/>
                <w:szCs w:val="16"/>
              </w:rPr>
              <w:t xml:space="preserve">Відповідно до вищезазначених вимог, запис щодо об'єму, що витягується, змінено на ≥ 3 мл (картриджі) та ≥ 10 мл (флакони) (номінальний об'єм - 3 мл та 10 мл відповідно). </w:t>
            </w:r>
            <w:r>
              <w:rPr>
                <w:rFonts w:ascii="Arial" w:hAnsi="Arial" w:cs="Arial"/>
                <w:sz w:val="16"/>
                <w:szCs w:val="16"/>
              </w:rP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Відповідна зміна стосується ЛЗ Генсулін Н упакованого по 3 мл в картриджі. Змінено опис методу випробування для параметру "Глибина введення поршня". При цьому змін в методі випробування не відбулося, використано більш загальне викладення методу випробування в реєстраційній документації. Також вилучено вимоги щодо періодичності проведення випробувань, яка визначається внутрішнім аналізом ризиків відповідно до системи якості Bioton S.A.;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Відповідна зміна стосується ЛЗ Генсулін Н упакованого по 3 мл в картриджі. Внесення змін до методу випробування у процесі виробництва "Цілісність герметизації контейнера"- введення більш загального опису та видалення інформації про періодичність випробування. При цьому змін в методі випробування не відбулося, змінено лише викладення опису методу випробування в реєстраційній документації. Вимоги щодо періодичності проведення випробування видалено на основі внутрішнього аналізу ризиків відповідно до системи якості Bioton S.A.;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Опис методу випробування "Механічні включення. Видимі частинки" було змінено: замість попереднього опису використано посилання на поточну монографію Ph. Eur. 2.9.20 "Particulate contamination: visible particles". При цьому змін в методі випробування не відбулося, змінено лише викладення опису методу випробування в реєстраційній документації. Також видалено вимоги щодо періодичності проведення випробування, яка визначається внутрішнім аналізом ризиків відповідно до системи якості Bioton S.A.;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Опис зовнішнього вигляду наповнених та упакованих картриджів та флаконів оновлено, об'єднано в один розділ "Упаковка та маркування" і спрощено. Вимоги щодо періодичності проведення випробування видалено на основі внутрішнього аналізу ризиків відповідно до системи якості Bioton S.A.;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незначної зміни в методику "Механічні включення. Видимі частинки" (нерозчинні домішки) шляхом заміни кислоти хлористоводневої на кислоту аскорбінову на етапі підготовки зразка. Зміна типу кислоти полягає в заміні кислоти хлористоводневої на аскорбінову кислоту, яка є більш безпечною для використання в виробничих умовах. Зміна поточної підготовки зразка для випробування "Механічні включення. Видимі частинки" стосується випробувань у IPC (випробування в процесі виробництва), а не випробування готового лікарського засобу. Аналітичний метод, описаний у 3.2.P.5.2, залишається без змін</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UA/1016/01/01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ГІДРОКСИСЕЧОВИНА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капсули по 500 мг по 10 капсул у блістері; по 10 блістерів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виробник, що відповідає за вторинне пакування, маркування первинної упаковки, контроль/випробування серії та за випуск серії: Медак Гезельшафт фюр клініше Шпеціальпрепарате мбХ, Німеччина; виробник, що відповідає за виробництво лікарського засобу, первинне, вторинне пакування, маркування, контроль/випробування серії: Хаупт Фарма Амарег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в тексті МКЯ лікарського засобу, в розділі “Склад”(Виробники АФІ), оскільки під час затвердження тексту МКЯ готового лікарського засобу державною мовою наказ МОЗ №153 від 25.01.2022 представництвом заявника не було враховано затверджених виробників АФІ згідно наказу МОЗ №2128 від 01.10.2021</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UA/6720/01/01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ГІДРОХЛОРОТІАЗИД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порошок (субстанція) у подвійних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"Фарма Старт"</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ІПКА Лабораторіс Лімітед</w:t>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2004-013 - Rev 05 (затверджено: R1-CEP 2004-013 - Rev 04). Як наслідок зміна поштового індексу у адресі виробничої дільниці (стало: Поштове відділення Сежавта Індія-457 001 Ратлам, Мадх’я Прадеш, Індія/ P.O. Sejavta India-457 001 Ratlam, Madhya Pradesh, India); у специфікацію додано показник N-Нітрозо-гідрохлоротіазид з додаванням відповідної методики контролю; внесено незначні зміни у методику контролю показника Формальдегід відповідно СЕР.</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UA/18536/01/01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ГІНОКСИН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капсули вагінальні м’які по 1000 мг по 1 або по 2 капсули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Рекордаті Аіленд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Ірландiя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Каталент Італі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впровадження нового ГЕ-сертифіката відповідності Європейській фармакопеї № R1-CEP 2000-140-Rev 04 для допоміжної речовини желатин від нового виробника TESSENDERLO GROUP N.V.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ГЕ-сертифіката відповідності Європейській фармакопеї № R1-CEP 2003-172-Rev 03 (затверджено: R1-CEP 2003-172-Rev 02) для допоміжної речовини желатин від затвердженого виробника GELITA GROUP</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UA/6094/01/03</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ГЛІЦИН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сублінгвальні по 100 мг, по 10 таблеток у блістері; по 5 блістерів у пачці з картону; по 50 таблеток у блістері; по 1 блістеру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вториної упаковки лікарського засобу.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UA/16293/01/01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ГЛОДУ ПЛОДИ</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плоди; по 75 г, або по 100 г, або по 140 г у пачках з внутрішнім пакетом; по 4,0 г у фільтр-пакеті; по 20 фільтр-пакетів у пачці з внутрішнім пакетом; по 4,0 г у фільтр-пакеті; по 20 фільтр-пакетів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ПрАТ "Ліктрави"</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ПрАТ "Ліктрави"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 xml:space="preserve">без рецепта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UA/5857/01/01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ГЛЮКОВАНС®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по 500 мг/5 мг; по 15 таблеток у блістері; по 2 блістери в картонній коробці; по 20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Мерк Санте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Францiя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Мерк Санте</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1997-029 - Rev 05 (затверджено: R1-CEP 1997-029 - Rev 04) для АФІ метформіну гідрохлориду від вже затверджених виробників Merck Sante S.A.S. - Centre de Production de Calais, France та Merck Sante S.A.S. - Centre de Production de Meyzieu, France.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у методах випробування готового лікарського засобу, а саме: зміни в пробопідготовці зразків при визначені кількісного вмісту метформіну гідрохлориду та визначенні домішок за допомогою методу ВЕРХ. Крім того, запропоновано редакційні зміни розділу 3.2.P.5.2. Аналітичні методики та 3.2.P.6. Стандартні зразки та препарати.</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UA/5390/01/02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ГЛЮКОВАНС®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по 500 мг/2,5 мг; по 15 таблеток у блістері; по 2 блістери в картонній коробці; по 20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Мерк Санте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Францiя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Мерк Санте</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1997-029 - Rev 05 (затверджено: R1-CEP 1997-029 - Rev 04) для АФІ метформіну гідрохлориду від вже затверджених виробників Merck Sante S.A.S. - Centre de Production de Calais, France та Merck Sante S.A.S. - Centre de Production de Meyzieu, France.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у методах випробування готового лікарського засобу, а саме: зміни в пробопідготовці зразків при визначені кількісного вмісту метформіну гідрохлориду та визначенні домішок за допомогою методу ВЕРХ. Крім того, запропоновано редакційні зміни розділу 3.2.P.5.2. Аналітичні методики та 3.2.P.6. Стандартні зразки та препарати.</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UA/5390/01/01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ГРОПРИНОЗИН®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по 500 мг по 10 таблеток у блістері; по 2 або по 5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Угорщина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ТОВ "Гедеон Ріхтер Польща" (контроль якості, дозвіл на випуск серії; </w:t>
            </w:r>
            <w:r>
              <w:rPr>
                <w:rFonts w:ascii="Arial" w:hAnsi="Arial" w:cs="Arial"/>
                <w:sz w:val="16"/>
                <w:szCs w:val="16"/>
              </w:rPr>
              <w:br/>
              <w:t>виробництво нерозфасованого продукту, первинна упаковка, вторинна упаковка)</w:t>
            </w:r>
            <w:r>
              <w:rPr>
                <w:rFonts w:ascii="Arial" w:hAnsi="Arial" w:cs="Arial"/>
                <w:sz w:val="16"/>
                <w:szCs w:val="16"/>
              </w:rPr>
              <w:br/>
            </w:r>
          </w:p>
          <w:p w:rsidR="003D03F3" w:rsidRDefault="003D03F3">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w:t>
            </w:r>
            <w:r>
              <w:rPr>
                <w:rFonts w:ascii="Arial" w:hAnsi="Arial" w:cs="Arial"/>
                <w:sz w:val="16"/>
                <w:szCs w:val="16"/>
              </w:rPr>
              <w:br/>
              <w:t>Зазначення усіх дільниць виробника ТОВ «Гедеон Ріхтер Польща», Польща, задіяного у виробництві ГЛЗ з описом виконуваних функцій без змін у модулі 3 реєстраційного досьє.</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UA/6286/01/01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ДАЛЕРОН® 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гранули для орального розчину по 5 г у пакетику; по 10 пакетиків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Словенія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відповідальний за виробництво "in bulk", первинну упаковку, вторинну упаковку, контроль та випуск серії: </w:t>
            </w:r>
            <w:r>
              <w:rPr>
                <w:rFonts w:ascii="Arial" w:hAnsi="Arial" w:cs="Arial"/>
                <w:sz w:val="16"/>
                <w:szCs w:val="16"/>
              </w:rPr>
              <w:br/>
              <w:t>КРКА, д.д., Ново место, Словенія;</w:t>
            </w:r>
            <w:r>
              <w:rPr>
                <w:rFonts w:ascii="Arial" w:hAnsi="Arial" w:cs="Arial"/>
                <w:sz w:val="16"/>
                <w:szCs w:val="16"/>
              </w:rPr>
              <w:br/>
              <w:t xml:space="preserve">відповідальний за контроль серії: </w:t>
            </w:r>
            <w:r>
              <w:rPr>
                <w:rFonts w:ascii="Arial" w:hAnsi="Arial" w:cs="Arial"/>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діючої речовини парацетамол відповідно до рекомендацій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w:t>
            </w:r>
            <w:r>
              <w:rPr>
                <w:rFonts w:ascii="Arial" w:hAnsi="Arial" w:cs="Arial"/>
                <w:sz w:val="16"/>
                <w:szCs w:val="16"/>
              </w:rPr>
              <w:br/>
              <w:t xml:space="preserve">Зміни внесено до Інструкції для медичного застосування лікарського засобу до розділу "Застосування у період вагітності або годування груддю" щодо безпеки застосування діючої речовини парацетамол відповідно до рекомендацій PRAC. </w:t>
            </w:r>
            <w:r>
              <w:rPr>
                <w:rFonts w:ascii="Arial" w:hAnsi="Arial" w:cs="Arial"/>
                <w:sz w:val="16"/>
                <w:szCs w:val="16"/>
              </w:rPr>
              <w:br/>
              <w:t>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UA/4753/01/01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ДАРФЕН® ЕКСПРЕС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суспензія оральна, 200 мг/10 мл; по 10 мл у саше, по 10 саше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виробництво готового продукту, контроль/тестування, випуск серії готового продукту: ЕДЕФАРМ, С.Л., Іспанiя; контроль/тестування та випуск серії готового продукту: ФАРМАЛІДЕР, С.А., Іспанiя; мікробіологічний контроль: Біолаб,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"Застосування у період вагітності або годування груддю" відповідно до оновленої інформації з безпеки діючої речовини.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rFonts w:ascii="Arial" w:hAnsi="Arial" w:cs="Arial"/>
                <w:i/>
                <w:sz w:val="16"/>
                <w:szCs w:val="16"/>
                <w:lang w:val="ru-RU"/>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UA/18783/01/01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ДЕПАКІН ХРОНО® 500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оболонкою, пролонгованої дії по 500 мг; № 30: по 30 таблеток у контейнері, закритому кришкою з вологопоглиначем,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w:t>
            </w:r>
          </w:p>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Pr>
                <w:rFonts w:ascii="Arial" w:hAnsi="Arial" w:cs="Arial"/>
                <w:sz w:val="16"/>
                <w:szCs w:val="16"/>
              </w:rPr>
              <w:br/>
              <w:t>Зміни внесено до інструкції для медичного застосування лікарського засобу до розділу "Фармакологічні властивості" (внесення інформації даних доклінічних досліджень про дегенерацію/атрофію яєчок або аномалії сперматогенезу та зниження маси яєчок у дорослих щурів і собак), "Застосування у період вагітності або годування груддю" (внесення інформації щодо вроджених вад розвитку), "Спосіб застосування та дози" (внесення інформації про необхідність корекції дози) відповідно до рекомендацій PRAC.</w:t>
            </w:r>
            <w:r>
              <w:rPr>
                <w:rFonts w:ascii="Arial" w:hAnsi="Arial" w:cs="Arial"/>
                <w:sz w:val="16"/>
                <w:szCs w:val="16"/>
              </w:rPr>
              <w:br/>
              <w:t>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"Застосування у період вагітності або годування груддю" (внесення інформації про підвищений ризик тяжких вад розвитку центральної нервової системи)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"Взаємодія з іншими лікарськими засобами та інші види взаємодій" (взаємодія з метамізолом)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"Застосування у період вагітності або годування груддю" (внесення інформації про порушення фертильності), "Побічні реакції" (внесення інформації про безпліддя у чоловіків) відповідно до матеріалів реєстраційного досьє.</w:t>
            </w:r>
            <w:r>
              <w:rPr>
                <w:rFonts w:ascii="Arial" w:hAnsi="Arial" w:cs="Arial"/>
                <w:sz w:val="16"/>
                <w:szCs w:val="16"/>
              </w:rPr>
              <w:br/>
              <w:t>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"Взаємодія з іншими лікарськими засобами та інші види взаємодій" (внесення інформації про одночасне застосування вальпроєвої кислоти/карбапенемів та про ризик ураження печінки), "Особливості застосування" (внесення інформації про необхідність повторного проведення дослідження функції печінки), "Побічні реакції" (діти) відповідно до матеріалів реєстраційного досьє. Введення змін протягом 6-ти місяців після затвердження.</w:t>
            </w:r>
            <w:r>
              <w:rPr>
                <w:rFonts w:ascii="Arial" w:hAnsi="Arial" w:cs="Arial"/>
                <w:sz w:val="16"/>
                <w:szCs w:val="16"/>
              </w:rPr>
              <w:br/>
              <w:t xml:space="preserve">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"Застосування у період вагітності або годування груддю" (внесення інформації про ризик розвитку СДУГ у дітей)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"Фармакологічні властивості" (внесення інформації про доклінічні дані з безпеки щодо генотоксичності, канцерогенності та репродуктивної токсичності) та "Застосування у період вагітності або годування груддю" (перехресне посилання на розділ "Фармакологічні властивості" інструкції) відповідно до матеріалів реєстраційного досьє.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UA/10118/01/01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ДЕПАКІН®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сироп, 57,64 мг/мл; № 1: по 150 мл у флаконі; по 1 флакону з дозуючим пристроєм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Юнітер Ліквід Мануфекчурінг</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w:t>
            </w:r>
          </w:p>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"Фармакологічні властивості", "Застосування у період вагітності або годування груддю" (внесення додаткових застережень та уточнень), "Спосіб застосування та дози" (внесення уточнень) відповідно до оновленої інформації з безпеки застосування лікарського засобу.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"Застосування у період вагітності або годування груддю" (внесення уточнень) та "Побічні реакції"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"Застосування у період вагітності або годування груддю" (внесення додаткових застережень)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"Взаємодія з іншими лікарськими засобами та інші види взаємодій" та "Особливості застосування" відповідно до матеріалів реєстраційного досьє. </w:t>
            </w:r>
            <w:r>
              <w:rPr>
                <w:rFonts w:ascii="Arial" w:hAnsi="Arial" w:cs="Arial"/>
                <w:sz w:val="16"/>
                <w:szCs w:val="16"/>
              </w:rPr>
              <w:br/>
              <w:t>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UA/3817/01/01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ДЕПІОФЕН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по 25 мг; по 10 таблеток у блістері; по 1 блістеру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ПРОФАРМА Інтернешнл Трейдинг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Мальта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UA/13589/01/01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ДЕПІОФЕН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розчин для ін'єкцій, 50 мг/2 мл, по 2 мл в ампулі; по 5 ампул у касеті; по 1 касеті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ПРОФАРМА Інтернешнл Трейдинг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Мальта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Pr>
                <w:rFonts w:ascii="Arial" w:hAnsi="Arial" w:cs="Arial"/>
                <w:sz w:val="16"/>
                <w:szCs w:val="16"/>
              </w:rPr>
              <w:br/>
              <w:t>Зміни внесені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UA/13589/02/01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ДЕРИВА С 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гель; по 5 г або по 15 г у тубі; по 1 тубі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Гленмарк Фармасьютикалз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 13. «НОМЕР СЕРІЇ ЛІКАРСЬКОГО ЗАСОБУ».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UA/9245/01/01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ДИКЛОФЕНАК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оболонкою, кишковорозчинні по 50 мг; по 10 таблеток у блістері; по 1, або по 2, або по 10 блістерів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"Юнік Фармасьютикал Лабораторіз" (відділення фірми "Дж. Б. Кемікалз енд Фармасьютикалз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Pr>
                <w:rFonts w:ascii="Arial" w:hAnsi="Arial" w:cs="Arial"/>
                <w:sz w:val="16"/>
                <w:szCs w:val="16"/>
              </w:rPr>
              <w:br/>
              <w:t xml:space="preserve">Зміни внесені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3-х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UA/3939/03/01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ДИНОРИК®-ДАРНИЦЯ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оболонкою по 10 таблеток у контурній чарунковій упаковці, по 1 або по 3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ПрАТ "Фармацевтична фірма "Дарниця"</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ПрАТ "Фармацевтична фірма "Дарниця"</w:t>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упаковки лікарського засобу, а саме додавання інформації щодо нанесення QR-коду на вторинну упаковку та вилучення тексту, який нанесений російською мовою.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UA/6496/01/01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ДИПІРИДАМОЛ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оболонкою, по 25 мг по 50 таблеток у банках або контейнерах; по 50 таблеток у банці або контейнері; по 1 банці або контейнеру в пачці; по 40 таблеток у блістерах; по 10 таблеток у блістері, по 5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Товариство з обмеженою відповідальністю "Фармацевтична компанія "Здоров'я"</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всі стадії виробництва, контроль якості, випуск серії:</w:t>
            </w:r>
            <w:r>
              <w:rPr>
                <w:rFonts w:ascii="Arial" w:hAnsi="Arial" w:cs="Arial"/>
                <w:sz w:val="16"/>
                <w:szCs w:val="16"/>
              </w:rPr>
              <w:br/>
              <w:t>Товариство з обмеженою відповідальністю "Дослідний завод "ГНЦЛС"</w:t>
            </w:r>
            <w:r>
              <w:rPr>
                <w:rFonts w:ascii="Arial" w:hAnsi="Arial" w:cs="Arial"/>
                <w:sz w:val="16"/>
                <w:szCs w:val="16"/>
              </w:rPr>
              <w:br/>
              <w:t xml:space="preserve">Україна;  </w:t>
            </w:r>
            <w:r>
              <w:rPr>
                <w:rFonts w:ascii="Arial" w:hAnsi="Arial" w:cs="Arial"/>
                <w:sz w:val="16"/>
                <w:szCs w:val="16"/>
              </w:rPr>
              <w:br/>
              <w:t>всі стадії виробництва, контроль якості, випуск серії:</w:t>
            </w:r>
            <w:r>
              <w:rPr>
                <w:rFonts w:ascii="Arial" w:hAnsi="Arial" w:cs="Arial"/>
                <w:sz w:val="16"/>
                <w:szCs w:val="16"/>
              </w:rPr>
              <w:br/>
              <w:t>Товариство з обмеженою відповідальністю "Фармацевтична компанія "Здоров'я"</w:t>
            </w:r>
            <w:r>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3 роки Запропоновано: Термін придатності: 4 роки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UA/7465/02/01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ДИПІРИДАМОЛ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оболонкою, по 75 мг по 40 таблеток у банках або контейнерах; по 40 таблеток у банці або контейнері; по 1 банці або контейнеру в пачці; по 40 таблеток у блістерах; по 10 таблеток у блістері; по 4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Товариство з обмеженою відповідальністю "Фармацевтична компанія "Здоров'я"</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всі стадії виробництва, контроль якості, випуск серії:</w:t>
            </w:r>
            <w:r>
              <w:rPr>
                <w:rFonts w:ascii="Arial" w:hAnsi="Arial" w:cs="Arial"/>
                <w:sz w:val="16"/>
                <w:szCs w:val="16"/>
              </w:rPr>
              <w:br/>
              <w:t>Товариство з обмеженою відповідальністю "Дослідний завод "ГНЦЛС"</w:t>
            </w:r>
            <w:r>
              <w:rPr>
                <w:rFonts w:ascii="Arial" w:hAnsi="Arial" w:cs="Arial"/>
                <w:sz w:val="16"/>
                <w:szCs w:val="16"/>
              </w:rPr>
              <w:br/>
              <w:t xml:space="preserve">Україна; </w:t>
            </w:r>
            <w:r>
              <w:rPr>
                <w:rFonts w:ascii="Arial" w:hAnsi="Arial" w:cs="Arial"/>
                <w:sz w:val="16"/>
                <w:szCs w:val="16"/>
              </w:rPr>
              <w:br/>
              <w:t>всі стадії виробництва, контроль якості, випуск серії:</w:t>
            </w:r>
            <w:r>
              <w:rPr>
                <w:rFonts w:ascii="Arial" w:hAnsi="Arial" w:cs="Arial"/>
                <w:sz w:val="16"/>
                <w:szCs w:val="16"/>
              </w:rPr>
              <w:br/>
              <w:t>Товариство з обмеженою відповідальністю "Фармацевтична компанія "Здоров'я"</w:t>
            </w:r>
            <w:r>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3 роки Запропоновано: Термін придатності: 4 роки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UA/7465/02/02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ДИЦИНОН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по 250 мг; по 10 таблеток у блістері; по 10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Словенія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Лек Фармацевтична компанія д. д., Словенія (виробництво за повним циклом; первинна та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Внесення змін до р.3.2.Р.7 Система контейнер/закупорювальний засіб, а саме- зміна нітроцелюлозної друкарської грунтовки на друкарську грунтовку, що не містить нітроцелюлози, для алюмінієвої покривної фольги. Якість алюмінієвого шару та термозварювального лаку залишаються незмінними</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UA/8466/02/01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ДІАЗОЛІН®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драже по 0,05 г по 10 драже у блістерах; по 10 драже у блістері; по 2 блістери у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II типу - Зміни з якості. АФІ. (інші зміни) оновлення версії DMF на АФІ Мебгідролін (Мебгідроліну нападизилат) від затвердженого виробника «Menadiona, S.L.», Spain Затверджено: Version 03/2017-10-30 Запропоновано: Version 04/2020-04-15 (amended 2022-09-20).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UA/0270/02/01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ДІАЗОЛІН®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драже по 0,1 г по 10 драже у блістерах; по 10 драже у блістері; по 2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II типу - Зміни з якості. АФІ. (інші зміни) оновлення версії DMF на АФІ Мебгідролін (Мебгідроліну нападизилат) від затвердженого виробника «Menadiona, S.L.», Spain Затверджено: Version 03/2017-10-30 Запропоновано: Version 04/2020-04-15 (amended 2022-09-20).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UA/0270/02/02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ДІАЦЕФ 1 Г</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порошок для розчину для ін'єкцій, по 1000 мг 1 флакон з порошком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Сенс Лабораторіс Пвт.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Сенс Лабораторіс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Pr>
                <w:rFonts w:ascii="Arial" w:hAnsi="Arial" w:cs="Arial"/>
                <w:sz w:val="16"/>
                <w:szCs w:val="16"/>
              </w:rPr>
              <w:br/>
              <w:t>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UA/17129/01/01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ДІАЦЕФ 2 Г</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порошок для розчину для ін'єкцій, по 2000 мг 1 флакон з порошком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Сенс Лабораторіс Пвт.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Сенс Лабораторіс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Pr>
                <w:rFonts w:ascii="Arial" w:hAnsi="Arial" w:cs="Arial"/>
                <w:sz w:val="16"/>
                <w:szCs w:val="16"/>
              </w:rPr>
              <w:br/>
              <w:t>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UA/17129/01/02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ДІУРЕМІД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по 250 мг; по 10 таблеток у блістері; по 2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 "КИЇВСЬКИЙ ВІТАМІННИЙ ЗАВОД"</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 "КИЇВСЬКИЙ ВІТАМІННИЙ ЗАВОД"</w:t>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3 роки. Запропоновано: Термін придатності: 4 роки.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UA/9150/01/01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ДІФЕНДА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3 мг/0,02 мг, по 28 таблеток у блістері (24 таблетки рожевого та 4 таблетки плацебо білого кольору); по 1 блістеру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Зентіва, к.с.</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Чеська Республiка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АТДІС ФАРМА, С.Л., Іспанiя (альтернативний виробник, який відповідає за вторинне пакування); Біолаб С.Л., Іспанiя (виробник, який відповідає за мікробіологічне тестування); Лабораторіо Ечеварне, С.А., Іспанiя (виробник, який відповідає за мікробіологічне тестування); Лабораторіос Леон Фарма, С.А., Іспанiя (повний цикл виробництва); МАНАНТІАЛ ІНТЕГРА, С.Л.У., Іспанiя (альтернативний виробник, який відповідає за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Іспанiя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Pr>
                <w:rFonts w:ascii="Arial" w:hAnsi="Arial" w:cs="Arial"/>
                <w:sz w:val="16"/>
                <w:szCs w:val="16"/>
              </w:rPr>
              <w:br/>
              <w:t xml:space="preserve">Зміни внесено до інструкції для медичного застосування лікарського засобу у розділи: "Протипоказання", "Особливості застосування", "Побічні реакції" відповідно до оновленої інформації з безпеки діючої речовини. </w:t>
            </w:r>
            <w:r>
              <w:rPr>
                <w:rFonts w:ascii="Arial" w:hAnsi="Arial" w:cs="Arial"/>
                <w:sz w:val="16"/>
                <w:szCs w:val="16"/>
              </w:rPr>
              <w:br/>
              <w:t xml:space="preserve">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UA/13227/01/01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ДОКСЕПІН-ЗН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капсули тверді по 25 мг, по 10 капсул твердих у блістері; по 3 блістери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1999-197 - Rev 04 (затверджено: R1-CEP 1999-197 - Rev 02) для АФІ доксепіну гідрохлориду від вже затвердженого виробника PLANTEX LTD., Israel. Як наслідок редакційне уточнення написання назви та адреси виробника; введення альтернативної виробничої дільниці TEVA API INDIA PRIVATE LIMITED, India.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UA/16778/01/01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ДОКТОР МОМ®</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мазь по 20 г у баночці; по 1 баночці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"Джонсон і Джонсон Україна"</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"Юнік Фармасьютикал Лабораторіз" (відділення фірми "Дж. Б. Кемікалз енд Фармасьютикалз Лтд.")</w:t>
            </w:r>
            <w:r>
              <w:rPr>
                <w:rFonts w:ascii="Arial" w:hAnsi="Arial" w:cs="Arial"/>
                <w:sz w:val="16"/>
                <w:szCs w:val="16"/>
              </w:rPr>
              <w:br/>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UA/7868/01/01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ДОКТОР МОМ®</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сироп; по 100 мл у пляшці зі скла; по 1 пляшці в картонній коробці; по 100 мл або по 150 мл у пляшці з поліетилену; по 1 пляшці разом з мірною склянкою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ТОВ «Джонсон і Джонсон Україна» </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Юнік Фармасьютикал Лабораторіз (відділення фірми Дж. Б. Кемікалз енд Фармасьютикалз Лтд)</w:t>
            </w:r>
            <w:r>
              <w:rPr>
                <w:rFonts w:ascii="Arial" w:hAnsi="Arial" w:cs="Arial"/>
                <w:sz w:val="16"/>
                <w:szCs w:val="16"/>
              </w:rPr>
              <w:br/>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UA/2408/02/01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ДОКТОР МОМ®</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мазь, по 20 г у баночці; по 1 баночці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"Джонсон і Джонсон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зміна у п. 3. «НОМЕР СЕРІЇ ЛІКАРСЬКОГО ЗАСОБУ» та п. 4. «ДАТА ЗАКІНЧЕННЯ ТЕРМІНУ ПРИДАТНОСТІ» первинної упаковки, у п. 8. «ДАТА ЗАКІНЧЕННЯ ТЕРМІНУ ПРИДАТНОСТІ» та п. 13. «НОМЕР СЕРІЇ ЛІКАРСЬКОГО ЗАСОБУ» вторинної упаковки.</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UA/7868/01/01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ДОКТОР МОМ® ЗІ СМАКОМ АНАНАСА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льодяники по 4 льодяники у стрипі; по 5 стрипів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"Джонсон і Джонсон Україна"</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Юнік Фармасьютикал Лабораторіз (відділення фірми "Дж. Б. Кемікалз енд Фармасьютикалз Лтд.")</w:t>
            </w:r>
            <w:r>
              <w:rPr>
                <w:rFonts w:ascii="Arial" w:hAnsi="Arial" w:cs="Arial"/>
                <w:sz w:val="16"/>
                <w:szCs w:val="16"/>
              </w:rPr>
              <w:br/>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UA/2410/01/01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ДОКТОР МОМ® ЗІ СМАКОМ АНАНАСА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льодяники; по 4 льодяники у стрипі, по 5 стрипів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"Джонсон і Джонсон Україна"</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Юнік Фармасьютикал Лабораторіз (відділення фірми "Дж. Б. Кемікалз енд Фармасьютикалз Лтд.")</w:t>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(інші зміни) - зміни в коригуванні складу лікарського засобу, а саме уточнюється кількість активних діючих речовин. Кількість інгредієнтів зазначається у перерахуванні рослинної сировини – лікарських трав (солодки голої, імбиру, ембліки) на кількість сухих екстрактів, що отримують з цих трав, з відповідними змінами в розділ «Склад» МКЯ ЛЗ. Зміни внесено в інструкцію для медичного застосування лікарського засобу у розділ «Склад» з відповідними змінами у тексті маркування упаковки лікарського засобу.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UA/2410/01/01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ДОКТОР МОМ® ЗІ СМАКОМ АПЕЛЬСИНА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льодяники по 4 льодяники у стрипі; по 5 стрипів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"Джонсон і Джонсон Україна"</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Юнік Фармасьютикал Лабораторіз (відділення фірми "Дж. Б. Кемікалз енд Фармасьютикалз Лтд.")</w:t>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UA/2409/01/01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ДОКТОР МОМ® ЗІ СМАКОМ АПЕЛЬСИНА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льодяники; по 4 льодяники у стрипі; по 5 стрипів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"Джонсон і Джонсон Україна"</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Юнік Фармасьютикал Лабораторіз (відділення фірми "Дж. Б. Кемікалз енд Фармасьютикалз Лтд.") </w:t>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(інші зміни) - зміни в коригуванні складу лікарського засобу, а саме уточнюється кількість активних діючих речовин. Кількість інгредієнтів зазначається у перерахуванні рослинної сировини – лікарських трав (солодки голої, імбиру, ембліки) на кількість сухих екстрактів, що отримують з цих трав, з відповідними змінами в розділ «Склад» МКЯ ЛЗ. Зміни внесено в інструкцію для медичного застосування лікарського засобу у розділ «Склад» з відповідними змінами у тексті маркування упаковки лікарського засобу.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UA/2409/01/01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ДОКТОР МОМ® ЗІ СМАКОМ ЛИМОНА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льодяники; по 4 льодяники у стрипі; по 5 стрипів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«Джонсон і Джонсон Україна»</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Юнік Фармасьютикал Лабораторіз (відділення фірми "Дж. Б. Кемікалз енд Фармасьютикалз Лтд.")</w:t>
            </w:r>
            <w:r>
              <w:rPr>
                <w:rFonts w:ascii="Arial" w:hAnsi="Arial" w:cs="Arial"/>
                <w:sz w:val="16"/>
                <w:szCs w:val="16"/>
              </w:rPr>
              <w:br/>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rPr>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UA/2412/01/01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ДОКТОР МОМ® ЗІ СМАКОМ ЛИМОНА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льодяники; по 4 льодяники у стрипі; по 5 стрипів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"Джонсон і Джонсон Україна"</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Юнік Фармасьютикал Лабораторіз (відділення фірми "Дж. Б. Кемікалз енд Фармасьютикалз Лтд.")</w:t>
            </w:r>
            <w:r>
              <w:rPr>
                <w:rFonts w:ascii="Arial" w:hAnsi="Arial" w:cs="Arial"/>
                <w:sz w:val="16"/>
                <w:szCs w:val="16"/>
              </w:rPr>
              <w:br/>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(інші зміни). Зміни в коригуванні складу лікарського засобу, а саме уточнюється кількість активних діючих речовин. Кількість інгредієнтів зазначається у перерахуванні рослинної сировини – лікарських трав (солодки голої, імбиру, ембліки) на кількість сухих екстрактів, що отримують з цих трав, з відповідними змінами в розділ «Склад» МКЯ ЛЗ. Лікарського засобу у розділ «Склад» з відповідними змінами у тексті маркування упаковки лікарського засобу.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UA/2412/01/01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 xml:space="preserve">ДОКТОР МОМ® ЗІ СМАКОМ МАЛИНИ </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льодяники; по 4 льодяники у стрипі; по 5 стрипів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«Джонсон і Джонсон Україна»</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Юнік Фармасьютикал Лабораторіз (відділення фірми "Дж. Б. Кемікалз енд Фармасьютикалз Лтд.")</w:t>
            </w:r>
            <w:r>
              <w:rPr>
                <w:rFonts w:ascii="Arial" w:hAnsi="Arial" w:cs="Arial"/>
                <w:sz w:val="16"/>
                <w:szCs w:val="16"/>
              </w:rPr>
              <w:br/>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UA/2408/01/01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 xml:space="preserve">ДОКТОР МОМ® ЗІ СМАКОМ МАЛИНИ </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льодяники; по 4 льодяники у стрипі; по 5 стрипів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"Джонсон і Джонсон Україна"</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Юнік Фармасьютикал Лабораторіз (відділення фірми "Дж. Б. Кемікалз енд Фармасьютикалз Лтд.")</w:t>
            </w:r>
            <w:r>
              <w:rPr>
                <w:rFonts w:ascii="Arial" w:hAnsi="Arial" w:cs="Arial"/>
                <w:sz w:val="16"/>
                <w:szCs w:val="16"/>
              </w:rPr>
              <w:br/>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(інші зміни). </w:t>
            </w:r>
            <w:r>
              <w:rPr>
                <w:rFonts w:ascii="Arial" w:hAnsi="Arial" w:cs="Arial"/>
                <w:sz w:val="16"/>
                <w:szCs w:val="16"/>
              </w:rPr>
              <w:br/>
              <w:t>Зміни в коригуванні складу лікарського засобу, а саме уточнюється кількість активних діючих речовин. Кількість інгредієнтів зазначається у перерахуванні рослинної сировини – лікарських трав (солодки голої, імбиру, ембліки) на кількість сухих екстрактів, що отримують з цих трав, з відповідними змінами в розділ «Склад» МКЯ ЛЗ. Зміни внесено в інструкцію для медичного застосування лікарського засобу у розділ «Склад» з відповідними змінами у тексті маркування упаковки лікарського засобу.</w:t>
            </w:r>
            <w:r>
              <w:rPr>
                <w:rFonts w:ascii="Arial" w:hAnsi="Arial" w:cs="Arial"/>
                <w:sz w:val="16"/>
                <w:szCs w:val="16"/>
              </w:rPr>
              <w:br/>
              <w:t>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UA/2408/01/01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ДОКТОР МОМ® ЗІ СМАКОМ ПОЛУНИЦІ</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льодяники; по 4 льодяники у стрипі; по 5 стрипів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"Джонсон і Джонсон Україна"</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Юнік Фармасьютикал Лабораторіз (відділення фірми "Дж. Б. Кемікалз енд Фармасьютикалз Лтд.")</w:t>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UA/2411/01/01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ДОКТОР МОМ® ЗІ СМАКОМ ПОЛУНИЦІ</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льодяники; по 4 льодяники у стрипі; по 5 стрипів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"Джонсон і Джонсон Україна"</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Юнік Фармасьютикал Лабораторіз (відділення фірми "Дж. Б. Кемікалз енд Фармасьютикалз Лтд.")</w:t>
            </w:r>
            <w:r>
              <w:rPr>
                <w:rFonts w:ascii="Arial" w:hAnsi="Arial" w:cs="Arial"/>
                <w:sz w:val="16"/>
                <w:szCs w:val="16"/>
              </w:rPr>
              <w:br/>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(інші зміни) - Зміни в коригуванні складу лікарського засобу, а саме уточнюється кількість активних діючих речовин. Кількість інгредієнтів зазначається у перерахуванні рослинної сировини – лікарських трав (солодки голої, імбиру, ембліки) на кількість сухих екстрактів, що отримують з цих трав, з відповідними змінами в розділ «Склад» МКЯ ЛЗ. Зміни внесено в інструкцію для медичного застосування лікарського засобу у розділ «Склад» з відповідними змінами у тексті маркування упаковки лікарського засобу.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UA/2411/01/01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ДОНЕКС®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що диспергуються в ротовій порожнині, по 5 мг по 10 таблеток у блістері; по 3 або по 6 блістерів у картонній пачці; по 14 таблеток у блістері; по 2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Дженефарм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Грецiя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(інформація з безпеки), "Взаємодія з іншими лікарськими засобами та інші види взаємодій", "Особливості застосування", "Спосіб застосування та дози" (інформація з безпеки), "Побічні реакції" відповідно до інформації щодо медичного застосування референтного лікарського засобу (Aricept Evess, таблетки, що диспергуються в ротовій порожнині)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Не 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UA/19064/01/01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ДОНЕКС®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що диспергуються в ротовій порожнині, по 10 мг по 10 таблеток у блістері; по 3 або по 6 блістерів у картонній пачці; по 14 таблеток у блістері; по 2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Дженефарм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Грецiя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(інформація з безпеки), "Взаємодія з іншими лікарськими засобами та інші види взаємодій", "Особливості застосування", "Спосіб застосування та дози" (інформація з безпеки), "Побічні реакції" відповідно до інформації щодо медичного застосування референтного лікарського засобу (Aricept Evess, таблетки, що диспергуються в ротовій порожнині)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Не 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UA/19064/01/02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ДОНОВІТ-ВС®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по 10 мкг; по 30 таблеток у блістері; по 3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"Науково - виробнича фірма Аксомед Лтд"</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“АСТРАФАРМ”</w:t>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в інструкцію для медичного застосування лікарського засобу до розділу "Показання" (додавання нового терапевтичного показання: "застосовувати хворим із гліобластомою як препарат супроводу при проведенні курсу хіміотерапії", наслідкові зміни внесено до розділу "Фармакологічні властивості" відповідно до матеріалів реєстраційного досьє та висновку консультативно-експертної групи "Онкологія. Діагностичні та радіофармацевтичні лікарські засоби". Супутня зміна</w:t>
            </w:r>
            <w:r>
              <w:rPr>
                <w:rFonts w:ascii="Arial" w:hAnsi="Arial" w:cs="Arial"/>
                <w:sz w:val="16"/>
                <w:szCs w:val="16"/>
              </w:rPr>
              <w:br/>
              <w:t>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Додавання нового терапевтичного показання на підставі клінічного дослідження AF-DN-1/f.2/10/14 - третьої нозології – гліобластоми мозку.</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Не 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UA/18680/01/01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 xml:space="preserve">ДОРЗАМЕД </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краплі очні, розчин, 20 мг/мл; по 5 мл у флаконі-крапельниці; по 1 флакону-крапельниці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ТОВ «УОРЛД МЕДИЦИН»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"Спосіб застосування та дози" та "Побічні реакції" відповідно до рекомендацій PRAC.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Не 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UA/18433/01/01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ДУБА КОРА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кора по 100 г у пачках з внутрішнім пакетом; по 2,5 г у фільтр-пакеті; по 20 фільтр-пакетів у пачці або у пачці з внутрішнім пакетом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ПрАТ "Ліктрави"</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ПрАТ "Ліктрави"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UA/5860/01/01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ЕКСІБ®</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по 60 мг, по 10 таблеток в контурній чарунковій упаковці, по 1 або по 3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Pr>
                <w:rFonts w:ascii="Arial" w:hAnsi="Arial" w:cs="Arial"/>
                <w:sz w:val="16"/>
                <w:szCs w:val="16"/>
              </w:rPr>
              <w:br/>
              <w:t xml:space="preserve">Зміни внесено до Інструкції для медичного застосування лікарського засобу до розділіу "Застосування у період вагітності або годування груддю" щодо безпеки застосування діючої речовини еторикоксиб відповідно до рекомендацій PRAC. </w:t>
            </w:r>
            <w:r>
              <w:rPr>
                <w:rFonts w:ascii="Arial" w:hAnsi="Arial" w:cs="Arial"/>
                <w:sz w:val="16"/>
                <w:szCs w:val="16"/>
              </w:rPr>
              <w:br/>
              <w:t>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Не 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UA/19245/01/01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ЕКСІБ®</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по 90 мг, по 10 таблеток в контурній чарунковій упаковці, по 1 або по 3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Pr>
                <w:rFonts w:ascii="Arial" w:hAnsi="Arial" w:cs="Arial"/>
                <w:sz w:val="16"/>
                <w:szCs w:val="16"/>
              </w:rPr>
              <w:br/>
              <w:t xml:space="preserve">Зміни внесено до Інструкції для медичного застосування лікарського засобу до розділіу "Застосування у період вагітності або годування груддю" щодо безпеки застосування діючої речовини еторикоксиб відповідно до рекомендацій PRAC. </w:t>
            </w:r>
            <w:r>
              <w:rPr>
                <w:rFonts w:ascii="Arial" w:hAnsi="Arial" w:cs="Arial"/>
                <w:sz w:val="16"/>
                <w:szCs w:val="16"/>
              </w:rPr>
              <w:br/>
              <w:t>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Не 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UA/19245/01/02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ЕКСІБ®</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таблетки, вкриті плівковою оболонкою, по 120 мг, по 10 таблеток в контурній чарунковій упаковці, по 1 контурній чарунковій упаковці в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Pr>
                <w:rFonts w:ascii="Arial" w:hAnsi="Arial" w:cs="Arial"/>
                <w:sz w:val="16"/>
                <w:szCs w:val="16"/>
              </w:rPr>
              <w:br/>
              <w:t xml:space="preserve">Зміни внесено до Інструкції для медичного застосування лікарського засобу до розділіу "Застосування у період вагітності або годування груддю" щодо безпеки застосування діючої речовини еторикоксиб відповідно до рекомендацій PRAC. </w:t>
            </w:r>
            <w:r>
              <w:rPr>
                <w:rFonts w:ascii="Arial" w:hAnsi="Arial" w:cs="Arial"/>
                <w:sz w:val="16"/>
                <w:szCs w:val="16"/>
              </w:rPr>
              <w:br/>
              <w:t>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Не 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UA/19245/01/03</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ЕНАП® 20 HL</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по 10 таблеток у блістері, по 2 або по 3, або по 6, або по 10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Словенія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виробництво "in bulk", первинне та вторинне пакування, контроль серії та випуск серії:</w:t>
            </w:r>
            <w:r>
              <w:rPr>
                <w:rFonts w:ascii="Arial" w:hAnsi="Arial" w:cs="Arial"/>
                <w:sz w:val="16"/>
                <w:szCs w:val="16"/>
              </w:rPr>
              <w:br/>
              <w:t>КРКА, д.д., Ново место, Словенія</w:t>
            </w:r>
            <w:r>
              <w:rPr>
                <w:rFonts w:ascii="Arial" w:hAnsi="Arial" w:cs="Arial"/>
                <w:sz w:val="16"/>
                <w:szCs w:val="16"/>
              </w:rPr>
              <w:br/>
              <w:t>контроль серії (фізичні та хімічні методи контролю:</w:t>
            </w:r>
            <w:r>
              <w:rPr>
                <w:rFonts w:ascii="Arial" w:hAnsi="Arial" w:cs="Arial"/>
                <w:sz w:val="16"/>
                <w:szCs w:val="16"/>
              </w:rPr>
              <w:br/>
              <w:t>КРКА, д.д., Ново место, Словенія</w:t>
            </w:r>
            <w:r>
              <w:rPr>
                <w:rFonts w:ascii="Arial" w:hAnsi="Arial" w:cs="Arial"/>
                <w:sz w:val="16"/>
                <w:szCs w:val="16"/>
              </w:rPr>
              <w:br/>
              <w:t>контроль серії (фізичні та хімічні методи контролю):</w:t>
            </w:r>
            <w:r>
              <w:rPr>
                <w:rFonts w:ascii="Arial" w:hAnsi="Arial" w:cs="Arial"/>
                <w:sz w:val="16"/>
                <w:szCs w:val="16"/>
              </w:rPr>
              <w:br/>
              <w:t>НЛЗОХ (Національні лабораторія за здрав’є, околє ін храно),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"Особливості застосування", "Побічні реакції" щодо інформації про гостру респіраторну токсичність відповідно до оновленої інформації з безпеки діючої речовини гідрохлоротіазиду згідно з рекомендаціями PRAC.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щодо інформації про ризик виникнення ускладнень з боку органів зору відповідно до оновленої інформації з безпеки діючої речовини гідрохлоротіазиду згідно з рекомендаціями PRAC.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Не 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UA/10299/01/01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ЕНТЕРОФУРИЛ®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суспензія оральна, 200 мг/5 мл, по 90 мл у флаконі; по 1 флакону з пластиковою ложкою-дозатором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Босналек д.д.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Боснiя i Герцеговина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Боснiя i Герцеговина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Pr>
                <w:rFonts w:ascii="Arial" w:hAnsi="Arial" w:cs="Arial"/>
                <w:sz w:val="16"/>
                <w:szCs w:val="16"/>
              </w:rPr>
              <w:br/>
              <w:t xml:space="preserve">Зміни внесено до Інструкції для медичного застосування лікарського засобу до розділів "Фармакологічні властивості" та "Застосування у період вагітності або годування груддю" щодо безпеки застосування діючої речовини ніфуроксазид відповідно до рекомендацій PRAC. Заявником в процедурі змін було надано оновлений План управління ризиками версія 1.1. Зміни внесено до частин: І «Загальна інформація», II «Специфікація з безпеки» (модуль CVIII «Резюме проблем безпеки»), III «План з фармаконагляду», V «Заходи з мінімізації ризиків», VI «Резюме плану управління ризиками», VII «Додатки» у зв’язку з оновленням переліку проблем з безпеки та корегуванням рутинних заходів з мінімізації ризиків на підставі рекомендації PRAC щодо зміни інформації з безпеки в проекті інструкції для медичного застосування.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звітування про побічні реакції.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Не 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UA/1991/02/01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ЕРИТРОМІЦИН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по 100 мг, по 20 таблеток у блістері; по 1 блістеру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Pr>
                <w:rFonts w:ascii="Arial" w:hAnsi="Arial" w:cs="Arial"/>
                <w:sz w:val="16"/>
                <w:szCs w:val="16"/>
              </w:rPr>
              <w:br/>
              <w:t>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"Застосування у період вагітності або годування груддю" щодо безпеки застосування діючої речовини еритроміцин відповідно до рекомендацій PRAC.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Не 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UA/3701/01/01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ЕРОТОН®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по 100 мг; по 1 або по 2,  або по 4 таблетки у блістері; по 1 блістеру в пачці з картону; по 4 таблетки у блістері; по 2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ПРАТ "ФІТОФАРМ"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відповідальний за виробництво, первинне, вторинне пакування, контроль та випуск серії: ПРАТ "ФІТОФАРМ", Україна; </w:t>
            </w:r>
            <w:r>
              <w:rPr>
                <w:rFonts w:ascii="Arial" w:hAnsi="Arial" w:cs="Arial"/>
                <w:sz w:val="16"/>
                <w:szCs w:val="16"/>
              </w:rPr>
              <w:br/>
              <w:t>відповідальний за виробництво, первинне, вторинне пакування, контроль якості: ТОВ "Астрафарм", Україна;</w:t>
            </w:r>
            <w:r>
              <w:rPr>
                <w:rFonts w:ascii="Arial" w:hAnsi="Arial" w:cs="Arial"/>
                <w:sz w:val="16"/>
                <w:szCs w:val="16"/>
              </w:rPr>
              <w:br/>
              <w:t>відповідальний за виробництво, первинне, вторинне пакування, контроль якості: ПАТ "Вітаміни",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згідно пп.4 п.2.4. розділу VI наказу МОЗ України від 26.08.2005р. № 426 (у редакції наказу МОЗ України від 23.07.2015 р № 460), в Методах контролю якості в критеріях прийнятності в розділі «Супровідні домішки» для приведення до критеріїв прийнятності в Специфікації МКЯ ЛЗ.</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UA/4652/01/02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ЕРОТОН®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по 50 мг; по 1 або по 2,  або по 4 таблетки у блістері; по 1 блістеру в пачці з картону; по 4 таблетки у блістері; по 2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ПРАТ "ФІТОФАРМ"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відповідальний за виробництво, первинне, вторинне пакування, контроль та випуск серії: ПРАТ "ФІТОФАРМ", Україна; </w:t>
            </w:r>
            <w:r>
              <w:rPr>
                <w:rFonts w:ascii="Arial" w:hAnsi="Arial" w:cs="Arial"/>
                <w:sz w:val="16"/>
                <w:szCs w:val="16"/>
              </w:rPr>
              <w:br/>
              <w:t>відповідальний за виробництво, первинне, вторинне пакування, контроль якості: ТОВ "Астрафарм", Україна;</w:t>
            </w:r>
            <w:r>
              <w:rPr>
                <w:rFonts w:ascii="Arial" w:hAnsi="Arial" w:cs="Arial"/>
                <w:sz w:val="16"/>
                <w:szCs w:val="16"/>
              </w:rPr>
              <w:br/>
              <w:t>відповідальний за виробництво, первинне, вторинне пакування, контроль якості: ПАТ "Вітаміни",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згідно пп.4 п.2.4. розділу VI наказу МОЗ України від 26.08.2005р. № 426 (у редакції наказу МОЗ України від 23.07.2015 р № 460), в Методах контролю якості в критеріях прийнятності в розділі «Супровідні домішки» для приведення до критеріїв прийнятності в Специфікації МКЯ ЛЗ.</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UA/4652/01/01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ЕРТІНОБ</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по 100 мг, по 15 таблеток у блістері, по 2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НОБЕЛ ІЛАЧ САНАЇ ВЕ ТІДЖАРЕТ А.Ш.</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Туреччина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Зміна частоти та терміну подання регулярно оновлюваного звіту з безпеки лікарського засобу: Діюча редакція: Частота подання РОЗБ – 1 рік; Кінцева дата для включення даних до РОЗБ – 17.11.2018 р.; Дата подання – 26.01.2019 р. Пропонована редакція: </w:t>
            </w:r>
          </w:p>
          <w:p w:rsidR="003D03F3" w:rsidRDefault="003D03F3">
            <w:pPr>
              <w:pStyle w:val="110"/>
              <w:tabs>
                <w:tab w:val="left" w:pos="12600"/>
              </w:tabs>
              <w:jc w:val="center"/>
              <w:rPr>
                <w:rFonts w:ascii="Arial" w:hAnsi="Arial" w:cs="Arial"/>
                <w:sz w:val="16"/>
                <w:szCs w:val="16"/>
              </w:rPr>
            </w:pPr>
            <w:r>
              <w:rPr>
                <w:rFonts w:ascii="Arial" w:hAnsi="Arial" w:cs="Arial"/>
                <w:sz w:val="16"/>
                <w:szCs w:val="16"/>
              </w:rPr>
              <w:t>Частота подання РОЗБ – 2 роки; Кінцева дата для включення даних до РОЗБ – 17.11.2023 р.; Дата подання – 15.02.2024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UA/17213/01/01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ЕРТІНОБ</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по 150 мг, по 15 таблеток у блістері, по 2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НОБЕЛ ІЛАЧ САНАЇ ВЕ ТІДЖАРЕТ А.Ш.</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Туреччина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Зміна частоти та терміну подання регулярно оновлюваного звіту з безпеки лікарського засобу: Діюча редакція: Частота подання РОЗБ – 1 рік; Кінцева дата для включення даних до РОЗБ – 17.11.2018 р.; Дата подання – 26.01.2019 р. Пропонована редакція: </w:t>
            </w:r>
          </w:p>
          <w:p w:rsidR="003D03F3" w:rsidRDefault="003D03F3">
            <w:pPr>
              <w:pStyle w:val="110"/>
              <w:tabs>
                <w:tab w:val="left" w:pos="12600"/>
              </w:tabs>
              <w:jc w:val="center"/>
              <w:rPr>
                <w:rFonts w:ascii="Arial" w:hAnsi="Arial" w:cs="Arial"/>
                <w:sz w:val="16"/>
                <w:szCs w:val="16"/>
              </w:rPr>
            </w:pPr>
            <w:r>
              <w:rPr>
                <w:rFonts w:ascii="Arial" w:hAnsi="Arial" w:cs="Arial"/>
                <w:sz w:val="16"/>
                <w:szCs w:val="16"/>
              </w:rPr>
              <w:t>Частота подання РОЗБ – 2 роки; Кінцева дата для включення даних до РОЗБ – 17.11.2023 р.; Дата подання – 15.02.2024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UA/17213/01/02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ЕСЛОТИН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5 мг; по 10 таблеток у блістері; по 1, 2 або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ТОВ «УОРЛД МЕДИЦИН» </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УОРЛД МЕДИЦИН ІЛАЧ САН. ВЕ ТІДЖ. А.Ш.</w:t>
            </w:r>
            <w:r>
              <w:rPr>
                <w:rFonts w:ascii="Arial" w:hAnsi="Arial" w:cs="Arial"/>
                <w:sz w:val="16"/>
                <w:szCs w:val="16"/>
              </w:rPr>
              <w:br/>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Мевсім Ількбахар Дінчель / Mrs. Mevsim Ilkbahar Dincel.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 Зміна у зв'язку із вилученням тексту маркування із МКЯ. Діюча редакція: МКЯ ЛЗ 5. МАРКИРОВКА Текст маркування первинної упаковки Текст маркування вторинної упаковки Пропонована редакція: МКЯ ЛЗ 5. МАРКИРОВКА В соответствии с утвержденным текстом маркировки. Оновлення тексту маркування первинної та вторинної упаковок лікарського засобу.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UA/16357/01/01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ЕСПА-ЛІПОН® 600</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оболонкою, по 600 мг; по 10 таблеток у блістері; по 3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Еспарма ГмбХ</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контроль якості:</w:t>
            </w:r>
            <w:r>
              <w:rPr>
                <w:rFonts w:ascii="Arial" w:hAnsi="Arial" w:cs="Arial"/>
                <w:sz w:val="16"/>
                <w:szCs w:val="16"/>
              </w:rPr>
              <w:br/>
              <w:t xml:space="preserve">Фарма Вернігероде ГмбХ, Німеччина; </w:t>
            </w:r>
            <w:r>
              <w:rPr>
                <w:rFonts w:ascii="Arial" w:hAnsi="Arial" w:cs="Arial"/>
                <w:sz w:val="16"/>
                <w:szCs w:val="16"/>
              </w:rPr>
              <w:br/>
              <w:t>вторинне пакування:</w:t>
            </w:r>
            <w:r>
              <w:rPr>
                <w:rFonts w:ascii="Arial" w:hAnsi="Arial" w:cs="Arial"/>
                <w:sz w:val="16"/>
                <w:szCs w:val="16"/>
              </w:rPr>
              <w:br/>
              <w:t xml:space="preserve">еспарма Фарма Сервісез ГмбХ, Німеччина; </w:t>
            </w:r>
            <w:r>
              <w:rPr>
                <w:rFonts w:ascii="Arial" w:hAnsi="Arial" w:cs="Arial"/>
                <w:sz w:val="16"/>
                <w:szCs w:val="16"/>
              </w:rPr>
              <w:br/>
              <w:t>виробництво нерозфасованого продукту, первинне пакування, вторинне пакування, контроль якості, випуск серії:</w:t>
            </w:r>
            <w:r>
              <w:rPr>
                <w:rFonts w:ascii="Arial" w:hAnsi="Arial" w:cs="Arial"/>
                <w:sz w:val="16"/>
                <w:szCs w:val="16"/>
              </w:rPr>
              <w:br/>
              <w:t>Лабораторіос Медікаментос Інтернасьоналес, С.А., Іспанія</w:t>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адміністративна зміна вилучення виробника "Адванс Фарма ГмбХ, Німеччина / Advance Pharma GmbH, Germany" відповідального за виробництво нерозфасованого продукту, первинне пакування, вторинне пакування, контроль якості, випуск серії. Залишається альтернативний виробник котрий виконує аналогічні функції "Лабораторіос Медікаментос Інтернасьоналес, С.А., Іспанія".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UA/4179/01/02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ЕТАЦИЗИН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таблетки, вкриті оболонкою, по 50 мг; по 10 таблеток у блістері; по 5 блістерів у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 "Олайнфарм"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Латвiя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АТ "Олайнфарм"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Латвiя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Pr>
                <w:rFonts w:ascii="Arial" w:hAnsi="Arial" w:cs="Arial"/>
                <w:sz w:val="16"/>
                <w:szCs w:val="16"/>
              </w:rPr>
              <w:br/>
              <w:t>Діюча редакція: Прискока Андрій. Пропонована редакція: Савченко Дмитро Сергійович.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UA/3771/01/01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ЕФЕРАЛГАН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супозиторії ректальні по 150 мг; по 5 супозиторіїв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УПСА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Францiя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2000-124-Rev 09 (затверджено: R1-CEP 2000-124-Rev 08) для діючої речовини парацетамол від вже затвердженого виробника ANQIU LU'AN PHARMACEUTICAL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2000-124-Rev 10 для діючої речовини парацетамол від вже затвердженого виробника ANQIU LU'AN PHARMACEUTICAL CO., LTD., China. Як наслідок, приведення редакції назви виробника діючої речовини в МКЯ ЛЗ в р. «Склад» у відповідність до СЕР ANQIU LU'AN PHARMACEUTICAL CO., LTD., China</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UA/5237/03/02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ЕФЕРАЛГАН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супозиторії ректальні по 300 мг; по 5 супозиторіїв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УПСА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Францiя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2000-124-Rev 09 (затверджено: R1-CEP 2000-124-Rev 08) для діючої речовини парацетамол від вже затвердженого виробника ANQIU LU'AN PHARMACEUTICAL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2000-124-Rev 10 для діючої речовини парацетамол від вже затвердженого виробника ANQIU LU'AN PHARMACEUTICAL CO., LTD., China. Як наслідок, приведення редакції назви виробника діючої речовини в МКЯ ЛЗ в р. «Склад» у відповідність до СЕР ANQIU LU'AN PHARMACEUTICAL CO., LTD., China</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UA/5237/03/03</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ЕФЕРАЛГАН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супозиторії ректальні по 80 мг; по 5 супозиторіїв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УПСА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Францiя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УПСА САС,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2000-124-Rev 09 (затверджено: R1-CEP 2000-124-Rev 08) для діючої речовини парацетамол від вже затвердженого виробника ANQIU LU'AN PHARMACEUTICAL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2000-124-Rev 10 для діючої речовини парацетамол від вже затвердженого виробника ANQIU LU'AN PHARMACEUTICAL CO., LTD., China. Як наслідок, приведення редакції назви виробника діючої речовини в МКЯ ЛЗ в р. «Склад» у відповідність до СЕР ANQIU LU'AN PHARMACEUTICAL CO., LTD., China</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UA/5237/03/01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ЕФЕРАЛГАН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супозиторії ректальні по 80 мг по 5 супозиторіїв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УПСА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Францiя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Lilit Khatchikian, MD, MS. Пропонована редакція: El Mahdi Benchekroun, MD.</w:t>
            </w:r>
            <w:r>
              <w:rPr>
                <w:rFonts w:ascii="Arial" w:hAnsi="Arial" w:cs="Arial"/>
                <w:sz w:val="16"/>
                <w:szCs w:val="16"/>
              </w:rPr>
              <w:br/>
              <w:t>Зміна контактних даних уповноваженої особи заявника, відповідальної за здійснення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UA/5237/03/01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ЕФЕРАЛГАН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супозиторії ректальні по 150 мг по 5 супозиторіїв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УПСА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Францiя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Lilit Khatchikian, MD, MS. Пропонована редакція: El Mahdi Benchekroun, MD.</w:t>
            </w:r>
            <w:r>
              <w:rPr>
                <w:rFonts w:ascii="Arial" w:hAnsi="Arial" w:cs="Arial"/>
                <w:sz w:val="16"/>
                <w:szCs w:val="16"/>
              </w:rPr>
              <w:br/>
              <w:t>Зміна контактних даних уповноваженої особи заявника, відповідальної за здійснення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UA/5237/03/02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ЕФЕРАЛГАН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супозиторії ректальні по 300 мг по 5 супозиторіїв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УПСА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Францiя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Lilit Khatchikian, MD, MS. Пропонована редакція: El Mahdi Benchekroun, MD.</w:t>
            </w:r>
            <w:r>
              <w:rPr>
                <w:rFonts w:ascii="Arial" w:hAnsi="Arial" w:cs="Arial"/>
                <w:sz w:val="16"/>
                <w:szCs w:val="16"/>
              </w:rPr>
              <w:br/>
              <w:t>Зміна контактних даних уповноваженої особи заявника, відповідальної за здійснення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UA/5237/03/03</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ЕФЕРАЛГАН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розчин оральний 3 % по 90 мл у флаконі, по 1 флакону у комплекті з мірною ложкою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УПСА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Францiя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Lilit Khatchikian, MD, MS. Пропонована редакція: El Mahdi Benchekroun, MD.</w:t>
            </w:r>
            <w:r>
              <w:rPr>
                <w:rFonts w:ascii="Arial" w:hAnsi="Arial" w:cs="Arial"/>
                <w:sz w:val="16"/>
                <w:szCs w:val="16"/>
              </w:rPr>
              <w:br/>
              <w:t>Зміна контактних даних уповноваженої особи заявника, відповідальної за здійснення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UA/5237/02/01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ЕФЕРАЛГАН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шипучі по 500 мг, по 4 таблетки у стрипі, по 4 стрипи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УПСА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Францiя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Lilit Khatchikian, MD, MS. Пропонована редакція: El Mahdi Benchekroun, MD.</w:t>
            </w:r>
            <w:r>
              <w:rPr>
                <w:rFonts w:ascii="Arial" w:hAnsi="Arial" w:cs="Arial"/>
                <w:sz w:val="16"/>
                <w:szCs w:val="16"/>
              </w:rPr>
              <w:br/>
              <w:t>Зміна контактних даних уповноваженої особи заявника, відповідальної за здійснення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UA/5237/01/01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ЕФЕРАЛГАН З ВІТАМІНОМ 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шипучі, 330 мг/200 мг по 10 таблеток у тубі; по 1 або по 2 туби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УПСА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Францiя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Lilit Khatchikian, MD, MS. Пропонована редакція: El Mahdi Benchekroun, MD. Зміна контактних даних уповноваженої особи заявника, відповідальної за здійснення фармаконагляду.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UA/7278/01/01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ІБУПРОФЕН-ДАРНИЦЯ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по 200 мг, по 10 таблеток у контурній чарунковій упаковці; по 1, по 2 або по 5 контурних чарункових упаковок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Pr>
                <w:rFonts w:ascii="Arial" w:hAnsi="Arial" w:cs="Arial"/>
                <w:sz w:val="16"/>
                <w:szCs w:val="16"/>
              </w:rPr>
              <w:br/>
              <w:t>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UA/2350/01/01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ІЗІКАРД® A</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по 40 мг/10 мг; по 7 таблеток в алюмінієвому блістері, по 2 або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ОАЕ</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"Передозування" відповідно до оновленої інформації з безпеки діючої речовини.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Не 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UA/16928/01/02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ІЗІКАРД® A</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по 80 мг/5 мг; по 7 таблеток в алюмінієвому блістері, по 2 або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ОАЕ</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"Передозування" відповідно до оновленої інформації з безпеки діючої речовини.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Не 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UA/16928/01/03</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ІЗІКАРД® A</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по 80 мг/10 мг; по 7 таблеток в алюмінієвому блістері, по 2 або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ОАЕ</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"Передозування" відповідно до оновленої інформації з безпеки діючої речовини.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Не 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UA/16928/01/04</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ІЗІКАРД® A</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по 40 мг/5 мг; по 7 таблеток в алюмінієвому блістері, по 2 або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ОАЕ</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"Передозування" відповідно до оновленої інформації з безпеки діючої речовини.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Не 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UA/16928/01/01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ІЛАРІС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розчин для ін`єкцій, 150 мг/1 мл; по 1 мл у флаконі; по 1 флакону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Швейцарія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Контроль якості (Біоаналіз): Новартіс Фарма АГ, Швейцарія; Випуск серії: Новартіс Фарма ГмбХ, Німеччина; Виробництво, контроль якості (за виключенням Біоаналізу), первинне пакування, вторинне пакування: Новартіс Фарма Штейн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w:t>
            </w:r>
          </w:p>
          <w:p w:rsidR="003D03F3" w:rsidRDefault="003D03F3">
            <w:pPr>
              <w:pStyle w:val="110"/>
              <w:tabs>
                <w:tab w:val="left" w:pos="12600"/>
              </w:tabs>
              <w:jc w:val="center"/>
              <w:rPr>
                <w:rFonts w:ascii="Arial" w:hAnsi="Arial" w:cs="Arial"/>
                <w:sz w:val="16"/>
                <w:szCs w:val="16"/>
              </w:rPr>
            </w:pPr>
            <w:r>
              <w:rPr>
                <w:rFonts w:ascii="Arial" w:hAnsi="Arial" w:cs="Arial"/>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незначні зміни в процедурі випробування готового продукту «Зовнішній вигляд контейнера» для введення оцінки кольору ковпачка за допомогою автентичного порівняльного ковпачка;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процедурі випробування готового продукту «Видимі сторонні частинки» для введення класифікації частинок (властивих, внутрішніх або зовнішніх) в оцінці видимих частинок, проаналізованих візуальним оглядом;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процедурі випробування готового продукту «Герметичність флаконів шляхом проникнення барвника (вакуум і надлишковий тиск)» для введення позитивних і негативних контролів у випробуванні придатності системи;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в методі тестування «Чистота за CE-SDS (без зниження)» включають інтеграцію піку повністю аглікозильованого канакінумабу в розрахунок суми споріднених речовин і домішок для діючої речовини та готового продукту</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UA/14525/02/01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ІМОДІУМ®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капсули по 2 мг, по 6 або 20 капсул у блістері; по 1 блістеру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МакНіл Продактс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Англія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ДЖНТЛ Консьюмер Хелс (Франс)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Pr>
                <w:rFonts w:ascii="Arial" w:hAnsi="Arial" w:cs="Arial"/>
                <w:sz w:val="16"/>
                <w:szCs w:val="16"/>
              </w:rPr>
              <w:br/>
              <w:t xml:space="preserve">Діюча редакція: Агнешка Мейчер-Данн / Agnieszka Majcher-Dann. Пропонована редакція: Агнешка Шимхель / Agnieszka Szymchel. </w:t>
            </w:r>
            <w:r>
              <w:rPr>
                <w:rFonts w:ascii="Arial" w:hAnsi="Arial" w:cs="Arial"/>
                <w:sz w:val="16"/>
                <w:szCs w:val="16"/>
              </w:rPr>
              <w:br/>
              <w:t>Зміна контактних даних уповноваженої особи заявника, відповідальної за фармаконагляд;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Арнаутова Юлія Леонідівна / Arnautova Yuliya Leonidivna. Пропонована редакція: Нагорна Катерина Іванівна / Nahorna Kateryna Ivanivna.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UA/9831/01/01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ІНСУКОМБ</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по 500 мг/5 мг; по 15 таблеток у блістері, по 2 або 4 блістери в картонній коробці; по 20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УОРЛД МЕДИЦИН ІЛАЧ САН. ВЕ ТІДЖ. A.Ш.</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Туреччина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 "Побічні реакції" відповідно до інформації щодо медичного застосування референтного лікарського засобу (ГЛЮКОВАНС®, таблетки, вкриті плівковою оболонкою).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Не 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UA/19200/01/02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ІНСУКОМБ</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по 500 мг/2,5 мг; по 15 таблеток у блістері, по 2 або 4 блістери в картонній коробці; по 20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УОРЛД МЕДИЦИН ІЛАЧ САН. ВЕ ТІДЖ. A.Ш.</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Туреччина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 "Побічні реакції" відповідно до інформації щодо медичного застосування референтного лікарського засобу (ГЛЮКОВАНС®, таблетки, вкриті плівковою оболонкою).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Не 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UA/19200/01/01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ІНФАНРИКС™ ІПВ КОМБІНОВАНА ВАКЦИНА ДЛЯ ПРОФІЛАКТИКИ ДИФТЕРІЇ, ПРАВЦЯ, КАШЛЮКА (АЦЕЛЮЛЯРНИЙ КОМПОНЕНТ) ТА ПОЛІОМІЄЛІТУ</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Велика Британiя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Бельгiя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Перенесення тестів з контролю якості in vivo з дільниці GSK Vaccines GmbH, Marburg (Німеччина) на дільницю GlaxoSmithKline S.A., Rixensart (Бельгія), а саме: 1. Minimum Lethal Dose (MLD) performed on Diphtheria pre-Working Seeds and Tetanus Master Seeds. 2. Absence of Toxin and irreversibility of Tetanus Toxoid performed on Tetanus toxoid drug substance (release and stability). 3. Tetanus potency and Diphtheria potency on DTcc (drug product intermediate, stability testing only).</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UA/13939/01/01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 xml:space="preserve">КАНДЕЦИЛ H </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16 мг/12,5 мг; по 10 таблеток у блістері; по 1 або по 3, або по 10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ОАЕ</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щодо інформації про гостру респіраторну токсичність відповідно до оновленої інформації з безпеки діючої речовини гідрохлоротіазиду згідно з рекомендаціями PRAC. Термін введення змін -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повідомлення про побічні реакції після реєстрації лікарського засобу.</w:t>
            </w:r>
            <w:r>
              <w:rPr>
                <w:rFonts w:ascii="Arial" w:hAnsi="Arial" w:cs="Arial"/>
                <w:sz w:val="16"/>
                <w:szCs w:val="16"/>
              </w:rPr>
              <w:br/>
              <w:t>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Не 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UA/12313/01/01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 xml:space="preserve">КАНДЕЦИЛ HD </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32 мг/25 мг, по 10 таблеток у блістері, по 1, по 3, по 10 блістерів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ОАЕ</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щодо інформації про гостру респіраторну токсичність відповідно до оновленої інформації з безпеки діючої речовини гідрохлоротіазиду згідно з рекомендаціями PRAC. Термін введення змін протягом 6 місяців після затвердження</w:t>
            </w:r>
            <w:r>
              <w:rPr>
                <w:rFonts w:ascii="Arial" w:hAnsi="Arial" w:cs="Arial"/>
                <w:sz w:val="16"/>
                <w:szCs w:val="16"/>
              </w:rPr>
              <w:br/>
              <w:t xml:space="preserve">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повідомлення про побічні реакції після реєстрації лікарського засобу. Термін введення змін протягом 6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Не 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UA/12282/01/01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КАНДИБІОТИК</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краплі вушні по 5 мл у флаконі, по 1 флакону разом з піпеткою-ковпачком вкладеному у поліетиленовий пакетик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Гленмарк Фармасьютикалз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упаковки лікарського засобу, а саме: у п. 13. НОМЕР СЕРІЇ ЛІКАРСЬКОГО ЗАСОБУ вторинної упаковки, в п. 3. НОМЕР СЕРІЇ ЛІКАРСЬКОГО ЗАСОБУ та у п. 4. ДАТА ЗАКІНЧЕННЯ ТЕРМІНУ ПРИДАТНОСТІ первинної упаковки.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UA/8208/01/01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КАНЕСПОР® НАБІР</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мазь для зовнішнього застосування по 10 г у тубі зі смужками водостійкого пластиру № 15, скребком для нігтів № 1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Байєр Консьюмер Кер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Швейцарія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Виробник проміжної суміші:</w:t>
            </w:r>
            <w:r>
              <w:rPr>
                <w:rFonts w:ascii="Arial" w:hAnsi="Arial" w:cs="Arial"/>
                <w:sz w:val="16"/>
                <w:szCs w:val="16"/>
              </w:rPr>
              <w:br/>
              <w:t>Байєр АГ, Німеччина;</w:t>
            </w:r>
            <w:r>
              <w:rPr>
                <w:rFonts w:ascii="Arial" w:hAnsi="Arial" w:cs="Arial"/>
                <w:sz w:val="16"/>
                <w:szCs w:val="16"/>
              </w:rPr>
              <w:br/>
              <w:t xml:space="preserve">Гезельшафт фюр Мікронізіерунг мбХ, Німеччина;  </w:t>
            </w:r>
            <w:r>
              <w:rPr>
                <w:rFonts w:ascii="Arial" w:hAnsi="Arial" w:cs="Arial"/>
                <w:sz w:val="16"/>
                <w:szCs w:val="16"/>
              </w:rPr>
              <w:br/>
              <w:t>Виробник in-bulk; первинне та вторинне пакування; контроль якості; виробник, відповідальний за випуск серії:</w:t>
            </w:r>
            <w:r>
              <w:rPr>
                <w:rFonts w:ascii="Arial" w:hAnsi="Arial" w:cs="Arial"/>
                <w:sz w:val="16"/>
                <w:szCs w:val="16"/>
              </w:rPr>
              <w:br/>
              <w:t>ГП Грензах Продуктіонс ГмбХ, Німеччина</w:t>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альтернативної дільниці для виробництва проміжної суміші (преміксу) біфоназол +сечовина - Gesellschaft fur Micronisierung mbH, Germany/Гезельшафт фюр Мікронізіерунг мбХ, Німеччина (затверджено: Bayer A.G., Німеччина).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альтернативної дільниці для проведення часткового контролю якості проміжної суміші (преміксу), а саме випробування розподілу часток за розміром - Gesellschaft fur Micronisierung mbH, Німеччина (затверджено: GP Grenzach Produktions GmbH, Німеччина).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в процесі виробництва преміксу, пов’язані із введенням альтернативного виробника Gesellschaft fur Micronisierung mbH, Німеччина.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додаткового розміру серії преміксу 53,3 кг. Дані зміни вносяться внаслідок реєстрації дільниці Gesellschaft fur Micronisierung mbH, Німеччина. Для дільниці Bayer A.G затверджений розмір серії становить 410 кг.</w:t>
            </w:r>
            <w:r>
              <w:rPr>
                <w:rFonts w:ascii="Arial" w:hAnsi="Arial" w:cs="Arial"/>
                <w:sz w:val="16"/>
                <w:szCs w:val="16"/>
              </w:rPr>
              <w:b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Доповнення реєстраційного досьє п.3.2.P.3.4.10. Control of Intermediates – Packing Materials для проміжної суміші біфоназол+сечовина виробника Gesellschaft fur Micronisierung mbH, оскільки раніше даний розділ не був представлений в досьє. Пакування складається з пакета з фольги 80 мкм РЕ безбарвний, прозорий, осушувач та другий пакет з фольги 80 мкм РЕ безбарвний, прозорий.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в п.3.2.P.3.4. Control of Intermediates, а саме додавання специфікації проміжної суміші біфоназол+сечовина для виробника Gesellschaft fur Micronisierung mbH, оскільки раніше даний розділ не був представлений в досьє.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ГЛЗ Kern Pharma S.L., Spain / Керн Фарма С.Л., Іспанія, оскільки наявний інший затверджений виробник ГЛЗ GP Grenzach Produktions GmbH, Німеччина.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(вилучення виробника ГЛЗ Керн Фарма С.Л., Іспанія).</w:t>
            </w:r>
            <w:r>
              <w:rPr>
                <w:rFonts w:ascii="Arial" w:hAnsi="Arial" w:cs="Arial"/>
                <w:sz w:val="16"/>
                <w:szCs w:val="16"/>
              </w:rPr>
              <w:b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Pr>
                <w:rFonts w:ascii="Arial" w:hAnsi="Arial" w:cs="Arial"/>
                <w:sz w:val="16"/>
                <w:szCs w:val="16"/>
              </w:rPr>
              <w:br/>
              <w:t>Вилучення виробника, відповідального за вторинне пакування ГЛЗ - Syseam, S.A., Spain / Сісеам, С.А., Іспанія, оскільки стадія вторинного пакування на цій дільниці як частина циклу здійснювалася лише виробником Керн Фарма С.Л., Іспанія.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відповідального за вторинне пакування ГЛЗ - Laboratori Fundacio DAU, Spain / Лабораторі Фундаціо ДАУ, Іспанія, оскільки стадія вторинного пакування на цій дільниці як частина циклу здійснювалася лише виробником Керн Фарма С.Л., Іспанія.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UA/6241/01/01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 xml:space="preserve">КАРБАМАЗЕПІН-ЗДОРОВ'Я </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по 200 мг; по 10 таблеток у блістері; по 2 блістери у картонній коробці; по 20 таблеток у блістері; по 1 блістеру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всі стадії виробництва, контроль якості, випуск серії:</w:t>
            </w:r>
            <w:r>
              <w:rPr>
                <w:rFonts w:ascii="Arial" w:hAnsi="Arial" w:cs="Arial"/>
                <w:sz w:val="16"/>
                <w:szCs w:val="16"/>
              </w:rPr>
              <w:br/>
              <w:t>Товариство з обмеженою відповідальністю "Фармацевтична компанія "Здоров'я"</w:t>
            </w:r>
            <w:r>
              <w:rPr>
                <w:rFonts w:ascii="Arial" w:hAnsi="Arial" w:cs="Arial"/>
                <w:sz w:val="16"/>
                <w:szCs w:val="16"/>
              </w:rPr>
              <w:br/>
              <w:t xml:space="preserve">Україна; </w:t>
            </w:r>
            <w:r>
              <w:rPr>
                <w:rFonts w:ascii="Arial" w:hAnsi="Arial" w:cs="Arial"/>
                <w:sz w:val="16"/>
                <w:szCs w:val="16"/>
              </w:rPr>
              <w:br/>
              <w:t>всі стадії виробництва, контроль якості, випуск серії:</w:t>
            </w:r>
            <w:r>
              <w:rPr>
                <w:rFonts w:ascii="Arial" w:hAnsi="Arial" w:cs="Arial"/>
                <w:sz w:val="16"/>
                <w:szCs w:val="16"/>
              </w:rPr>
              <w:br/>
              <w:t>Товариство з обмеженою відповідальністю "ФАРМЕКС ГРУП"</w:t>
            </w:r>
            <w:r>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виробничої дільниці, що відповідає за випуск серії ТОВ “ФАРМЕКС ГРУП”, Україна (Україна, 08301, Київська обл., м. Бориспіль, вул. Шевченка, буд. 100).</w:t>
            </w:r>
            <w:r>
              <w:rPr>
                <w:rFonts w:ascii="Arial" w:hAnsi="Arial" w:cs="Arial"/>
                <w:sz w:val="16"/>
                <w:szCs w:val="16"/>
              </w:rPr>
              <w:br/>
              <w:t>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Не 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UA/7327/01/01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КАРДАЗИН-ЗДОРОВ'Я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по 20 мг; по 30 таблеток у блістері; по 1 або 2 блістери у картонній коробці;</w:t>
            </w:r>
            <w:r>
              <w:rPr>
                <w:rFonts w:ascii="Arial" w:hAnsi="Arial" w:cs="Arial"/>
                <w:sz w:val="16"/>
                <w:szCs w:val="16"/>
              </w:rPr>
              <w:br/>
              <w:t>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Товариство з обмеженою відповідальністю "Фармацевтична компанія "Здоров'я"</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всі стадії виробництва, контроль якості, випуск серії:</w:t>
            </w:r>
            <w:r>
              <w:rPr>
                <w:rFonts w:ascii="Arial" w:hAnsi="Arial" w:cs="Arial"/>
                <w:sz w:val="16"/>
                <w:szCs w:val="16"/>
              </w:rPr>
              <w:br/>
              <w:t>Товариство з обмеженою відповідальністю "Фармацевтична компанія "Здоров'я"</w:t>
            </w:r>
            <w:r>
              <w:rPr>
                <w:rFonts w:ascii="Arial" w:hAnsi="Arial" w:cs="Arial"/>
                <w:sz w:val="16"/>
                <w:szCs w:val="16"/>
              </w:rPr>
              <w:br/>
              <w:t xml:space="preserve">Україна; </w:t>
            </w:r>
            <w:r>
              <w:rPr>
                <w:rFonts w:ascii="Arial" w:hAnsi="Arial" w:cs="Arial"/>
                <w:sz w:val="16"/>
                <w:szCs w:val="16"/>
              </w:rPr>
              <w:br/>
              <w:t>всі стадії виробництва, контроль якості, випуск серії:</w:t>
            </w:r>
            <w:r>
              <w:rPr>
                <w:rFonts w:ascii="Arial" w:hAnsi="Arial" w:cs="Arial"/>
                <w:sz w:val="16"/>
                <w:szCs w:val="16"/>
              </w:rPr>
              <w:br/>
              <w:t>Товариство з обмеженою відповідальністю "ФАРМЕКС ГРУП"</w:t>
            </w:r>
            <w:r>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виробничої дільниці, що відповідає за випуск серії ТОВ “ФАРМЕКС ГРУП”, Україна (Україна, 08301, Київська обл., місто Бориспіль, вулиця Шевченка, будинок 100).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Не 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UA/3048/01/01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КАРДІОДАРОН-ЗДОРОВ'Я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таблетки по 200 мг; по 10 таблеток у блістері; по 3 блістери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Товариство з обмеженою відповідальністю "Фармацевтична компанія "Здоров'я"</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всі стадії виробництва, контроль якості, випуск серії:</w:t>
            </w:r>
            <w:r>
              <w:rPr>
                <w:rFonts w:ascii="Arial" w:hAnsi="Arial" w:cs="Arial"/>
                <w:sz w:val="16"/>
                <w:szCs w:val="16"/>
              </w:rPr>
              <w:br/>
              <w:t>Товариство з обмеженою відповідальністю "Фармацевтична компанія "Здоров'я"</w:t>
            </w:r>
            <w:r>
              <w:rPr>
                <w:rFonts w:ascii="Arial" w:hAnsi="Arial" w:cs="Arial"/>
                <w:sz w:val="16"/>
                <w:szCs w:val="16"/>
              </w:rPr>
              <w:br/>
              <w:t xml:space="preserve">Україна;  </w:t>
            </w:r>
            <w:r>
              <w:rPr>
                <w:rFonts w:ascii="Arial" w:hAnsi="Arial" w:cs="Arial"/>
                <w:sz w:val="16"/>
                <w:szCs w:val="16"/>
              </w:rPr>
              <w:br/>
              <w:t>всі стадії виробництва, контроль якості, випуск серії:</w:t>
            </w:r>
            <w:r>
              <w:rPr>
                <w:rFonts w:ascii="Arial" w:hAnsi="Arial" w:cs="Arial"/>
                <w:sz w:val="16"/>
                <w:szCs w:val="16"/>
              </w:rPr>
              <w:br/>
              <w:t>Товариство з обмеженою відповідальністю "ФАРМЕКС ГРУП"</w:t>
            </w:r>
            <w:r>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виробничої дільниці, що відповідає за випуск серії ТОВ “ФАРМЕКС ГРУП”, Україна (Україна, 08301, Київська обл., м. Бориспіль, вул. Шевченка, буд. 100).</w:t>
            </w:r>
            <w:r>
              <w:rPr>
                <w:rFonts w:ascii="Arial" w:hAnsi="Arial" w:cs="Arial"/>
                <w:sz w:val="16"/>
                <w:szCs w:val="16"/>
              </w:rPr>
              <w:br/>
              <w:t>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Не 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UA/1713/02/01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КАРДОЛАКС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розчин для ін'єкцій, 1 мг/мл, по 5 мл в ампулі; по 10 ампул у контурній чарунковій упаковці; по 1 контурній чарунковій упаковці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Мефар Ілач Сан.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введення додаткового розміру серії готового лікарського засобу. Затверджено: 60 л. Запропоновано: 60 л (11,320 ампул); 600 л (113,207 ампул).</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UA/16067/01/01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КАСОДЕКС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таблетки, вкриті плівковою оболонкою, по 150 мг; по 14 таблеток у блістері; по 2 блістери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АстраЗенека ЮК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Велика Британiя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Виробник, відповідальний за виробництво "in bulk", контроль якості: Корден Фарма ГмбХ, Німеччина; Виробник, відповідальний за первинне та вторинне пакування, випуск серії: АстраЗенека ЮК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Німеччина/Велика Британія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упаковки лікарського засобу, а саме: вилучення тексту маркування без застосування міжнародної системи одиниць SI та внесення редакційних правок у текст маркування із застосуванням міжнародної системи одиниць SI.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UA/0185/01/02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КАСОДЕКС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таблетки, вкриті плівковою оболонкою, по 50 мг; по 14 таблеток у блістері; по 2 блістери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АстраЗенека ЮК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Велика Британiя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Виробник, відповідальний за виробництво "in bulk", контроль якості: Корден Фарма ГмбХ, Німеччина; Виробник, відповідальний за первинне та вторинне пакування, випуск серії: АстраЗенека ЮК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Німеччинна/Велика Британія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упаковки лікарського засобу, а саме: вилучення тексту маркування без застосування міжнародної системи одиниць SI та внесення редакційних правок у текст маркування із застосуванням міжнародної системи одиниць SI.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UA/0185/01/01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КВЕТИКСОЛ XR</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пролонгованої дії, по 50 мг; по 10 таблеток у блістері; по 3 блістери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Литовська Республіка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контроль якості, первинне та вторинне пакування, випуск серії: Меркле ГмбХ, Німеччина; виробництво нерозфасованої продукції:</w:t>
            </w:r>
            <w:r>
              <w:rPr>
                <w:rFonts w:ascii="Arial" w:hAnsi="Arial" w:cs="Arial"/>
                <w:sz w:val="16"/>
                <w:szCs w:val="16"/>
              </w:rPr>
              <w:br/>
              <w:t>Меркле ГмбХ ,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умов зберігання ГЛЗ: Зміни внесені в інструкцію для медичного застосування лікарського засобу "Умови зберігання" з відповідними змінами в тексті маркування упаковки.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Не 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UA/19569/01/01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КВЕТИКСОЛ XR</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пролонгованої дії, по 150 мг; по 10 таблеток у блістері; по 3 блістери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Литовська Республіка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контроль якості, первинне та вторинне пакування, випуск серії: Меркле ГмбХ, Німеччина; виробництво нерозфасованої продукції:</w:t>
            </w:r>
            <w:r>
              <w:rPr>
                <w:rFonts w:ascii="Arial" w:hAnsi="Arial" w:cs="Arial"/>
                <w:sz w:val="16"/>
                <w:szCs w:val="16"/>
              </w:rPr>
              <w:br/>
              <w:t>Меркле ГмбХ ,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умов зберігання ГЛЗ: Зміни внесені в інструкцію для медичного застосування лікарського засобу "Умови зберігання" з відповідними змінами в тексті маркування упаковки.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Не 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UA/19569/01/02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КВЕТИКСОЛ XR</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пролонгованої дії, по 200 мг; по 10 таблеток у блістері; по 3 блістери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Литовська Республіка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контроль якості, первинне та вторинне пакування, випуск серії: Меркле ГмбХ, Німеччина; виробництво нерозфасованої продукції:</w:t>
            </w:r>
            <w:r>
              <w:rPr>
                <w:rFonts w:ascii="Arial" w:hAnsi="Arial" w:cs="Arial"/>
                <w:sz w:val="16"/>
                <w:szCs w:val="16"/>
              </w:rPr>
              <w:br/>
              <w:t>Меркле ГмбХ ,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умов зберігання ГЛЗ: Зміни внесені в інструкцію для медичного застосування лікарського засобу "Умови зберігання" з відповідними змінами в тексті маркування упаковки.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Не 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UA/19569/01/03</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КВЕТИКСОЛ XR</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пролонгованої дії, по 300 мг; по 10 таблеток у блістері; по 3 блістери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Литовська Республіка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контроль якості, первинне та вторинне пакування, випуск серії: Меркле ГмбХ, Німеччина; виробництво нерозфасованої продукції:</w:t>
            </w:r>
            <w:r>
              <w:rPr>
                <w:rFonts w:ascii="Arial" w:hAnsi="Arial" w:cs="Arial"/>
                <w:sz w:val="16"/>
                <w:szCs w:val="16"/>
              </w:rPr>
              <w:br/>
              <w:t>Меркле ГмбХ ,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умов зберігання ГЛЗ: Зміни внесені в інструкцію для медичного застосування лікарського засобу "Умови зберігання" з відповідними змінами в тексті маркування упаковки.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Не 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UA/19569/01/04</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КВЕТИКСОЛ XR</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пролонгованої дії, по 400 мг; по 10 таблеток у блістері; по 3 блістери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Литовська Республіка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контроль якості, первинне та вторинне пакування, випуск серії: Меркле ГмбХ, Німеччина; виробництво нерозфасованої продукції:</w:t>
            </w:r>
            <w:r>
              <w:rPr>
                <w:rFonts w:ascii="Arial" w:hAnsi="Arial" w:cs="Arial"/>
                <w:sz w:val="16"/>
                <w:szCs w:val="16"/>
              </w:rPr>
              <w:br/>
              <w:t>Меркле ГмбХ ,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умов зберігання ГЛЗ: Зміни внесені в інструкцію для медичного застосування лікарського засобу "Умови зберігання" з відповідними змінами в тексті маркування упаковки.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Не 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UA/19569/01/05</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 xml:space="preserve">КВЕТИКСОЛ XR </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таблетки, вкриті плівковою оболонкою, пролонгованої дії, по 150 мг; по 10 таблеток у блістері; по 3 блістери в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Литовська Республіка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контроль якості, первинне та вторинне пакування, випуск серії: Меркле ГмбХ, Німеччина; виробництво нерозфасованої продукції:</w:t>
            </w:r>
            <w:r>
              <w:rPr>
                <w:rFonts w:ascii="Arial" w:hAnsi="Arial" w:cs="Arial"/>
                <w:sz w:val="16"/>
                <w:szCs w:val="16"/>
              </w:rPr>
              <w:br/>
              <w:t>Меркле ГмбХ ,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2020-234 - Rev 00 для АФІ кветіапіну фумарату від вже затвердженого виробника Teva Pharmaceutical Industries Ltd., Ізраїль.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2020-234 - Rev 01 для АФІ кветіапіну фумарату від вже затвердженого виробника Teva Pharmaceutical Industries Ltd., Ізраїль.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 введення періоду повторного випробування АФІ – 30 місяців, оскільки новий СЕР не містить інформації щодо повторного тестування діючої речовини кветіапіну фумарату.</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UA/19569/01/02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 xml:space="preserve">КВЕТИКСОЛ XR </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таблетки, вкриті плівковою оболонкою, пролонгованої дії, по 200 мг; по 10 таблеток у блістері; по 3 блістери в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Литовська Республіка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контроль якості, первинне та вторинне пакування, випуск серії: Меркле ГмбХ, Німеччина; виробництво нерозфасованої продукції:</w:t>
            </w:r>
            <w:r>
              <w:rPr>
                <w:rFonts w:ascii="Arial" w:hAnsi="Arial" w:cs="Arial"/>
                <w:sz w:val="16"/>
                <w:szCs w:val="16"/>
              </w:rPr>
              <w:br/>
              <w:t>Меркле ГмбХ ,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2020-234 - Rev 00 для АФІ кветіапіну фумарату від вже затвердженого виробника Teva Pharmaceutical Industries Ltd., Ізраїль.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2020-234 - Rev 01 для АФІ кветіапіну фумарату від вже затвердженого виробника Teva Pharmaceutical Industries Ltd., Ізраїль.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 введення періоду повторного випробування АФІ – 30 місяців, оскільки новий СЕР не містить інформації щодо повторного тестування діючої речовини кветіапіну фумарату.</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UA/19569/01/03</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 xml:space="preserve">КВЕТИКСОЛ XR </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таблетки, вкриті плівковою оболонкою, пролонгованої дії, по 300 мг; по 10 таблеток у блістері; по 3 блістери в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Литовська Республіка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контроль якості, первинне та вторинне пакування, випуск серії: Меркле ГмбХ, Німеччина; виробництво нерозфасованої продукції:</w:t>
            </w:r>
            <w:r>
              <w:rPr>
                <w:rFonts w:ascii="Arial" w:hAnsi="Arial" w:cs="Arial"/>
                <w:sz w:val="16"/>
                <w:szCs w:val="16"/>
              </w:rPr>
              <w:br/>
              <w:t>Меркле ГмбХ ,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2020-234 - Rev 00 для АФІ кветіапіну фумарату від вже затвердженого виробника Teva Pharmaceutical Industries Ltd., Ізраїль.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2020-234 - Rev 01 для АФІ кветіапіну фумарату від вже затвердженого виробника Teva Pharmaceutical Industries Ltd., Ізраїль.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 введення періоду повторного випробування АФІ – 30 місяців, оскільки новий СЕР не містить інформації щодо повторного тестування діючої речовини кветіапіну фумарату.</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UA/19569/01/04</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 xml:space="preserve">КВЕТИКСОЛ XR </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таблетки, вкриті плівковою оболонкою, пролонгованої дії, по 400 мг; по 10 таблеток у блістері; по 3 блістери в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Литовська Республіка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контроль якості, первинне та вторинне пакування, випуск серії: Меркле ГмбХ, Німеччина; виробництво нерозфасованої продукції:</w:t>
            </w:r>
            <w:r>
              <w:rPr>
                <w:rFonts w:ascii="Arial" w:hAnsi="Arial" w:cs="Arial"/>
                <w:sz w:val="16"/>
                <w:szCs w:val="16"/>
              </w:rPr>
              <w:br/>
              <w:t>Меркле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2020-234 - Rev 00 для АФІ кветіапіну фумарату від вже затвердженого виробника Teva Pharmaceutical Industries Ltd., Ізраїль.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2020-234 - Rev 01 для АФІ кветіапіну фумарату від вже затвердженого виробника Teva Pharmaceutical Industries Ltd., Ізраїль.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 введення періоду повторного випробування АФІ – 30 місяців, оскільки новий СЕР не містить інформації щодо повторного тестування діючої речовини кветіапіну фумарату.</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UA/19569/01/05</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 xml:space="preserve">КВЕТИКСОЛ XR </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таблетки, вкриті плівковою оболонкою, пролонгованої дії, по 50 мг; по 10 таблеток у блістері; по 3 блістери в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Литовська Республіка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контроль якості, первинне та вторинне пакування, випуск серії: Меркле ГмбХ, Німеччина; виробництво нерозфасованої продукції:</w:t>
            </w:r>
            <w:r>
              <w:rPr>
                <w:rFonts w:ascii="Arial" w:hAnsi="Arial" w:cs="Arial"/>
                <w:sz w:val="16"/>
                <w:szCs w:val="16"/>
              </w:rPr>
              <w:br/>
              <w:t>Меркле ГмбХ ,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2020-234 - Rev 00 для АФІ кветіапіну фумарату від вже затвердженого виробника Teva Pharmaceutical Industries Ltd., Ізраїль.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2020-234 - Rev 01 для АФІ кветіапіну фумарату від вже затвердженого виробника Teva Pharmaceutical Industries Ltd., Ізраїль.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 введення періоду повторного випробування АФІ – 30 місяців, оскільки новий СЕР не містить інформації щодо повторного тестування діючої речовини кветіапіну фумарату.</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UA/19569/01/01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КЕТОДЕКСА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таблетки, вкриті плівковою оболонкою, по 25 мг; по 10 таблеток у блістері; по 1 або по 3 блістери у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"АСТРАФАРМ"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Pr>
                <w:rFonts w:ascii="Arial" w:hAnsi="Arial" w:cs="Arial"/>
                <w:sz w:val="16"/>
                <w:szCs w:val="16"/>
              </w:rPr>
              <w:br/>
              <w:t>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рекомендацій PRAC.</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Не 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UA/16020/01/01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КЕТОРОЛ ЕКСПРЕС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що диспергуються в ротовій порожнині, по 10 мг; по 10 таблеток у блістері; по 1 або 10 блістерів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Д-р Редді'с Лабораторіс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Д-р Редді’с Лабораторіс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rPr>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рутинного контролю за показником «Appearance», в процесі виробництва (in-process control) на етапі змішування. Випробування проводитимуть лише під час виробництва валідаційних серій.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вилучення рутинного контролю за показником «Assay by HPLC» в процесі виробництва (in-process control) на етапі змішування. Випробування проводитимуть лише під час виробництва валідаційних серій.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вилучення рутинного контролю за показником «Blend Uniformity by HPLC», в процесі виробництва (in-process control) на етапі змішування. Випробування проводитимуть лише під час виробництва валідаційних серій. Введення змін протягом 6-ти місяців після затвердження. </w:t>
            </w:r>
            <w:r>
              <w:rPr>
                <w:rFonts w:ascii="Arial" w:hAnsi="Arial" w:cs="Arial"/>
                <w:sz w:val="16"/>
                <w:szCs w:val="16"/>
              </w:rPr>
              <w:b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вилучення рутинного контролю за показником «Residual Solvents», в процесі виробництва (in-process control) на етапі змішування. Випробування проводитимуть лише під час виробництва валідаційних серій.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вилучення рутинного контролю за показником «Water by KF», в процесі виробництва (in-process control) на етапі змішування. Випробування проводитимуть лише під час виробництва валідаційних серій.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Pr>
                <w:rFonts w:ascii="Arial" w:hAnsi="Arial" w:cs="Arial"/>
                <w:sz w:val="16"/>
                <w:szCs w:val="16"/>
              </w:rPr>
              <w:br/>
              <w:t xml:space="preserve">введення періодичності контролю ГЛЗ за показником «Мікробіологічна чистота» - на момент випуску (release specification): контролюється з періодичністю кожні 20 серій або 1 серія на рік залежно від того, що частіше. Протягом терміну придатності (shelf-life specification): випробування проводять в кінці терміну придатності або відповідно до протоколу.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приведення тексту Методів контролю якості ГЛЗ у відповідність до вимог діючого законодавства України, а саме: переклад на українську мову.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UA/18105/01/01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КЕТОРОЛАК-ЗДОРОВ'Я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по 10 мг; по 10 таблеток у блістері; по 1 або по 2 блістери в картонній коробці;</w:t>
            </w:r>
            <w:r>
              <w:rPr>
                <w:rFonts w:ascii="Arial" w:hAnsi="Arial" w:cs="Arial"/>
                <w:sz w:val="16"/>
                <w:szCs w:val="16"/>
              </w:rPr>
              <w:br/>
              <w:t xml:space="preserve">по 30 таблеток у контейнері; по 1 контейнеру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всі стадії виробництва, контроль якості, випуск серії:</w:t>
            </w:r>
            <w:r>
              <w:rPr>
                <w:rFonts w:ascii="Arial" w:hAnsi="Arial" w:cs="Arial"/>
                <w:sz w:val="16"/>
                <w:szCs w:val="16"/>
              </w:rPr>
              <w:br/>
              <w:t>Товариство з обмеженою відповідальністю "Фармацевтична компанія "Здоров'я"</w:t>
            </w:r>
            <w:r>
              <w:rPr>
                <w:rFonts w:ascii="Arial" w:hAnsi="Arial" w:cs="Arial"/>
                <w:sz w:val="16"/>
                <w:szCs w:val="16"/>
              </w:rPr>
              <w:br/>
              <w:t xml:space="preserve">Україна; </w:t>
            </w:r>
            <w:r>
              <w:rPr>
                <w:rFonts w:ascii="Arial" w:hAnsi="Arial" w:cs="Arial"/>
                <w:sz w:val="16"/>
                <w:szCs w:val="16"/>
              </w:rPr>
              <w:br/>
              <w:t xml:space="preserve">всі стадії виробництва, контроль якості, випуск серії: </w:t>
            </w:r>
            <w:r>
              <w:rPr>
                <w:rFonts w:ascii="Arial" w:hAnsi="Arial" w:cs="Arial"/>
                <w:sz w:val="16"/>
                <w:szCs w:val="16"/>
              </w:rPr>
              <w:br/>
              <w:t>Товариство з обмеженою відповідальністю "ФАРМЕКС ГРУП"</w:t>
            </w:r>
            <w:r>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виробничої дільниці, що відповідає за випуск серії ТОВ “ФАРМЕКС ГРУП”, Україна (Україна, 08301, Київська обл., місто Бориспіль, вулиця Шевченка, будинок 100).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Не 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UA/4961/02/01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КЕТОРОЛАК-МІКРОХІМ</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розчин для ін`єкцій, 30 мг/мл, по 1 мл в ампулі; по 5 ампул у касеті; по 2 касети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ТОВ НВФ «МІКРОХІМ» </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відповідальний за виробництво та контроль/випробування серії, не включаючи випуск серії:</w:t>
            </w:r>
            <w:r>
              <w:rPr>
                <w:rFonts w:ascii="Arial" w:hAnsi="Arial" w:cs="Arial"/>
                <w:sz w:val="16"/>
                <w:szCs w:val="16"/>
              </w:rPr>
              <w:br/>
              <w:t>Приватне акціонерне товариство «Лекхім-Харків»</w:t>
            </w:r>
            <w:r>
              <w:rPr>
                <w:rFonts w:ascii="Arial" w:hAnsi="Arial" w:cs="Arial"/>
                <w:sz w:val="16"/>
                <w:szCs w:val="16"/>
              </w:rPr>
              <w:br/>
              <w:t xml:space="preserve">Україна; </w:t>
            </w:r>
            <w:r>
              <w:rPr>
                <w:rFonts w:ascii="Arial" w:hAnsi="Arial" w:cs="Arial"/>
                <w:sz w:val="16"/>
                <w:szCs w:val="16"/>
              </w:rPr>
              <w:br/>
              <w:t>відповідальний за виробництво та контроль/випробування серії, включаючи випуск серії:</w:t>
            </w:r>
            <w:r>
              <w:rPr>
                <w:rFonts w:ascii="Arial" w:hAnsi="Arial" w:cs="Arial"/>
                <w:sz w:val="16"/>
                <w:szCs w:val="16"/>
              </w:rPr>
              <w:br/>
              <w:t>Товариство з обмеженою відповідальністю Науково-виробнича фірма «МІКРОХІМ»</w:t>
            </w:r>
            <w:r>
              <w:rPr>
                <w:rFonts w:ascii="Arial" w:hAnsi="Arial" w:cs="Arial"/>
                <w:sz w:val="16"/>
                <w:szCs w:val="16"/>
              </w:rPr>
              <w:br/>
              <w:t xml:space="preserve">Україна; </w:t>
            </w:r>
            <w:r>
              <w:rPr>
                <w:rFonts w:ascii="Arial" w:hAnsi="Arial" w:cs="Arial"/>
                <w:sz w:val="16"/>
                <w:szCs w:val="16"/>
              </w:rPr>
              <w:br/>
              <w:t xml:space="preserve">відповідальний за випуск серії, не включаючи контроль/випробування серії: </w:t>
            </w:r>
            <w:r>
              <w:rPr>
                <w:rFonts w:ascii="Arial" w:hAnsi="Arial" w:cs="Arial"/>
                <w:sz w:val="16"/>
                <w:szCs w:val="16"/>
              </w:rPr>
              <w:br/>
              <w:t xml:space="preserve">ТОВ НВФ «МІКРОХІМ» </w:t>
            </w:r>
            <w:r>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 внесені в інструкцію для медичного застосування лікарського засобу у розділи " Заявник", "Місцезнаходження заявника".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виробника ГЛЗ, відповідального за випуск серії, не включаючи контроль/випробування серії: ТОВ НВФ «МІКРОХІМ» (за адресою: Україна, 01013 м. Київ, вул. Будіндустрії, 5) внесені в інструкцію для медичного застосування лікарського засобу у розділи "Виробник", "Місцезнаходження виробника та його адреси місця провадження діяльності" з можливістю друкувати окремі інструкції для медичного застосування лікарського засобу для відповідних виробників та як наслідок поява упаковок лікарського засобу для додаткових виробників.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юридичної адреси виробника ГЛЗ, без зміни фактичного місця виробництва.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Не 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UA/17057/01/01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КЛАРИТРОМІЦИН-ЗДОРОВ'Я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по 500 мг по 7 таблеток у блістері; по 1 або по 2 блістери в картонній коробці; по 10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Товариство з обмеженою відповідальністю "Фармацевтична компанія "Здоров'я"</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всі стадії виробництва, контроль якості, випуск серії:</w:t>
            </w:r>
          </w:p>
          <w:p w:rsidR="003D03F3" w:rsidRDefault="003D03F3">
            <w:pPr>
              <w:pStyle w:val="110"/>
              <w:tabs>
                <w:tab w:val="left" w:pos="12600"/>
              </w:tabs>
              <w:jc w:val="center"/>
              <w:rPr>
                <w:rFonts w:ascii="Arial" w:hAnsi="Arial" w:cs="Arial"/>
                <w:sz w:val="16"/>
                <w:szCs w:val="16"/>
              </w:rPr>
            </w:pPr>
            <w:r>
              <w:rPr>
                <w:rFonts w:ascii="Arial" w:hAnsi="Arial" w:cs="Arial"/>
                <w:sz w:val="16"/>
                <w:szCs w:val="16"/>
              </w:rPr>
              <w:t>Товариство з обмеженою відповідальністю "Фармацевтична компанія "Здоров'я",</w:t>
            </w:r>
          </w:p>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Україна; </w:t>
            </w:r>
          </w:p>
          <w:p w:rsidR="003D03F3" w:rsidRDefault="003D03F3">
            <w:pPr>
              <w:pStyle w:val="110"/>
              <w:tabs>
                <w:tab w:val="left" w:pos="12600"/>
              </w:tabs>
              <w:jc w:val="center"/>
              <w:rPr>
                <w:rFonts w:ascii="Arial" w:hAnsi="Arial" w:cs="Arial"/>
                <w:sz w:val="16"/>
                <w:szCs w:val="16"/>
              </w:rPr>
            </w:pPr>
            <w:r>
              <w:rPr>
                <w:rFonts w:ascii="Arial" w:hAnsi="Arial" w:cs="Arial"/>
                <w:sz w:val="16"/>
                <w:szCs w:val="16"/>
              </w:rPr>
              <w:t>всі стадії виробництва, контроль якості, випуск серії:</w:t>
            </w:r>
          </w:p>
          <w:p w:rsidR="003D03F3" w:rsidRDefault="003D03F3">
            <w:pPr>
              <w:pStyle w:val="110"/>
              <w:tabs>
                <w:tab w:val="left" w:pos="12600"/>
              </w:tabs>
              <w:jc w:val="center"/>
              <w:rPr>
                <w:rFonts w:ascii="Arial" w:hAnsi="Arial" w:cs="Arial"/>
                <w:sz w:val="16"/>
                <w:szCs w:val="16"/>
              </w:rPr>
            </w:pPr>
            <w:r>
              <w:rPr>
                <w:rFonts w:ascii="Arial" w:hAnsi="Arial" w:cs="Arial"/>
                <w:sz w:val="16"/>
                <w:szCs w:val="16"/>
              </w:rPr>
              <w:t>Товариство з обмеженою відповідальністю "ФАРМЕКС ГРУП",</w:t>
            </w:r>
          </w:p>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виробничої дільниці, що відповідає за випуск серії ТОВ “ФАРМЕКС ГРУП”, Україна (Україна, 08301, Київська обл., місто Бориспіль, вулиця Шевченка, будинок 100). Зміни внесені в розділи "Виробник" та "Місцезнаходження виробника та адреса місця провадження його діяльності" в інструкцію для медичного застосування у зв"язку з введенням додаткової виробничої дільниці та як наслідок - відповідні зміни у тексті маркування упаковки лікарського засобу.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Не 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UA/9712/01/02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КЛАРИТРОМІЦИН-ЗДОРОВ'Я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по 250 мг по 7 таблеток у блістері; по 2 блістери в картонній коробці; по 10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Товариство з обмеженою відповідальністю "Фармацевтична компанія "Здоров'я"</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всі стадії виробництва, контроль якості, випуск серії:</w:t>
            </w:r>
          </w:p>
          <w:p w:rsidR="003D03F3" w:rsidRDefault="003D03F3">
            <w:pPr>
              <w:pStyle w:val="110"/>
              <w:tabs>
                <w:tab w:val="left" w:pos="12600"/>
              </w:tabs>
              <w:jc w:val="center"/>
              <w:rPr>
                <w:rFonts w:ascii="Arial" w:hAnsi="Arial" w:cs="Arial"/>
                <w:sz w:val="16"/>
                <w:szCs w:val="16"/>
              </w:rPr>
            </w:pPr>
            <w:r>
              <w:rPr>
                <w:rFonts w:ascii="Arial" w:hAnsi="Arial" w:cs="Arial"/>
                <w:sz w:val="16"/>
                <w:szCs w:val="16"/>
              </w:rPr>
              <w:t>Товариство з обмеженою відповідальністю "Фармацевтична компанія "Здоров'я",</w:t>
            </w:r>
          </w:p>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Україна; </w:t>
            </w:r>
          </w:p>
          <w:p w:rsidR="003D03F3" w:rsidRDefault="003D03F3">
            <w:pPr>
              <w:pStyle w:val="110"/>
              <w:tabs>
                <w:tab w:val="left" w:pos="12600"/>
              </w:tabs>
              <w:jc w:val="center"/>
              <w:rPr>
                <w:rFonts w:ascii="Arial" w:hAnsi="Arial" w:cs="Arial"/>
                <w:sz w:val="16"/>
                <w:szCs w:val="16"/>
              </w:rPr>
            </w:pPr>
            <w:r>
              <w:rPr>
                <w:rFonts w:ascii="Arial" w:hAnsi="Arial" w:cs="Arial"/>
                <w:sz w:val="16"/>
                <w:szCs w:val="16"/>
              </w:rPr>
              <w:t>всі стадії виробництва, контроль якості, випуск серії:</w:t>
            </w:r>
          </w:p>
          <w:p w:rsidR="003D03F3" w:rsidRDefault="003D03F3">
            <w:pPr>
              <w:pStyle w:val="110"/>
              <w:tabs>
                <w:tab w:val="left" w:pos="12600"/>
              </w:tabs>
              <w:jc w:val="center"/>
              <w:rPr>
                <w:rFonts w:ascii="Arial" w:hAnsi="Arial" w:cs="Arial"/>
                <w:sz w:val="16"/>
                <w:szCs w:val="16"/>
              </w:rPr>
            </w:pPr>
            <w:r>
              <w:rPr>
                <w:rFonts w:ascii="Arial" w:hAnsi="Arial" w:cs="Arial"/>
                <w:sz w:val="16"/>
                <w:szCs w:val="16"/>
              </w:rPr>
              <w:t>Товариство з обмеженою відповідальністю "ФАРМЕКС ГРУП",</w:t>
            </w:r>
          </w:p>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виробничої дільниці, що відповідає за випуск серії ТОВ “ФАРМЕКС ГРУП”, Україна (Україна, 08301, Київська обл., місто Бориспіль, вулиця Шевченка, будинок 100). Зміни внесені в розділи "Виробник" та "Місцезнаходження виробника та адреса місця провадження його діяльності" в інструкцію для медичного застосування у зв"язку з введенням додаткової виробничої дільниці та як наслідок - відповідні зміни у тексті маркування упаковки лікарського засобу.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Не 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UA/9712/01/01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КЛІНДАМІЦИН-М</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капсули по 0,15 г; по 10 капсул у блістері; по 1 блістеру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ПАТ «Монфарм» </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ПАТ «Монфарм» </w:t>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ПАТ "Монфарм", Україна, без зміни місця виробництва.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Совгира Сергій Сергійович. Пропонована редакція: Пастушенко Інна Вікторівна. </w:t>
            </w:r>
            <w:r>
              <w:rPr>
                <w:rFonts w:ascii="Arial" w:hAnsi="Arial" w:cs="Arial"/>
                <w:sz w:val="16"/>
                <w:szCs w:val="16"/>
              </w:rPr>
              <w:br/>
              <w:t>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Не 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UA/8159/01/01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КОКАРБОКСИЛАЗА -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по 50 мг, по 10 таблеток у блістері; по 2 або 3 блістери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"Фармацевтична компанія "ФарКоС"</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"АСТРАФАРМ"</w:t>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Введення додатковогу розміру пакування ЛЗ з маркетингових міркувань та для зручності пацієнта. Зміни внесені в інструкцію для медичного застосування лікарського засобу у розділ "Упаковка" (зміна розміру упаковки ЛЗ).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Не 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UA/11886/01/02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КОЛДРЕКС МАКСГРИП ЗІ СМАКОМ ЛИМОНУ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порошок для орального розчину 5 або 10 пакетиків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СТАДА Арцнайміттель АГ</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СмітКляйн Бічем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Іспанiя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Pr>
                <w:rFonts w:ascii="Arial" w:hAnsi="Arial" w:cs="Arial"/>
                <w:sz w:val="16"/>
                <w:szCs w:val="16"/>
              </w:rPr>
              <w:br/>
              <w:t xml:space="preserve">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оновленої інформації щодо безпеки застосування діючої речовини парацетамол згідно з рекомендацією PRAC. Введення змін протягом 3-х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UA/8393/01/01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КОЛДРЕКС ХОТРЕМ ЗІ СМАКОМ ЛИМОНУ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порошок для орального розчину по 5 г порошку у пакетику; по 5 або 10 пакетиків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СТАДА Арцнайміттель АГ</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СмітКляйн Бічем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Іспанiя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spacing w:after="240"/>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w:t>
            </w:r>
            <w:r>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оновленої інформації щодо безпеки застосування діючої речовини парацетамол згідно з рекомендацією PRAC Введення змін протягом 3-х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UA/2560/01/01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КОЛОМІЦИН ІН'ЄКЦІЯ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порошок для розчину для ін’єкцій, інфузій або інгаляцій по 1 000 000 МО; 10 флаконів з порошком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«Тева Україна»</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jc w:val="center"/>
              <w:rPr>
                <w:rFonts w:ascii="Arial" w:hAnsi="Arial" w:cs="Arial"/>
                <w:sz w:val="16"/>
                <w:szCs w:val="16"/>
              </w:rPr>
            </w:pPr>
            <w:r>
              <w:rPr>
                <w:rFonts w:ascii="Arial" w:hAnsi="Arial" w:cs="Arial"/>
                <w:sz w:val="16"/>
                <w:szCs w:val="16"/>
              </w:rPr>
              <w:t>Виробництво нерозфасованого продукту, первинна упаковка, контроль серії:</w:t>
            </w:r>
          </w:p>
          <w:p w:rsidR="003D03F3" w:rsidRDefault="003D03F3">
            <w:pPr>
              <w:jc w:val="center"/>
              <w:rPr>
                <w:rFonts w:ascii="Arial" w:hAnsi="Arial" w:cs="Arial"/>
                <w:sz w:val="16"/>
                <w:szCs w:val="16"/>
                <w:lang w:val="uk-UA"/>
              </w:rPr>
            </w:pPr>
            <w:r>
              <w:rPr>
                <w:rFonts w:ascii="Arial" w:hAnsi="Arial" w:cs="Arial"/>
                <w:sz w:val="16"/>
                <w:szCs w:val="16"/>
              </w:rPr>
              <w:t>Кселія Фармасьютікелз АпС, Данія;</w:t>
            </w:r>
          </w:p>
          <w:p w:rsidR="003D03F3" w:rsidRDefault="003D03F3">
            <w:pPr>
              <w:jc w:val="center"/>
              <w:rPr>
                <w:rFonts w:ascii="Arial" w:hAnsi="Arial" w:cs="Arial"/>
                <w:sz w:val="16"/>
                <w:szCs w:val="16"/>
              </w:rPr>
            </w:pPr>
            <w:r>
              <w:rPr>
                <w:rFonts w:ascii="Arial" w:hAnsi="Arial" w:cs="Arial"/>
                <w:sz w:val="16"/>
                <w:szCs w:val="16"/>
              </w:rPr>
              <w:t>Вторинна упаковка, дозвіл на випуск серії:</w:t>
            </w:r>
          </w:p>
          <w:p w:rsidR="003D03F3" w:rsidRDefault="003D03F3">
            <w:pPr>
              <w:jc w:val="center"/>
              <w:rPr>
                <w:rFonts w:ascii="Arial" w:hAnsi="Arial" w:cs="Arial"/>
                <w:sz w:val="16"/>
                <w:szCs w:val="16"/>
                <w:lang w:val="uk-UA"/>
              </w:rPr>
            </w:pPr>
            <w:r>
              <w:rPr>
                <w:rFonts w:ascii="Arial" w:hAnsi="Arial" w:cs="Arial"/>
                <w:sz w:val="16"/>
                <w:szCs w:val="16"/>
              </w:rPr>
              <w:t>Пен Фармасьютікал Сервісез Лімітед, Велика Британія;</w:t>
            </w:r>
          </w:p>
          <w:p w:rsidR="003D03F3" w:rsidRDefault="003D03F3">
            <w:pPr>
              <w:jc w:val="center"/>
              <w:rPr>
                <w:rFonts w:ascii="Arial" w:hAnsi="Arial" w:cs="Arial"/>
                <w:sz w:val="16"/>
                <w:szCs w:val="16"/>
              </w:rPr>
            </w:pPr>
            <w:r>
              <w:rPr>
                <w:rFonts w:ascii="Arial" w:hAnsi="Arial" w:cs="Arial"/>
                <w:sz w:val="16"/>
                <w:szCs w:val="16"/>
              </w:rPr>
              <w:t>Контроль серії:</w:t>
            </w:r>
          </w:p>
          <w:p w:rsidR="003D03F3" w:rsidRDefault="003D03F3">
            <w:pPr>
              <w:jc w:val="center"/>
              <w:rPr>
                <w:rFonts w:ascii="Arial" w:hAnsi="Arial" w:cs="Arial"/>
                <w:sz w:val="16"/>
                <w:szCs w:val="16"/>
              </w:rPr>
            </w:pPr>
            <w:r>
              <w:rPr>
                <w:rFonts w:ascii="Arial" w:hAnsi="Arial" w:cs="Arial"/>
                <w:sz w:val="16"/>
                <w:szCs w:val="16"/>
              </w:rPr>
              <w:t>Кселія Фармасьютікелз Лтд., Угорщина;</w:t>
            </w:r>
          </w:p>
          <w:p w:rsidR="003D03F3" w:rsidRDefault="003D03F3">
            <w:pPr>
              <w:jc w:val="center"/>
              <w:rPr>
                <w:rFonts w:ascii="Arial" w:hAnsi="Arial" w:cs="Arial"/>
                <w:sz w:val="16"/>
                <w:szCs w:val="16"/>
              </w:rPr>
            </w:pPr>
            <w:r>
              <w:rPr>
                <w:rFonts w:ascii="Arial" w:hAnsi="Arial" w:cs="Arial"/>
                <w:sz w:val="16"/>
                <w:szCs w:val="16"/>
              </w:rPr>
              <w:t>Дозвіл на випуск серії:</w:t>
            </w:r>
          </w:p>
          <w:p w:rsidR="003D03F3" w:rsidRDefault="003D03F3">
            <w:pPr>
              <w:jc w:val="center"/>
              <w:rPr>
                <w:rFonts w:ascii="Arial" w:hAnsi="Arial" w:cs="Arial"/>
                <w:sz w:val="16"/>
                <w:szCs w:val="16"/>
                <w:lang w:val="uk-UA"/>
              </w:rPr>
            </w:pPr>
            <w:r>
              <w:rPr>
                <w:rFonts w:ascii="Arial" w:hAnsi="Arial" w:cs="Arial"/>
                <w:sz w:val="16"/>
                <w:szCs w:val="16"/>
              </w:rPr>
              <w:t>Мілмаунт Хелскеар Лімітед, Ірландiя;</w:t>
            </w:r>
          </w:p>
          <w:p w:rsidR="003D03F3" w:rsidRDefault="003D03F3">
            <w:pPr>
              <w:jc w:val="center"/>
              <w:rPr>
                <w:rFonts w:ascii="Arial" w:hAnsi="Arial" w:cs="Arial"/>
                <w:sz w:val="16"/>
                <w:szCs w:val="16"/>
              </w:rPr>
            </w:pPr>
            <w:r>
              <w:rPr>
                <w:rFonts w:ascii="Arial" w:hAnsi="Arial" w:cs="Arial"/>
                <w:sz w:val="16"/>
                <w:szCs w:val="16"/>
              </w:rPr>
              <w:t>Вторинна упаковка:</w:t>
            </w:r>
          </w:p>
          <w:p w:rsidR="003D03F3" w:rsidRDefault="003D03F3">
            <w:pPr>
              <w:jc w:val="center"/>
              <w:rPr>
                <w:rFonts w:ascii="Arial" w:hAnsi="Arial" w:cs="Arial"/>
                <w:sz w:val="16"/>
                <w:szCs w:val="16"/>
              </w:rPr>
            </w:pPr>
            <w:r>
              <w:rPr>
                <w:rFonts w:ascii="Arial" w:hAnsi="Arial" w:cs="Arial"/>
                <w:sz w:val="16"/>
                <w:szCs w:val="16"/>
              </w:rPr>
              <w:t>Престиж Промоушн Веркавсфердерунг унд Вербесервіс ГмбХ, Німеччина;</w:t>
            </w:r>
          </w:p>
          <w:p w:rsidR="003D03F3" w:rsidRDefault="003D03F3">
            <w:pPr>
              <w:jc w:val="center"/>
              <w:rPr>
                <w:rFonts w:ascii="Arial" w:hAnsi="Arial" w:cs="Arial"/>
                <w:sz w:val="16"/>
                <w:szCs w:val="16"/>
              </w:rPr>
            </w:pPr>
            <w:r>
              <w:rPr>
                <w:rFonts w:ascii="Arial" w:hAnsi="Arial" w:cs="Arial"/>
                <w:sz w:val="16"/>
                <w:szCs w:val="16"/>
              </w:rPr>
              <w:t>дозвіл на випуск серії:</w:t>
            </w:r>
          </w:p>
          <w:p w:rsidR="003D03F3" w:rsidRDefault="003D03F3">
            <w:pPr>
              <w:jc w:val="center"/>
              <w:rPr>
                <w:rFonts w:ascii="Arial" w:hAnsi="Arial" w:cs="Arial"/>
                <w:sz w:val="16"/>
                <w:szCs w:val="16"/>
                <w:lang w:val="uk-UA"/>
              </w:rPr>
            </w:pPr>
            <w:r>
              <w:rPr>
                <w:rFonts w:ascii="Arial" w:hAnsi="Arial" w:cs="Arial"/>
                <w:sz w:val="16"/>
                <w:szCs w:val="16"/>
              </w:rPr>
              <w:t>Меркле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sz w:val="16"/>
                <w:szCs w:val="16"/>
              </w:rPr>
            </w:pPr>
            <w:r>
              <w:rPr>
                <w:rFonts w:ascii="Arial" w:hAnsi="Arial" w:cs="Arial"/>
                <w:sz w:val="16"/>
                <w:szCs w:val="16"/>
              </w:rPr>
              <w:t>Данія/ Велика Британія/</w:t>
            </w:r>
          </w:p>
          <w:p w:rsidR="003D03F3" w:rsidRDefault="003D03F3">
            <w:pPr>
              <w:jc w:val="center"/>
              <w:rPr>
                <w:rFonts w:ascii="Arial" w:hAnsi="Arial" w:cs="Arial"/>
                <w:sz w:val="16"/>
                <w:szCs w:val="16"/>
              </w:rPr>
            </w:pPr>
            <w:r>
              <w:rPr>
                <w:rFonts w:ascii="Arial" w:hAnsi="Arial" w:cs="Arial"/>
                <w:sz w:val="16"/>
                <w:szCs w:val="16"/>
              </w:rPr>
              <w:t>Угорщина/ Ірландiя/</w:t>
            </w:r>
          </w:p>
          <w:p w:rsidR="003D03F3" w:rsidRDefault="003D03F3">
            <w:pPr>
              <w:jc w:val="center"/>
              <w:rPr>
                <w:sz w:val="16"/>
                <w:szCs w:val="16"/>
              </w:rPr>
            </w:pPr>
            <w:r>
              <w:rPr>
                <w:rFonts w:ascii="Arial" w:hAnsi="Arial" w:cs="Arial"/>
                <w:sz w:val="16"/>
                <w:szCs w:val="16"/>
              </w:rPr>
              <w:t>Німеччина</w:t>
            </w:r>
          </w:p>
          <w:p w:rsidR="003D03F3" w:rsidRDefault="003D03F3">
            <w:pPr>
              <w:pStyle w:val="110"/>
              <w:tabs>
                <w:tab w:val="left" w:pos="12600"/>
              </w:tabs>
              <w:jc w:val="center"/>
              <w:rPr>
                <w:rFonts w:ascii="Arial" w:hAnsi="Arial" w:cs="Arial"/>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Введення Меркле ГмбХ / Merckle GmbH, Людвіг-Меркле-Штрассе 3, 89143 Блаубойрен, Німеччина / Ludwig-Merckle-Strasse 3, 89143 Blaubeuren, Germany, що буде виконувати функцію "дозвіл на випуск серії". Зміни внесені в інструкцію для медичного застосування лікарського засобу у розділи "Виробники", "Місцезнаходження виробника та адреса місця провадження їх діяльності" з відповідними змінами в тексті маркування упаковок.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Не 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UA/7533/01/01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КОЛОМІЦИН ІН'ЄКЦІЯ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порошок для розчину для ін’єкцій, інфузій або інгаляцій по 2 000 000 МО 10 флаконів з порошком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«Тева Україна»</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jc w:val="center"/>
              <w:rPr>
                <w:rFonts w:ascii="Arial" w:hAnsi="Arial" w:cs="Arial"/>
                <w:sz w:val="16"/>
                <w:szCs w:val="16"/>
              </w:rPr>
            </w:pPr>
            <w:r>
              <w:rPr>
                <w:rFonts w:ascii="Arial" w:hAnsi="Arial" w:cs="Arial"/>
                <w:sz w:val="16"/>
                <w:szCs w:val="16"/>
              </w:rPr>
              <w:t>Виробництво нерозфасованого продукту, первинна упаковка, контроль серії:</w:t>
            </w:r>
          </w:p>
          <w:p w:rsidR="003D03F3" w:rsidRDefault="003D03F3">
            <w:pPr>
              <w:jc w:val="center"/>
              <w:rPr>
                <w:rFonts w:ascii="Arial" w:hAnsi="Arial" w:cs="Arial"/>
                <w:sz w:val="16"/>
                <w:szCs w:val="16"/>
                <w:lang w:val="uk-UA"/>
              </w:rPr>
            </w:pPr>
            <w:r>
              <w:rPr>
                <w:rFonts w:ascii="Arial" w:hAnsi="Arial" w:cs="Arial"/>
                <w:sz w:val="16"/>
                <w:szCs w:val="16"/>
              </w:rPr>
              <w:t>Кселія Фармасьютікелз АпС, Данія;</w:t>
            </w:r>
          </w:p>
          <w:p w:rsidR="003D03F3" w:rsidRDefault="003D03F3">
            <w:pPr>
              <w:jc w:val="center"/>
              <w:rPr>
                <w:rFonts w:ascii="Arial" w:hAnsi="Arial" w:cs="Arial"/>
                <w:sz w:val="16"/>
                <w:szCs w:val="16"/>
              </w:rPr>
            </w:pPr>
            <w:r>
              <w:rPr>
                <w:rFonts w:ascii="Arial" w:hAnsi="Arial" w:cs="Arial"/>
                <w:sz w:val="16"/>
                <w:szCs w:val="16"/>
              </w:rPr>
              <w:t>Вторинна упаковка, дозвіл на випуск серії:</w:t>
            </w:r>
          </w:p>
          <w:p w:rsidR="003D03F3" w:rsidRDefault="003D03F3">
            <w:pPr>
              <w:jc w:val="center"/>
              <w:rPr>
                <w:rFonts w:ascii="Arial" w:hAnsi="Arial" w:cs="Arial"/>
                <w:sz w:val="16"/>
                <w:szCs w:val="16"/>
                <w:lang w:val="uk-UA"/>
              </w:rPr>
            </w:pPr>
            <w:r>
              <w:rPr>
                <w:rFonts w:ascii="Arial" w:hAnsi="Arial" w:cs="Arial"/>
                <w:sz w:val="16"/>
                <w:szCs w:val="16"/>
              </w:rPr>
              <w:t>Пен Фармасьютікал Сервісез Лімітед, Велика Британія;</w:t>
            </w:r>
          </w:p>
          <w:p w:rsidR="003D03F3" w:rsidRDefault="003D03F3">
            <w:pPr>
              <w:jc w:val="center"/>
              <w:rPr>
                <w:rFonts w:ascii="Arial" w:hAnsi="Arial" w:cs="Arial"/>
                <w:sz w:val="16"/>
                <w:szCs w:val="16"/>
              </w:rPr>
            </w:pPr>
            <w:r>
              <w:rPr>
                <w:rFonts w:ascii="Arial" w:hAnsi="Arial" w:cs="Arial"/>
                <w:sz w:val="16"/>
                <w:szCs w:val="16"/>
              </w:rPr>
              <w:t>Контроль серії:</w:t>
            </w:r>
          </w:p>
          <w:p w:rsidR="003D03F3" w:rsidRDefault="003D03F3">
            <w:pPr>
              <w:jc w:val="center"/>
              <w:rPr>
                <w:rFonts w:ascii="Arial" w:hAnsi="Arial" w:cs="Arial"/>
                <w:sz w:val="16"/>
                <w:szCs w:val="16"/>
              </w:rPr>
            </w:pPr>
            <w:r>
              <w:rPr>
                <w:rFonts w:ascii="Arial" w:hAnsi="Arial" w:cs="Arial"/>
                <w:sz w:val="16"/>
                <w:szCs w:val="16"/>
              </w:rPr>
              <w:t>Кселія Фармасьютікелз Лтд., Угорщина;</w:t>
            </w:r>
          </w:p>
          <w:p w:rsidR="003D03F3" w:rsidRDefault="003D03F3">
            <w:pPr>
              <w:jc w:val="center"/>
              <w:rPr>
                <w:rFonts w:ascii="Arial" w:hAnsi="Arial" w:cs="Arial"/>
                <w:sz w:val="16"/>
                <w:szCs w:val="16"/>
              </w:rPr>
            </w:pPr>
            <w:r>
              <w:rPr>
                <w:rFonts w:ascii="Arial" w:hAnsi="Arial" w:cs="Arial"/>
                <w:sz w:val="16"/>
                <w:szCs w:val="16"/>
              </w:rPr>
              <w:t>Дозвіл на випуск серії:</w:t>
            </w:r>
          </w:p>
          <w:p w:rsidR="003D03F3" w:rsidRDefault="003D03F3">
            <w:pPr>
              <w:jc w:val="center"/>
              <w:rPr>
                <w:rFonts w:ascii="Arial" w:hAnsi="Arial" w:cs="Arial"/>
                <w:sz w:val="16"/>
                <w:szCs w:val="16"/>
                <w:lang w:val="uk-UA"/>
              </w:rPr>
            </w:pPr>
            <w:r>
              <w:rPr>
                <w:rFonts w:ascii="Arial" w:hAnsi="Arial" w:cs="Arial"/>
                <w:sz w:val="16"/>
                <w:szCs w:val="16"/>
              </w:rPr>
              <w:t>Мілмаунт Хелскеар Лімітед, Ірландiя;</w:t>
            </w:r>
          </w:p>
          <w:p w:rsidR="003D03F3" w:rsidRDefault="003D03F3">
            <w:pPr>
              <w:jc w:val="center"/>
              <w:rPr>
                <w:rFonts w:ascii="Arial" w:hAnsi="Arial" w:cs="Arial"/>
                <w:sz w:val="16"/>
                <w:szCs w:val="16"/>
              </w:rPr>
            </w:pPr>
            <w:r>
              <w:rPr>
                <w:rFonts w:ascii="Arial" w:hAnsi="Arial" w:cs="Arial"/>
                <w:sz w:val="16"/>
                <w:szCs w:val="16"/>
              </w:rPr>
              <w:t>Вторинна упаковка:</w:t>
            </w:r>
          </w:p>
          <w:p w:rsidR="003D03F3" w:rsidRDefault="003D03F3">
            <w:pPr>
              <w:jc w:val="center"/>
              <w:rPr>
                <w:rFonts w:ascii="Arial" w:hAnsi="Arial" w:cs="Arial"/>
                <w:sz w:val="16"/>
                <w:szCs w:val="16"/>
              </w:rPr>
            </w:pPr>
            <w:r>
              <w:rPr>
                <w:rFonts w:ascii="Arial" w:hAnsi="Arial" w:cs="Arial"/>
                <w:sz w:val="16"/>
                <w:szCs w:val="16"/>
              </w:rPr>
              <w:t>Престиж Промоушн Веркавсфердерунг унд Вербесервіс ГмбХ, Німеччина;</w:t>
            </w:r>
          </w:p>
          <w:p w:rsidR="003D03F3" w:rsidRDefault="003D03F3">
            <w:pPr>
              <w:jc w:val="center"/>
              <w:rPr>
                <w:rFonts w:ascii="Arial" w:hAnsi="Arial" w:cs="Arial"/>
                <w:sz w:val="16"/>
                <w:szCs w:val="16"/>
              </w:rPr>
            </w:pPr>
            <w:r>
              <w:rPr>
                <w:rFonts w:ascii="Arial" w:hAnsi="Arial" w:cs="Arial"/>
                <w:sz w:val="16"/>
                <w:szCs w:val="16"/>
              </w:rPr>
              <w:t>дозвіл на випуск серії:</w:t>
            </w:r>
          </w:p>
          <w:p w:rsidR="003D03F3" w:rsidRDefault="003D03F3">
            <w:pPr>
              <w:jc w:val="center"/>
              <w:rPr>
                <w:rFonts w:ascii="Arial" w:hAnsi="Arial" w:cs="Arial"/>
                <w:sz w:val="16"/>
                <w:szCs w:val="16"/>
                <w:lang w:val="uk-UA"/>
              </w:rPr>
            </w:pPr>
            <w:r>
              <w:rPr>
                <w:rFonts w:ascii="Arial" w:hAnsi="Arial" w:cs="Arial"/>
                <w:sz w:val="16"/>
                <w:szCs w:val="16"/>
              </w:rPr>
              <w:t>Меркле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sz w:val="16"/>
                <w:szCs w:val="16"/>
              </w:rPr>
            </w:pPr>
            <w:r>
              <w:rPr>
                <w:rFonts w:ascii="Arial" w:hAnsi="Arial" w:cs="Arial"/>
                <w:sz w:val="16"/>
                <w:szCs w:val="16"/>
              </w:rPr>
              <w:t>Данія/ Велика Британія/</w:t>
            </w:r>
          </w:p>
          <w:p w:rsidR="003D03F3" w:rsidRDefault="003D03F3">
            <w:pPr>
              <w:jc w:val="center"/>
              <w:rPr>
                <w:rFonts w:ascii="Arial" w:hAnsi="Arial" w:cs="Arial"/>
                <w:sz w:val="16"/>
                <w:szCs w:val="16"/>
              </w:rPr>
            </w:pPr>
            <w:r>
              <w:rPr>
                <w:rFonts w:ascii="Arial" w:hAnsi="Arial" w:cs="Arial"/>
                <w:sz w:val="16"/>
                <w:szCs w:val="16"/>
              </w:rPr>
              <w:t>Угорщина/ Ірландiя/</w:t>
            </w:r>
          </w:p>
          <w:p w:rsidR="003D03F3" w:rsidRDefault="003D03F3">
            <w:pPr>
              <w:jc w:val="center"/>
              <w:rPr>
                <w:sz w:val="16"/>
                <w:szCs w:val="16"/>
              </w:rPr>
            </w:pPr>
            <w:r>
              <w:rPr>
                <w:rFonts w:ascii="Arial" w:hAnsi="Arial" w:cs="Arial"/>
                <w:sz w:val="16"/>
                <w:szCs w:val="16"/>
              </w:rPr>
              <w:t>Німеччина</w:t>
            </w:r>
          </w:p>
          <w:p w:rsidR="003D03F3" w:rsidRDefault="003D03F3">
            <w:pPr>
              <w:pStyle w:val="110"/>
              <w:tabs>
                <w:tab w:val="left" w:pos="12600"/>
              </w:tabs>
              <w:jc w:val="center"/>
              <w:rPr>
                <w:rFonts w:ascii="Arial" w:hAnsi="Arial" w:cs="Arial"/>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Введення Меркле ГмбХ / Merckle GmbH, Людвіг-Меркле-Штрассе 3, 89143 Блаубойрен, Німеччина / Ludwig-Merckle-Strasse 3, 89143 Blaubeuren, Germany, що буде виконувати функцію "дозвіл на випуск серії". Зміни внесені в інструкцію для медичного застосування лікарського засобу у розділи "Виробники", "Місцезнаходження виробника та адреса місця провадження їх діяльності" з відповідними змінами в тексті маркування упаковок.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Не 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UA/7533/01/02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КОМБІГРИП ДЕКСА®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по 4 таблетки у блістері з фольги алюмінієвої і плівки полівінілхлоридної; по 1 блістеру у пачці з картону; по 20 пачок у груповій пачці з картону; по 8 таблеток у блістері з фольги алюмінієвої і плівки полівінілхлоридної; по 1 блістеру у пачці з картону; по 10 пачок у груповій пачці з картону; по 4 таблетки у блістері з фольги алюмінієвої; по 1 блістеру у пачці з картону; по 20 пачок у груповій пачці з картону; по 8 таблеток у блістері з фольги алюмінієвої; по 1 блістеру у пачці з картону; по 10 пачок у груповій пачці з картону; по 4 таблетки у блістері із фольги алюмінієвої; по 1 блістеру у паперовому конверті; по 20 паперових конвертів у груповій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ОАЕ</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3 роки, запропоновано: 4 роки).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UA/2068/01/01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КОМБІГРИП ДЕКСА®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in bulk: по 5000 таблеток у пакетах</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ОАЕ</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3 роки, запропоновано: 4 роки).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Не 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UA/2069/01/01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КОМБІГРИП ХОТ СІП®</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порошок для орального розчину з лимонним смаком по 5 г порошку в саше, по 10 саше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ОРГАНОСИН ЛАЙФСАЄНСИЗ (ЕФ ЗЕТ І)</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ОАЕ</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Евертоджен Лайф Саєнсиз  Лімітед</w:t>
            </w:r>
            <w:r>
              <w:rPr>
                <w:rFonts w:ascii="Arial" w:hAnsi="Arial" w:cs="Arial"/>
                <w:sz w:val="16"/>
                <w:szCs w:val="16"/>
              </w:rPr>
              <w:br/>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2 роки, запропоновано: 4 роки).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UA/11503/01/01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КОМБІГРИП ХОТ СІП®</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порошок для орального розчину з малиновим смаком по 5 г порошку в саше, по 10 саше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ОАЕ</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Евертоджен Лайф Саєнсиз  Лімітед</w:t>
            </w:r>
            <w:r>
              <w:rPr>
                <w:rFonts w:ascii="Arial" w:hAnsi="Arial" w:cs="Arial"/>
                <w:sz w:val="16"/>
                <w:szCs w:val="16"/>
              </w:rPr>
              <w:br/>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2 роки, запропоновано: 4 роки).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UA/11504/01/01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КОМБІГРИП®</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по 8 таблеток у блістері з фольги алюмінієвої і плівки полівінілхлоридної або по 8 таблеток у блістері із фольги алюмінієвої; по 1 блістеру у пачці з картону; по 8 таблеток у блістері з фольги алюмінієвої і плівки полівінілхлоридної або по 8 таблеток у блістері із фольги алюмінієвої; по 1 блістеру у пачці з картону; по 10 пачок у груповій пачці з картону; по 4 таблетки у блістері з фольги алюмінієвої; по 1 блістеру у паперовому конверті; по 20 паперових конвертів у груповій пачці з картону; по 4 таблетки у блістері з фольги алюмінієвої; по 1 блістеру у пачці з картону; по 20 пачок у груповій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ОРГАНОСИН ЛАЙФСАЄНСИЗ (ЕФ ЗЕТ І)</w:t>
            </w:r>
            <w:r>
              <w:rPr>
                <w:rFonts w:ascii="Arial" w:hAnsi="Arial" w:cs="Arial"/>
                <w:sz w:val="16"/>
                <w:szCs w:val="16"/>
              </w:rPr>
              <w:br/>
              <w:t xml:space="preserve">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ОАЕ</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3 роки, запропоновано: 4 роки).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UA/2913/01/01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КОМБІГРИП®</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in bulk: по 5000 таблеток у пакетах</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ОРГАНОСИН ЛАЙФСАЄНСИЗ (ЕФ ЗЕТ І)</w:t>
            </w:r>
            <w:r>
              <w:rPr>
                <w:rFonts w:ascii="Arial" w:hAnsi="Arial" w:cs="Arial"/>
                <w:sz w:val="16"/>
                <w:szCs w:val="16"/>
              </w:rPr>
              <w:br/>
              <w:t xml:space="preserve">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ОАЕ</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3 роки, запропоновано: 4 роки).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Не 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UA/2914/01/01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КОМБІСАРТ</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5 мг/160 мг по 10 таблеток у блістері; по 3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 "КИЇВСЬКИЙ ВІТАМІННИЙ ЗАВОД"</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 "КИЇВСЬКИЙ ВІТАМІННИЙ ЗАВОД"</w:t>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Зміни внесені в інструкцію для медичного застосування лікарського засобу у розділ " Термін придатності".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Не 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UA/15340/01/01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КОМБІСАРТ</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таблетки, вкриті плівковою оболонкою, 10 мг/160 мг; по 10 таблеток у блістері; по 3 блістери у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 "КИЇВСЬКИЙ ВІТАМІННИЙ ЗАВОД"</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 "КИЇВСЬКИЙ ВІТАМІННИЙ ЗАВОД"</w:t>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Не 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UA/15341/01/01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 xml:space="preserve">КОМБІСПАЗМ® ГАСТРОКОМФОРТ </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по 10 таблеток, вкритих плівковою оболонкою, у блістері з плівки алюмінієвої та фольги алюмінієвої; по 1 або 2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ОАЕ</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3 років, запропоновано: 4 роки).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UA/15710/01/01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 xml:space="preserve">КОМБІСПАЗМ® ГАСТРОКОМФОРТ </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таблетки, вкриті плівковою оболонкою; in bulk: по 5000 таблеток у подвійних поліетиленових пакетах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ОАЕ</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3 років, запропоновано: 4 роки).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Не 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UA/15711/01/01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КОНТРАКТУБЕКС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гель; по 10, 20 або 50 г у тубі; по 1 тубі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Мерц Фармасьютікалс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виробництво, пакування, контроль якості і випуск готового лікарського засобу:</w:t>
            </w:r>
            <w:r>
              <w:rPr>
                <w:rFonts w:ascii="Arial" w:hAnsi="Arial" w:cs="Arial"/>
                <w:sz w:val="16"/>
                <w:szCs w:val="16"/>
              </w:rPr>
              <w:br/>
              <w:t>Мерц Фарма ГмбХ і Ко. КГаА, Нiмеччина</w:t>
            </w:r>
            <w:r>
              <w:rPr>
                <w:rFonts w:ascii="Arial" w:hAnsi="Arial" w:cs="Arial"/>
                <w:sz w:val="16"/>
                <w:szCs w:val="16"/>
              </w:rPr>
              <w:br/>
              <w:t>вторинне пакування:</w:t>
            </w:r>
            <w:r>
              <w:rPr>
                <w:rFonts w:ascii="Arial" w:hAnsi="Arial" w:cs="Arial"/>
                <w:sz w:val="16"/>
                <w:szCs w:val="16"/>
              </w:rPr>
              <w:br/>
              <w:t>Престіж Промоушн Веркауфсфурдерунг &amp; Вербесервіс ГмбХ, Німеччина</w:t>
            </w:r>
            <w:r>
              <w:rPr>
                <w:rFonts w:ascii="Arial" w:hAnsi="Arial" w:cs="Arial"/>
                <w:sz w:val="16"/>
                <w:szCs w:val="16"/>
              </w:rPr>
              <w:br/>
              <w:t>вторинне пакування:</w:t>
            </w:r>
            <w:r>
              <w:rPr>
                <w:rFonts w:ascii="Arial" w:hAnsi="Arial" w:cs="Arial"/>
                <w:sz w:val="16"/>
                <w:szCs w:val="16"/>
              </w:rPr>
              <w:br/>
              <w:t xml:space="preserve">Х.Е.Л.П.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в методі випробування за показником «Кількісне визначення Алантоїну» (Євр.Фарм., 2.2.29). Зміни І типу - Зміни з якості. Готовий лікарський засіб. Контроль готового лікарського засобу (інші зміни) – переклад тексту МКЯ українською мовою.</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UA/6090/01/01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КОНТРОЛОК®</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гастрорезистентні по 20 мг; по 14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Такеда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Адванс Фарма ГмбХ, Німеччина (нанесення покриття на ядра таблеток); Такеда ГмбХ, місце виробництва Оранієнбург, Німеччина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Самоненко Марина Володимирівна. Пропонована редакція: Уретій Сергій Іванович / Sergii Uretii.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Зміна місця здійснення основної діяльності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UA/0106/01/02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КОНТРОЛОК®</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порошок для розчину для ін’єкцій по 40 мг; 1 флакон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Такеда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виробництво за повним циклом: Такеда ГмбХ, Німеччина; виробництво нерозфасованої продукції, первинне пакування: Патеон Італія С.П.А., Італiя; Вассербургер Арцнайміттельверк ГмбХ, Німеччина; Хікма Фармасьютіка (Португалія), С.А., Португалiя; виробник відповідальний за контроль якості: Лабор ЛС СЕ енд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p w:rsidR="003D03F3" w:rsidRDefault="003D03F3">
            <w:pPr>
              <w:pStyle w:val="110"/>
              <w:tabs>
                <w:tab w:val="left" w:pos="12600"/>
              </w:tabs>
              <w:jc w:val="center"/>
              <w:rPr>
                <w:rFonts w:ascii="Arial" w:hAnsi="Arial" w:cs="Arial"/>
                <w:sz w:val="16"/>
                <w:szCs w:val="16"/>
              </w:rPr>
            </w:pPr>
            <w:r>
              <w:rPr>
                <w:rFonts w:ascii="Arial" w:hAnsi="Arial" w:cs="Arial"/>
                <w:sz w:val="16"/>
                <w:szCs w:val="16"/>
              </w:rPr>
              <w:t>Італія/</w:t>
            </w:r>
          </w:p>
          <w:p w:rsidR="003D03F3" w:rsidRDefault="003D03F3">
            <w:pPr>
              <w:pStyle w:val="110"/>
              <w:tabs>
                <w:tab w:val="left" w:pos="12600"/>
              </w:tabs>
              <w:jc w:val="center"/>
              <w:rPr>
                <w:rFonts w:ascii="Arial" w:hAnsi="Arial" w:cs="Arial"/>
                <w:sz w:val="16"/>
                <w:szCs w:val="16"/>
              </w:rPr>
            </w:pPr>
            <w:r>
              <w:rPr>
                <w:rFonts w:ascii="Arial" w:hAnsi="Arial" w:cs="Arial"/>
                <w:sz w:val="16"/>
                <w:szCs w:val="16"/>
              </w:rPr>
              <w:t>Португалія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Самоненко Марина Володимирівна. Пропонована редакція: Уретій Сергій Іванович / Sergii Uretii.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Зміна місця здійснення основної діяльності з фармаконагляду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UA/0106/02/01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КОНТРОЛОК®</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гастрорезистентні по 40 мг, по 14 таблеток у блістері; по 1 або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Такеда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Адванс Фарма ГмбХ, Німеччина (нанесення покриття на ядра таблеток); Такеда ГмбХ, місце виробництва Оранієнбург, Німеччина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p>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Діюча редакція: Simon Ashworth. Пропонована редакція: д-р Суміт Мунджал / Sumit Munjal.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Самоненко Марина Володимирівна. Пропонована редакція: Уретій Сергій Іванович. </w:t>
            </w:r>
          </w:p>
          <w:p w:rsidR="003D03F3" w:rsidRDefault="003D03F3">
            <w:pPr>
              <w:pStyle w:val="110"/>
              <w:tabs>
                <w:tab w:val="left" w:pos="12600"/>
              </w:tabs>
              <w:jc w:val="center"/>
              <w:rPr>
                <w:rFonts w:ascii="Arial" w:hAnsi="Arial" w:cs="Arial"/>
                <w:sz w:val="16"/>
                <w:szCs w:val="16"/>
              </w:rPr>
            </w:pPr>
            <w:r>
              <w:rPr>
                <w:rFonts w:ascii="Arial" w:hAnsi="Arial" w:cs="Arial"/>
                <w:sz w:val="16"/>
                <w:szCs w:val="16"/>
              </w:rPr>
              <w:t>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UA/9054/01/01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КОРВАЛОЛ®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краплі оральні, по 25 або по 50 мл у флаконі з пробкою-крапельницею; по 1 флакону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згідно пп.4 п.2.4. розділу VI наказу МОЗ України від 26.08.2005р. № 426 (у редакції наказу МОЗ України від 23.07.2015 р № 460), яка стосується вимог контролю АФІ М’яти олії за показником «Хроматографічний профіль» в розділі 3.2.S.4.1. Специфікація (вхідний контроль). Зазначене виправлення відповідає матеріалам реєстраційного досьє:В 2018 році Наказом МОЗ № 5320 затверджено Виправлення технічної помилки в субстанції М'яти олія, рідина (субстанція) у барабанах з оцинкованої сталі або в цистернах з нержавіючої сталі для виробництва нестерильних лікарських форм, в якій в розділі 3.2.S.4.1. Специфікація за показником «Хроматографічний профіль», та у розділі «Склад» було затверджено вміст «цинеол: лимонен»: «менше 1» замість «не більше 1». Під час процедури внесення змін на лікарський засіб Корвалол®, краплі оральні, по 25 або по 50 мл у флаконі з пробкою-крапельницею; по 1 флакону в пачці з картону; краплі оральні, in bulk: по 300 л, або 350 л, або 500 л у контейнерах в 2018 році було допущено технічну помилку в розділі 3.2.S.4.1. Специфікація (вхідний контроль), що стосувалась оновлення вимог контролю АФІ М'яти олія. Враховуючи затвердження технічної помилки в субстанції М'яти олія та вимоги монографія ЄФ «Mint oil», в якій зазначено вимоги за показником Chromatographic profile (the ratio of cineole content to limonene content is less than 1), а також розділ 3.2.S.4.2. Аналітичні методики (вхідний контроль), в якому зазначено вимоги «менше 1», зазначені виправлення рекомендовано до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25 мл – без рецепта; 50 мл – 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UA/2554/01/01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КОРВАЛОЛ®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краплі оральні, in bulk: по 300 л, або 350 л, або 500 л у контейнерах</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згідно пп.4 п.2.4. розділу VI наказу МОЗ України від 26.08.2005р. № 426 (у редакції наказу МОЗ України від 23.07.2015 р № 460), яка стосується вимог контролю АФІ М’яти олії за показником «Хроматографічний профіль» в розділі 3.2.S.4.1. Специфікація (вхідний контроль). Зазначене виправлення відповідає матеріалам реєстраційного досьє:В 2018 році Наказом МОЗ № 5320 затверджено Виправлення технічної помилки в субстанції М'яти олія, рідина (субстанція) у барабанах з оцинкованої сталі або в цистернах з нержавіючої сталі для виробництва нестерильних лікарських форм, в якій в розділі 3.2.S.4.1. Специфікація за показником «Хроматографічний профіль», та у розділі «Склад» було затверджено вміст «цинеол: лимонен»: «менше 1» замість «не більше 1». Під час процедури внесення змін на лікарський засіб Корвалол®, краплі оральні, по 25 або по 50 мл у флаконі з пробкою-крапельницею; по 1 флакону в пачці з картону; краплі оральні, in bulk: по 300 л, або 350 л, або 500 л у контейнерах в 2018 році було допущено технічну помилку в розділі 3.2.S.4.1. Специфікація (вхідний контроль), що стосувалась оновлення вимог контролю АФІ М'яти олія. Враховуючи затвердження технічної помилки в субстанції М'яти олія та вимоги монографія ЄФ «Mint oil», в якій зазначено вимоги за показником Chromatographic profile (the ratio of cineole content to limonene content is less than 1), а також розділ 3.2.S.4.2. Аналітичні методики (вхідний контроль), в якому зазначено вимоги «менше 1», зазначені виправлення рекомендовано до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UA/7843/01/01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КОСІРЕЛЬ 10 МГ/ 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по 10 мг/10 мг по 30 або 100 таблеток у контейнері для таблеток; по 1 контейнеру для таблеток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ЛЄ ЛАБОРАТУАР СЕРВ'Є</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Францiя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виробництво, аналіз, первинне та вторинне пакування, випуск серії: Лабораторії Серв'є Індастрі, Франція; первинне та вторинне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Франція/Ірландія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Введення нові технологічні параметри виробничого процесу для виготовлення ГЛЗ у зв'язку зі змінами на виробничій лінії для затвердженого розміру серії 583 000 для чотирьох одиниць дозувань (Обладнання має новий розмір і потребує іншого часу та швидкісті перемішування. Пропонуються нові параметри виробничого процесу під час виготовлення грануляту бісопрололу фумарату, а саме на етапі змішування, додавання змазуючих речовин та просіювання, та під час виготовлення суміші периндоприлу аргініну. а саме на етапі змішування та додавання змазуючих речовин).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у затверджених методах випробування рідинною хроматографією (ВЕРХ або УВЕРХ), а саме збільшення кількісті таблеток, прийнятих для приготування досліджуваного розчину та додавання критеріїв тесту на придатність щодо поділу піків периндоприлу та бісопрололу.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Зміни до специфікації кришки готового лікарського засобу для випробування «Flow Reducer dimensions»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довжини хвилі з 215 нм до 273 нм для кількісного визначення домішок бісопрололу за допомогою ВЕРХ для забезпечення кількісного визначеняя всіх потенційних продуктів розпаду бісопрололу. Редакційні правки та уточнення в методах контролю якості відповідно до вимог 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Оновлений сертифікат для АФІ бісопрололу від уже затвердженого виробника,(MOEHS Catalana S.L. MOEHS Iberica S.L.). Затверджено: R1-CEP 2009-044-Re 00. Запропоновано: R1-CEP 2009-044-Rev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Новий сертифікат для вихідної речовини L- аргініну, що використовується в процесі виробництва діючої речовини периндоприлу від нового виробника від нового виробника SHANGHAI KYOWA AMINOACID CO., Ltd, Затверджено: AJINOMOTO CO/. Inc. No. R1-CEP 1998-104 Rev 04. KYOWA HAKKO BIO CO., Ltd. No. R1- CEP 1998-109 Rev 05. Запропоновано: AJINOMOTO CO/. Inc. No. R1-CEP 1998-104 Rev 04. KYOWA HAKKO BIO CO., Ltd. No. R1- CEP 1998-109 Rev 05. SHANGHAI KYOWA AMINOACID CO., Ltd. No. R1- CEP 2010-045 Rev 00.</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UA/16109/01/02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КОСІРЕЛЬ 10 МГ/ 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по 10 мг/5 мг по 30 або 100 таблеток у контейнері для таблеток; по 1 контейнеру для таблеток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ЛЄ ЛАБОРАТУАР СЕРВ'Є</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Францiя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виробництво, аналіз, первинне та вторинне пакування, випуск серії: Лабораторії Серв'є Індастрі, Франція; первинне та вторинне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Франція/Ірландія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Введення нові технологічні параметри виробничого процесу для виготовлення ГЛЗ у зв'язку зі змінами на виробничій лінії для затвердженого розміру серії 583 000 для чотирьох одиниць дозувань (Обладнання має новий розмір і потребує іншого часу та швидкісті перемішування. Пропонуються нові параметри виробничого процесу під час виготовлення грануляту бісопрололу фумарату, а саме на етапі змішування, додавання змазуючих речовин та просіювання, та під час виготовлення суміші периндоприлу аргініну. а саме на етапі змішування та додавання змазуючих речовин).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у затверджених методах випробування рідинною хроматографією (ВЕРХ або УВЕРХ), а саме збільшення кількісті таблеток, прийнятих для приготування досліджуваного розчину, та додавання критеріїв тесту на придатність щодо поділу піків периндоприлу та бісопрололу.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Зміни до специфікації кришки готового лікарського засобу для випробування «Flow Reducer dimensions».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довжини хвилі з 215 нм до 273 нм для кількісного визначення домішок бісопрололу за допомогою ВЕРХ для забезпечення кількісного визначеняя всіх потенційних продуктів розпаду бісопрололу. Редакційні правки та уточнення в методах контролю якості відповідно до вимог 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Оновлений сертифікат для АФІ бісопрололу від уже затвердженого виробника,(MOEHS Catalana S.L. MOEHS Iberica S.L.). Затверджено: R1-CEP 2009-044-Rev.00. Запропоновано: R1-CEP 2009-044-Rev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Новий сертифікат для вихідної речовини L- аргініну, що використовується в процесі виробництва діючої речовини периндоприлу від нового виробника від нового виробника SHANGHAI KYOWA AMINOACID CO., Ltd, Затверджено: AJINOMOTO CO/. Inc. No. R1-CEP 1998-104 Rev 04. KYOWA HAKKO BIO CO., Ltd. No. R1- CEP 1998-109 Rev 05. Запропоновано: AJINOMOTO CO/. Inc. No. R1-CEP 1998-104 Rev 04. KYOWA HAKKO BIO CO., Ltd. No. R1- CEP 1998-109 Rev 05. SHANGHAI KYOWA AMINOACID CO., Ltd. No. R1- CEP 2010-045 Rev 00</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UA/16110/01/01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КОСІРЕЛЬ 5 МГ/ 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по 5 мг/10 мг по 30 або 100 таблеток у контейнері для таблеток; по 1 контейнеру для таблеток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ЛЄ ЛАБОРАТУАР СЕРВ'Є</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Францiя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виробництво, аналіз, первинне та вторинне пакування, випуск серії: Лабораторії Серв'є Індастрі, Франція; первинне та вторинне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Франція/Ірландія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Введення нові технологічні параметри виробничого процесу для виготовлення ГЛЗ у зв'язку зі змінами на виробничій лінії для затвердженого розміру серії 583 000 для чотирьох одиниць дозувань (Обладнання має новий розмір і потребує іншого часу та швидкісті перемішування. Пропонуються нові параметри виробничого процесу під час виготовлення грануляту бісопрололу фумарату, а саме на етапі змішування, додавання змазуючих речовин та просіювання, та під час виготовлення суміші периндоприлу аргініну, а саме на етапі змішування та додавання змазуючих речовин).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у затверджених методах випробування рідинною хроматографією (ВЕРХ або УВЕРХ), а саме збільшення кількісті таблеток, прийнятих для приготування досліджуваного розчину, та додавання критеріїв тесту на придатність щодо поділу піків периндоприлу та бісопрололу.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Зміни до специфікації кришки готового лікарського засобу для випробування «Flow Reducer dimensions».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довжини хвилі з 215 нм до 273 нм для кількісного визначення домішок бісопрололу за допомогою ВЕРХ для забезпечення кількісного визначеняя всіх потенційних продуктів розпаду бісопрололу. Редакційні правки та уточнення в методах контролю якості відповідно до вимог 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Оновлений сертифікат для АФІ бісопрололу від уже затвердженого виробника,(MOEHS Catalana S.L. MOEHS Iberica S.L.). Затверджено: R1-CEP 2009-044-Rev.00. </w:t>
            </w:r>
          </w:p>
          <w:p w:rsidR="003D03F3" w:rsidRDefault="003D03F3">
            <w:pPr>
              <w:pStyle w:val="110"/>
              <w:tabs>
                <w:tab w:val="left" w:pos="12600"/>
              </w:tabs>
              <w:jc w:val="center"/>
              <w:rPr>
                <w:rFonts w:ascii="Arial" w:hAnsi="Arial" w:cs="Arial"/>
                <w:sz w:val="16"/>
                <w:szCs w:val="16"/>
              </w:rPr>
            </w:pPr>
            <w:r>
              <w:rPr>
                <w:rFonts w:ascii="Arial" w:hAnsi="Arial" w:cs="Arial"/>
                <w:sz w:val="16"/>
                <w:szCs w:val="16"/>
              </w:rPr>
              <w:t>Запропоновано: R1-CEP 2009-044-Rev 01. Зміни І типу - Зміни з якості. Сертифікат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Новий сертифікат для вихідної речовини L- аргініну, що використовується в процесі виробництва діючої речовини периндоприлу від нового виробника SHANGHAI KYOWA AMINOACID CO., Ltd, Затверджено: AJINOMOTO CO/. Inc. No. R1-CEP 1998-104 Rev 04. KYOWA HAKKO BIO CO., Ltd. No. R1- CEP 1998-109 Rev 05. Запропоновано: AJINOMOTO CO/. Inc. No. R1-CEP 1998-104 Rev 04. KYOWA HAKKO BIO CO., Ltd. No. R1- CEP 1998-109 Rev 05. SHANGHAI KYOWA AMINOACID CO., Ltd. No. R1- CEP 2010-045 Rev 00</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UA/16111/01/01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КОСІРЕЛЬ 5 МГ/ 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по 5 мг/5 мг по 30 або 100 таблеток у контейнері для таблеток; по 1 контейнеру для таблеток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ЛЄ ЛАБОРАТУАР СЕРВ'Є</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Францiя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виробництво, аналіз, первинне та вторинне пакування, випуск серії: Лабораторії Серв'є Індастрі, Франція; первинне та вторинне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Франція/Ірландія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Введення нові технологічні параметри виробничого процесу для виготовлення ГЛЗ у зв'язку зі змінами на виробничій лінії для затвердженого розміру серії 583 000 для чотирьох одиниць дозувань (Обладнання має новий розмір і потребує іншого часу та швидкісті перемішування. Пропонуються нові параметри виробничого процесу під час виготовлення грануляту бісопрололу фумарату, а саме на етапі змішування, додавання змазуючих речовин та просіювання, та під час виготовлення суміші периндоприлу аргініну. а саме на етапі змішування та додавання змазуючих речовин).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у затверджених методах випробування рідинною хроматографією (ВЕРХ або УВЕРХ), а саме збільшення кількісті таблеток, прийнятих для приготування досліджуваного розчину та додавання критеріїв тесту на придатність щодо поділу піків периндоприлу та бісопрололу.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Зміни до специфікації кришки готового лікарського засобу для випробування «Flow Reducer dimensions»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довжини хвилі з 215 нм до 273 нм для кількісного визначення домішок бісопрололу за допомогою ВЕРХ для забезпечення кількісного визначеняя всіх потенційних продуктів розпаду бісопрололу. Редакційні правки та уточнення в методах контролю якості відповідно до вимог 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Оновлений сертифікат для АФІ бісопрололу від уже затвердженого виробника,(MOEHS Catalana S.L. MOEHS Iberica S.L.). Затверджено: R1-CEP 2009-044-Re 00. Запропоновано: R1-CEP 2009-044-Rev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Новий сертифікат для вихідної речовини L- аргініну, що використовується в процесі виробництва діючої речовини периндоприлу від нового виробника від нового виробника SHANGHAI KYOWA AMINOACID CO., Ltd, Затверджено: AJINOMOTO CO/. Inc. No. R1-CEP 1998-104 Rev 04. KYOWA HAKKO BIO CO., Ltd. No. R1- CEP 1998-109 Rev 05. Запропоновано: AJINOMOTO CO/. Inc. No. R1-CEP 1998-104 Rev 04. KYOWA HAKKO BIO CO., Ltd. No. R1- CEP 1998-109 Rev 05. SHANGHAI KYOWA AMINOACID CO., Ltd. No. R1- CEP 2010-045 Rev 00.</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UA/16109/01/01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КОТЕЛЛІК®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по 20 мг; по 21 таблетці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ТОВ «Рош Україна» </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sz w:val="16"/>
                <w:szCs w:val="16"/>
              </w:rPr>
            </w:pPr>
            <w:r>
              <w:rPr>
                <w:rFonts w:ascii="Arial" w:hAnsi="Arial" w:cs="Arial"/>
                <w:sz w:val="16"/>
                <w:szCs w:val="16"/>
              </w:rPr>
              <w:t>Виробництво нерозфасованої продукції, випробування контролю якості при випуску (мікробіологічна чистота):</w:t>
            </w:r>
          </w:p>
          <w:p w:rsidR="003D03F3" w:rsidRDefault="003D03F3">
            <w:pPr>
              <w:jc w:val="center"/>
              <w:rPr>
                <w:rFonts w:ascii="Arial" w:hAnsi="Arial" w:cs="Arial"/>
                <w:sz w:val="16"/>
                <w:szCs w:val="16"/>
              </w:rPr>
            </w:pPr>
            <w:r>
              <w:rPr>
                <w:rFonts w:ascii="Arial" w:hAnsi="Arial" w:cs="Arial"/>
                <w:sz w:val="16"/>
                <w:szCs w:val="16"/>
              </w:rPr>
              <w:t>Ф.Хоффманн-Ля Рош Лтд, Швейцарія;</w:t>
            </w:r>
          </w:p>
          <w:p w:rsidR="003D03F3" w:rsidRDefault="003D03F3">
            <w:pPr>
              <w:jc w:val="center"/>
              <w:rPr>
                <w:rFonts w:ascii="Arial" w:hAnsi="Arial" w:cs="Arial"/>
                <w:sz w:val="16"/>
                <w:szCs w:val="16"/>
              </w:rPr>
            </w:pPr>
            <w:r>
              <w:rPr>
                <w:rFonts w:ascii="Arial" w:hAnsi="Arial" w:cs="Arial"/>
                <w:sz w:val="16"/>
                <w:szCs w:val="16"/>
              </w:rPr>
              <w:t>Виробництво нерозфасованої продукції, випробування контролю якості при стабільності та випуску (окрім мікробіологічної чистоти):</w:t>
            </w:r>
          </w:p>
          <w:p w:rsidR="003D03F3" w:rsidRDefault="003D03F3">
            <w:pPr>
              <w:jc w:val="center"/>
              <w:rPr>
                <w:rFonts w:ascii="Arial" w:hAnsi="Arial" w:cs="Arial"/>
                <w:sz w:val="16"/>
                <w:szCs w:val="16"/>
              </w:rPr>
            </w:pPr>
            <w:r>
              <w:rPr>
                <w:rFonts w:ascii="Arial" w:hAnsi="Arial" w:cs="Arial"/>
                <w:sz w:val="16"/>
                <w:szCs w:val="16"/>
              </w:rPr>
              <w:t>Екселла ГмбХ енд Ко. КГ, Німеччина;</w:t>
            </w:r>
          </w:p>
          <w:p w:rsidR="003D03F3" w:rsidRDefault="003D03F3">
            <w:pPr>
              <w:jc w:val="center"/>
              <w:rPr>
                <w:rFonts w:ascii="Arial" w:hAnsi="Arial" w:cs="Arial"/>
                <w:sz w:val="16"/>
                <w:szCs w:val="16"/>
              </w:rPr>
            </w:pPr>
            <w:r>
              <w:rPr>
                <w:rFonts w:ascii="Arial" w:hAnsi="Arial" w:cs="Arial"/>
                <w:sz w:val="16"/>
                <w:szCs w:val="16"/>
              </w:rPr>
              <w:t>Випробування контролю якості при випуску:</w:t>
            </w:r>
          </w:p>
          <w:p w:rsidR="003D03F3" w:rsidRDefault="003D03F3">
            <w:pPr>
              <w:jc w:val="center"/>
              <w:rPr>
                <w:rFonts w:ascii="Arial" w:hAnsi="Arial" w:cs="Arial"/>
                <w:sz w:val="16"/>
                <w:szCs w:val="16"/>
              </w:rPr>
            </w:pPr>
            <w:r>
              <w:rPr>
                <w:rFonts w:ascii="Arial" w:hAnsi="Arial" w:cs="Arial"/>
                <w:sz w:val="16"/>
                <w:szCs w:val="16"/>
              </w:rPr>
              <w:t>Ф.Хоффманн-Ля Рош Лтд, Швейцарія;</w:t>
            </w:r>
          </w:p>
          <w:p w:rsidR="003D03F3" w:rsidRDefault="003D03F3">
            <w:pPr>
              <w:jc w:val="center"/>
              <w:rPr>
                <w:rFonts w:ascii="Arial" w:hAnsi="Arial" w:cs="Arial"/>
                <w:sz w:val="16"/>
                <w:szCs w:val="16"/>
              </w:rPr>
            </w:pPr>
            <w:r>
              <w:rPr>
                <w:rFonts w:ascii="Arial" w:hAnsi="Arial" w:cs="Arial"/>
                <w:sz w:val="16"/>
                <w:szCs w:val="16"/>
              </w:rPr>
              <w:t>Випробування контролю якості при стабільності та випуску (мікробіологічна чистота):</w:t>
            </w:r>
          </w:p>
          <w:p w:rsidR="003D03F3" w:rsidRDefault="003D03F3">
            <w:pPr>
              <w:jc w:val="center"/>
              <w:rPr>
                <w:rFonts w:ascii="Arial" w:hAnsi="Arial" w:cs="Arial"/>
                <w:sz w:val="16"/>
                <w:szCs w:val="16"/>
              </w:rPr>
            </w:pPr>
            <w:r>
              <w:rPr>
                <w:rFonts w:ascii="Arial" w:hAnsi="Arial" w:cs="Arial"/>
                <w:sz w:val="16"/>
                <w:szCs w:val="16"/>
              </w:rPr>
              <w:t>Лабор ЛС СЕ енд Ко. КГ, Німеччина</w:t>
            </w:r>
          </w:p>
          <w:p w:rsidR="003D03F3" w:rsidRDefault="003D03F3">
            <w:pPr>
              <w:jc w:val="center"/>
              <w:rPr>
                <w:rFonts w:ascii="Arial" w:hAnsi="Arial" w:cs="Arial"/>
                <w:sz w:val="16"/>
                <w:szCs w:val="16"/>
              </w:rPr>
            </w:pPr>
            <w:r>
              <w:rPr>
                <w:rFonts w:ascii="Arial" w:hAnsi="Arial" w:cs="Arial"/>
                <w:sz w:val="16"/>
                <w:szCs w:val="16"/>
              </w:rPr>
              <w:t>Первинне та вторинне пакування, випробування контролю якості при стабільності:</w:t>
            </w:r>
          </w:p>
          <w:p w:rsidR="003D03F3" w:rsidRDefault="003D03F3">
            <w:pPr>
              <w:jc w:val="center"/>
              <w:rPr>
                <w:rFonts w:ascii="Arial" w:hAnsi="Arial" w:cs="Arial"/>
                <w:sz w:val="16"/>
                <w:szCs w:val="16"/>
              </w:rPr>
            </w:pPr>
            <w:r>
              <w:rPr>
                <w:rFonts w:ascii="Arial" w:hAnsi="Arial" w:cs="Arial"/>
                <w:sz w:val="16"/>
                <w:szCs w:val="16"/>
              </w:rPr>
              <w:t>Дельфарм Мілано, С.Р.Л., Італія</w:t>
            </w:r>
          </w:p>
          <w:p w:rsidR="003D03F3" w:rsidRDefault="003D03F3">
            <w:pPr>
              <w:jc w:val="center"/>
              <w:rPr>
                <w:rFonts w:ascii="Arial" w:hAnsi="Arial" w:cs="Arial"/>
                <w:sz w:val="16"/>
                <w:szCs w:val="16"/>
              </w:rPr>
            </w:pPr>
            <w:r>
              <w:rPr>
                <w:rFonts w:ascii="Arial" w:hAnsi="Arial" w:cs="Arial"/>
                <w:sz w:val="16"/>
                <w:szCs w:val="16"/>
              </w:rPr>
              <w:t>Випуск серії:</w:t>
            </w:r>
          </w:p>
          <w:p w:rsidR="003D03F3" w:rsidRDefault="003D03F3">
            <w:pPr>
              <w:jc w:val="center"/>
              <w:rPr>
                <w:rFonts w:ascii="Arial" w:hAnsi="Arial" w:cs="Arial"/>
                <w:sz w:val="16"/>
                <w:szCs w:val="16"/>
              </w:rPr>
            </w:pPr>
            <w:r>
              <w:rPr>
                <w:rFonts w:ascii="Arial" w:hAnsi="Arial" w:cs="Arial"/>
                <w:sz w:val="16"/>
                <w:szCs w:val="16"/>
              </w:rPr>
              <w:t>Ф.Хоффманн-Ля Рош Лтд, Швейцарія</w:t>
            </w:r>
          </w:p>
          <w:p w:rsidR="003D03F3" w:rsidRDefault="003D03F3">
            <w:pPr>
              <w:pStyle w:val="110"/>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Швейцарія/Німеччина/ Італія/ Швейцарія</w:t>
            </w:r>
            <w:r>
              <w:rPr>
                <w:rFonts w:ascii="Arial" w:hAnsi="Arial" w:cs="Arial"/>
                <w:sz w:val="16"/>
                <w:szCs w:val="16"/>
              </w:rPr>
              <w:br/>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В рамках раціоналізації офісних площ Roche, пропонується зміна адреси офісу, яка здійснює випуск ГЛЗ. Дана зміна відбувається в рамках однієї системи контролю якості і стосується виключно функції випуск серії, і не має впливу на виробничий процес препарату. Не має впливу на якість, безпеку та ефективність препарату. Місце виробництва ГЛЗ не змінилось. Діюча редакція: Випуск серії: Ф.Хоффманн-Ля Рош Лтд Віадуктштрассе 33, 4051 Базель, Швейцарія. Пропонована редакція: Випуск серії: Ф.Хоффманн-Ля Рош Лтд Грензахерштрассе 124, 4058 Базель, Швейцарія.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Не 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UA/15199/01/01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КРАМПАЛІКА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по 250 мг, по 10 таблеток у блістері; по 3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Англія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ФАРМАТЕН ІНТЕРНЕШНЛ СА, Грецiя (альтернативна первинна упаковка, вторинна упаковка); Фарматен СА, Грецiя (виробництво готової лікарської форми, первинна та вторинна упаковка, контроль серії,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"Спосіб застосування та дози", "Побічні реакції" відповідно до інформації щодо медичного застосування референтного лікарського засобу (КЕППРА, таблетки, вкриті оболонкою). </w:t>
            </w:r>
            <w:r>
              <w:rPr>
                <w:rFonts w:ascii="Arial" w:hAnsi="Arial" w:cs="Arial"/>
                <w:sz w:val="16"/>
                <w:szCs w:val="16"/>
              </w:rPr>
              <w:br/>
              <w:t xml:space="preserve">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Не 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UA/18941/01/01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КРАМПАЛІКА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по 500 мг, по 10 таблеток у блістері; по 3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Англія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ФАРМАТЕН ІНТЕРНЕШНЛ СА, Грецiя (альтернативна первинна упаковка, вторинна упаковка); Фарматен СА, Грецiя (виробництво готової лікарської форми, первинна та вторинна упаковка, контроль серії,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"Спосіб застосування та дози", "Побічні реакції" відповідно до інформації щодо медичного застосування референтного лікарського засобу (КЕППРА, таблетки, вкриті оболонкою). </w:t>
            </w:r>
            <w:r>
              <w:rPr>
                <w:rFonts w:ascii="Arial" w:hAnsi="Arial" w:cs="Arial"/>
                <w:sz w:val="16"/>
                <w:szCs w:val="16"/>
              </w:rPr>
              <w:br/>
              <w:t xml:space="preserve">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Не 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UA/18941/01/02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КРУШИНИ КОРА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spacing w:after="240"/>
              <w:rPr>
                <w:rFonts w:ascii="Arial" w:hAnsi="Arial" w:cs="Arial"/>
                <w:sz w:val="16"/>
                <w:szCs w:val="16"/>
              </w:rPr>
            </w:pPr>
            <w:r>
              <w:rPr>
                <w:rFonts w:ascii="Arial" w:hAnsi="Arial" w:cs="Arial"/>
                <w:sz w:val="16"/>
                <w:szCs w:val="16"/>
              </w:rPr>
              <w:t>кора по 100 г або 75 г у пачках з внутрішнім пакетом; по 2,5 г № 20 у фільтр-пакетах у пачках або у пачках з внутрішнім пакетом</w:t>
            </w:r>
            <w:r>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ПрАТ "Ліктрави"</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ПрАТ "Ліктрави"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UA/6049/01/01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КСЕФОКАМ®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порошок для розчину для ін'єкцій по 8 мг; 5 флаконів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Асіно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Швейцарія,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Вассербургер Арцнайміттельверк ГмбХ, Німеччина (виробництво нерозфасованої продукції, первинне пакування); Такеда Австрія ГмбХ, Австрія (вторинне пакування та випуск серій)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Німеччина/Австрія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Виправлення помилки щодо висоти (в мм) пломби на кресленні у розділі "3.2.Р.7. Система контейнер/закупорювальний засіб". У затвердженому в даний час кресленні вигляду збоку в розділі "3.2.Р.7. Система контейнер/закупорювальний засіб" вказана висота 7,4+0,25. Однак фактична висота завжди була 7,5+0,25. У зв'язку з цим пропонується виправити помилку у висоті (в мм) на креслені. Також вносяться редакційні зміни, а саме переведення тексту в розділі "3.2.Р.7. Система контейнер/закупорювальний засіб" в новий формат з деякими редакційними змінами.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Вилучення малюнка нижньої сторони пломби. На нижній стороні пломби постачальника більше не буде наносити інформацію про формувальний інструмент ("Werkzeug bzw. Formnest-Nr.") та типу матеріалу ("Materialkennzeichnung"). Оскільки ця інформація не є релевантною з регуляторної точки зору. У зв'язку з цим видаляється креслення нижньої сторони пломби з розділу "3.2.Р.7. Система контейнер/закупорювальний засіб". </w:t>
            </w:r>
            <w:r>
              <w:rPr>
                <w:rFonts w:ascii="Arial" w:hAnsi="Arial" w:cs="Arial"/>
                <w:sz w:val="16"/>
                <w:szCs w:val="16"/>
              </w:rPr>
              <w:br/>
              <w:t xml:space="preserve">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UA/2593/02/01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КСОФЛУЗА®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по 40 мг, по 1 або по 2 таблетки у блістері, по 1 блістеру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ТОВ «Рош Україна»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випуск серії готового лікарського засобу: Ф.Хоффманн-Ля Рош Лтд, Швейцарія; первинне та вторинне пакування, включаючи випробування контролю якості в процесі виробництва: Шарп Пекеджинг Сервісез, ЛЛС, США; виробництво лікарського засобу, включаючи контроль в процесі виробництва, випробування контролю якості при випуску та стабільності: Шіоногі Фарма Ко., Лтд. Сетсу Плант, Японія; </w:t>
            </w:r>
            <w:r>
              <w:rPr>
                <w:rFonts w:ascii="Arial" w:hAnsi="Arial" w:cs="Arial"/>
                <w:b/>
                <w:sz w:val="16"/>
                <w:szCs w:val="16"/>
              </w:rPr>
              <w:t>випробування контролю якості при випуску та стабільності (за виключенням мікробіологічної чистоти), первинне та вторинне пакування, включаючи контроль в процесі виробництва, випуск серії готового лікарського засобу: Ф. Хоффман-Ля Рош Лтд, Швейцарія;</w:t>
            </w:r>
            <w:r>
              <w:rPr>
                <w:rFonts w:ascii="Arial" w:hAnsi="Arial" w:cs="Arial"/>
                <w:sz w:val="16"/>
                <w:szCs w:val="16"/>
              </w:rPr>
              <w:t xml:space="preserve"> випробування контролю якості при випуску та стабільності (тільки мікробіологічна чистота):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Швейцарія/</w:t>
            </w:r>
          </w:p>
          <w:p w:rsidR="003D03F3" w:rsidRDefault="003D03F3">
            <w:pPr>
              <w:pStyle w:val="110"/>
              <w:tabs>
                <w:tab w:val="left" w:pos="12600"/>
              </w:tabs>
              <w:jc w:val="center"/>
              <w:rPr>
                <w:rFonts w:ascii="Arial" w:hAnsi="Arial" w:cs="Arial"/>
                <w:sz w:val="16"/>
                <w:szCs w:val="16"/>
              </w:rPr>
            </w:pPr>
            <w:r>
              <w:rPr>
                <w:rFonts w:ascii="Arial" w:hAnsi="Arial" w:cs="Arial"/>
                <w:sz w:val="16"/>
                <w:szCs w:val="16"/>
              </w:rPr>
              <w:t>США/</w:t>
            </w:r>
          </w:p>
          <w:p w:rsidR="003D03F3" w:rsidRDefault="003D03F3">
            <w:pPr>
              <w:pStyle w:val="110"/>
              <w:tabs>
                <w:tab w:val="left" w:pos="12600"/>
              </w:tabs>
              <w:jc w:val="center"/>
              <w:rPr>
                <w:rFonts w:ascii="Arial" w:hAnsi="Arial" w:cs="Arial"/>
                <w:sz w:val="16"/>
                <w:szCs w:val="16"/>
              </w:rPr>
            </w:pPr>
            <w:r>
              <w:rPr>
                <w:rFonts w:ascii="Arial" w:hAnsi="Arial" w:cs="Arial"/>
                <w:sz w:val="16"/>
                <w:szCs w:val="16"/>
              </w:rPr>
              <w:t>Японія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w:t>
            </w:r>
            <w:r>
              <w:rPr>
                <w:rFonts w:ascii="Arial" w:hAnsi="Arial" w:cs="Arial"/>
                <w:b/>
                <w:sz w:val="16"/>
                <w:szCs w:val="16"/>
              </w:rPr>
              <w:t>: уточнение написання функцій одного з виробників в наказі МОЗ України № 498 від 16.03.2023 в процесі внесення змін</w:t>
            </w:r>
            <w:r>
              <w:rPr>
                <w:rFonts w:ascii="Arial" w:hAnsi="Arial" w:cs="Arial"/>
                <w:sz w:val="16"/>
                <w:szCs w:val="16"/>
              </w:rPr>
              <w:t xml:space="preserve">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відповідального за первинне та вторинне пакування, включаючи випробування контролю якості в процесі виробництва. без зміни адреси місця провадження діяльності. Діюча редакція: Шарп Корпорейшн, США Пропонована редакція: Шарп Пекеджинг Сервісез, ЛЛС, США. Введення змін протягом 6-ти місяців після затвердження). Редакція в наказі - випуск серії готового лікарського засобу:</w:t>
            </w:r>
            <w:r>
              <w:rPr>
                <w:rFonts w:ascii="Arial" w:hAnsi="Arial" w:cs="Arial"/>
                <w:sz w:val="16"/>
                <w:szCs w:val="16"/>
              </w:rPr>
              <w:br/>
              <w:t>Ф.Хоффманн-Ля Рош Лтд, Швейцарія; первинне та вторинне пакування, включаючи випробування контролю якості в процесі виробництва: Шарп Пекеджинг Сервісез, ЛЛС, США; виробництво лікарського засобу, включаючи контроль в процесі виробництва, випробування контролю якості при випуску та стабільності: Шіоногі Фарма Ко., Лтд. Сетсу Плант, Японія; випробування контролю якості при випуску та стабільності (за виключенням мікробіологічної чистоти): Ф. Хоффман-Ля Рош Лтд, Швейцарія; випробування контролю якості при випуску та стабільності (тільки мікробіологічна чистота): Ф.Хоффманн-Ля Рош Лтд, Швейцарія.</w:t>
            </w:r>
            <w:r>
              <w:rPr>
                <w:rFonts w:ascii="Arial" w:hAnsi="Arial" w:cs="Arial"/>
                <w:b/>
                <w:sz w:val="16"/>
                <w:szCs w:val="16"/>
              </w:rPr>
              <w:t xml:space="preserve"> Вірна редакція - випуск серії готового лікарського засобу: Ф.Хоффманн-Ля Рош Лтд, Швейцарія; первинне та вторинне пакування, включаючи випробування контролю якості в процесі виробництва: Шарп Пекеджинг Сервісез, ЛЛС, США; виробництво лікарського засобу, включаючи контроль в процесі виробництва, випробування контролю якості при випуску та стабільності: Шіоногі Фарма Ко., Лтд. Сетсу Плант, Японія; </w:t>
            </w:r>
            <w:r>
              <w:rPr>
                <w:rFonts w:ascii="Arial" w:hAnsi="Arial" w:cs="Arial"/>
                <w:b/>
                <w:sz w:val="16"/>
                <w:szCs w:val="16"/>
                <w:u w:val="single"/>
              </w:rPr>
              <w:t>випробування контролю якості при випуску та стабільності (за виключенням мікробіологічної чистоти), первинне та вторинне пакування, включаючи контроль в процесі виробництва, випуск серії готового лікарського засобу: Ф. Хоффман-Ля Рош Лтд, Швейцарія;</w:t>
            </w:r>
            <w:r>
              <w:rPr>
                <w:rFonts w:ascii="Arial" w:hAnsi="Arial" w:cs="Arial"/>
                <w:b/>
                <w:sz w:val="16"/>
                <w:szCs w:val="16"/>
              </w:rPr>
              <w:t xml:space="preserve"> випробування контролю якості при випуску та стабільності (тільки мікробіологічна чистота): Ф.Хоффманн-Ля Рош Лтд, Швейцарія.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UA/18056/01/02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КУРОСУРФ®</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суспензія для ендотрахеального введення, 80 мг/мл; по 1,5 мл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К'єзі Фармас'ютікелз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Австрія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виробництво in bulk, пакування, випуск серії: К'єзі Фармацеутиці С.п.А., Італія; випуск серії: К'єзі Фармас'ютікелз ГмбХ, Австрiя; вторинне пакування: Г.Л. Фарма ГмбХ, Австрія; виробництво in bulk, пакування, контроль та випуск серії: К’єзі Фармацеутиці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Італія/Австрія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4.0. Зміни внесено до частин: І «Загальна інформація», II «Специфікація з безпеки», ІІІ «План з фармаконагляду», IV «Плани щодо післяреєстраційних досліджень ефективності», V «Заходи з мінімізації ризиків», VI «Резюме плану управління ризиками», VII «Додатки» у зв’язку з видаленням важливих ідентифікованих ризиків, важливих потенційних ризиків, а також видалення відсутньої інформації. Структуру ПУРа було оновлено відповідно до рекомендацій Guideline on good pharmacovigilance practices (GVP) Module V – Risk management systems (Rev 2)</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UA/10170/01/01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ЛАНЦЕРОЛ®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капсули по 30 мг; по 10 капсул у блістері; по 1 блістеру у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щодо інформації з безпеки діючої речовини.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i/>
                <w:sz w:val="16"/>
                <w:szCs w:val="16"/>
              </w:rPr>
            </w:pPr>
            <w:r>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UA/7875/01/01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ЛАФЕРОБІОН®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ліофілізат для розчину для ін'єкцій 1 000 000 МО; по 5 флаконів ліофілізата у блістері; по 2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Зміна назви операції 2.2 з "Стерилізуюча фільтрація, розлив та герметизація" на "Стерилізуюча фільтрація, розлив та вставка пробки", а також додавання у виробничий процес окремої технологічної операції Операція 5.1 Отримання та підготовка пакувальних матеріалів</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UA/13720/01/01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ЛАФЕРОБІОН®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ліофілізат для розчину для ін'єкцій 3 000 000 МО; по 5 флаконів ліофілізата у блістері; по 2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Зміна назви операції 2.2 з "Стерилізуюча фільтрація, розлив та герметизація" на "Стерилізуюча фільтрація, розлив та вставка пробки", а також додавання у виробничий процес окремої технологічної операції Операція 5.1 Отримання та підготовка пакувальних матеріалів</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UA/13720/01/02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ЛАФЕРОБІОН®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ліофілізат для розчину для ін'єкцій 6 000 000 МО; по 5 флаконів ліофілізата та по 5 ампул розчинника по 2 мл (вода для ін’єкцій) у блістері; по 1 блістеру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Зміна назви операції 2.2 з "Стерилізуюча фільтрація, розлив та герметизація" на "Стерилізуюча фільтрація, розлив та вставка пробки", а також додавання у виробничий процес окремої технологічної операції Операція 5.1 Отримання та підготовка пакувальних матеріалів</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UA/13720/01/04</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ЛАФЕРОБІОН®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ліофілізат для розчину для ін'єкцій 18 000 000 МО; по 1 флакону ліофілізата та по 1 ампулі розчинника по 2 мл (вода для ін’єкцій) у блістері; по 1 блістеру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Зміна назви операції 2.2 з "Стерилізуюча фільтрація, розлив та герметизація" на "Стерилізуюча фільтрація, розлив та вставка пробки", а також додавання у виробничий процес окремої технологічної операції Операція 5.1 Отримання та підготовка пакувальних матеріалів</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UA/13720/01/06</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ЛЕВЕМІР® ФЛЕКСПЕН®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розчин для ін'єкцій, 100 ОД/мл; по 3 мл у картриджі; по 1 картриджу в багатодозовій одноразовій шприц-ручці; по 1 або 5 шприц-ручок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 Ново Нордіск</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Данiя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 Ново Нордіск, Данiя (виробник для збирання, маркування та упаковка ФлексПен®, вторинне пакування); А/Т Ново Нордіск, Данiя (виробник нерозфасованого продукту, наповнення в Пенфіл®, первинна упаковка, контроль якості та відповідальний за випуск серій кінцевого продукту); А/Т Ново Нордіск, Данiя (маркування та упаковка ФлексПен®, вторинне пакування); Ново Нордіск Продукао Фармасеутіка до Бразіль Лтда., Бразилiя (виробник нерозфасованої продукції, наповнення в Пенфіл®, первинна упаковка та збирання, маркування та упаковка ФлексПен®, вторинне пакування); Ново Нордіск Продюксьон САС, Францiя (виробник продукції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Данiя/ Бразилiя/Францiя</w:t>
            </w:r>
          </w:p>
          <w:p w:rsidR="003D03F3" w:rsidRDefault="003D03F3">
            <w:pPr>
              <w:pStyle w:val="110"/>
              <w:tabs>
                <w:tab w:val="left" w:pos="12600"/>
              </w:tabs>
              <w:jc w:val="center"/>
              <w:rPr>
                <w:rFonts w:ascii="Arial" w:hAnsi="Arial" w:cs="Arial"/>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w:t>
            </w:r>
          </w:p>
          <w:p w:rsidR="003D03F3" w:rsidRDefault="003D03F3">
            <w:pPr>
              <w:pStyle w:val="110"/>
              <w:tabs>
                <w:tab w:val="left" w:pos="12600"/>
              </w:tabs>
              <w:jc w:val="center"/>
              <w:rPr>
                <w:rFonts w:ascii="Arial" w:hAnsi="Arial" w:cs="Arial"/>
                <w:sz w:val="16"/>
                <w:szCs w:val="16"/>
              </w:rPr>
            </w:pPr>
            <w:r>
              <w:rPr>
                <w:rFonts w:ascii="Arial" w:hAnsi="Arial" w:cs="Arial"/>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"Застосування у період вагітності або годування груддю" відповідно до фінальних результатів післяреєстраційного дослідження оцінки довгострокової безпеки застосування інсуліну вагітними NN304-4016.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"Особливості застосування", "Спосіб застосування та дози", "Побічні реакції" відповідно до матеріалів реєстраційного досьє.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i/>
                <w:sz w:val="16"/>
                <w:szCs w:val="16"/>
              </w:rPr>
            </w:pPr>
            <w:r>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UA/4858/01/01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 xml:space="preserve">ЛЕВОМАК </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таблетки, вкриті плівковою оболонкою, по 500 мг, по 5 таблеток у блістері, по 1 або по 2 блістери в картонній упаковці; по 5 таблеток у блістері, по 4 блістери, з'єднаних між собою; по 5 блістерів, з'єднаних між собою в упаковці; по 10 таблеток у блістері; по 10 блістерів в катонній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w:t>
            </w:r>
          </w:p>
          <w:p w:rsidR="003D03F3" w:rsidRDefault="003D03F3">
            <w:pPr>
              <w:pStyle w:val="110"/>
              <w:tabs>
                <w:tab w:val="left" w:pos="12600"/>
              </w:tabs>
              <w:jc w:val="center"/>
              <w:rPr>
                <w:rFonts w:ascii="Arial" w:hAnsi="Arial" w:cs="Arial"/>
                <w:sz w:val="16"/>
                <w:szCs w:val="16"/>
              </w:rPr>
            </w:pPr>
            <w:r>
              <w:rPr>
                <w:rFonts w:ascii="Arial" w:hAnsi="Arial" w:cs="Arial"/>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левофлоксацину гемігідрату - Zhejiang East-Asia Pharmaceutical Co., Ltd., China. Як наслідок внесення змін в специфікацію та методи вхідного контролю за показником "Залишкові кількості органічних розчинників"(запропоновано: метанолу - не більше 0,3 %, етанолу - не більше 0,5 %, хлороформу - не більше 0,006 % для альтернативного виробника АФІ левофлоксацину гемігідрату - Zhejiang East-Asia Pharmaceutical Co., Ltd., China</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UA/8637/01/02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 xml:space="preserve">ЛЕВОЦИН-Н </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розчин для інфузій, 500 мг/100 мл; по 100 мл або по 150 мл у флаконі; по 1 флакону в пачці з картону; по 100 мл або 150 мл у флаконі; по 10 флаконів у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"ФАРМАСЕЛ"</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нерозфасований продукт, первинна упаковка, вторинна упаковка, контроль: ВІОСЕР С.А. ПАРЕНТЕРАЛ СОЛЮШНС ІНДАСТРІ, Греція; контроль, випуск серії: ТОВ "ФАРМАСЕЛ",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Греція/Україна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Pr>
                <w:rFonts w:ascii="Arial" w:hAnsi="Arial" w:cs="Arial"/>
                <w:sz w:val="16"/>
                <w:szCs w:val="16"/>
              </w:rPr>
              <w:br/>
              <w:t>Діюча редакція: Супрун Едуард Володимирович. Пропонована редакція: Богач Тетяна Олександрівна.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UA/12842/01/01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ЛІВЕЛ®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капсули по 200 мг; по 10 капсул у блістері; по 5 або 10 блістерів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"ВАЛАРТІН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"Астрафарм", Україна (виробництво, первинне та вторинне пакування, контроль якості); ТОВ "ВАЛАРТІН ФАРМА", Україна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Pr>
                <w:rFonts w:ascii="Arial" w:hAnsi="Arial" w:cs="Arial"/>
                <w:sz w:val="16"/>
                <w:szCs w:val="16"/>
              </w:rPr>
              <w:br/>
              <w:t>Зміни внесено до інструкції для медичного застосування лікарського засобу до розділу "Побічні реакції" відповідно до оновленої інформації з безпеки діючої речовини рибавірину згідно з рекомендаціями PRAC.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i/>
                <w:sz w:val="16"/>
                <w:szCs w:val="16"/>
              </w:rPr>
            </w:pPr>
            <w:r>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UA/10583/01/01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ЛІДОКАЇН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розчин для ін'єкцій 2 %; по 2 мл в ампулі; по 5 ампул у блістері; по 2 або по 20 блістерів у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ЗАТ Фармацевтичний завод ЕГІС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Угорщина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Pr>
                <w:rFonts w:ascii="Arial" w:hAnsi="Arial" w:cs="Arial"/>
                <w:sz w:val="16"/>
                <w:szCs w:val="16"/>
              </w:rPr>
              <w:br/>
              <w:t xml:space="preserve">Зміни вносяться до матеріалів реєстраційного досьє у зв’язку із додаванням альтернативної дільниці для здійснення контролю мікробіологічної чистоти.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UA/0655/01/01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ЛІМЕНДА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супозиторії вагінальні, по 7 супозиторіїв у блістері; по 1 блістеру у комплекті з 7 напальчниками одноразового використання або по 2 блістери у комплекті з 14 напальчниками одноразового використання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Pr>
                <w:rFonts w:ascii="Arial" w:hAnsi="Arial" w:cs="Arial"/>
                <w:sz w:val="16"/>
                <w:szCs w:val="16"/>
              </w:rPr>
              <w:br/>
              <w:t>Зміни внесені до інструкції для медичного застосування лікарського засобу у розділи "Протипоказання",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i/>
                <w:sz w:val="16"/>
                <w:szCs w:val="16"/>
              </w:rPr>
            </w:pPr>
            <w:r>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UA/14636/01/01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ЛІМЕНДА-Л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супозиторії вагінальні, по 7 супозиторіїв у блістері; по 1 блістеру у комплекті з 7 напальчниками одноразового використання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органом)ю</w:t>
            </w:r>
            <w:r>
              <w:rPr>
                <w:rFonts w:ascii="Arial" w:hAnsi="Arial" w:cs="Arial"/>
                <w:sz w:val="16"/>
                <w:szCs w:val="16"/>
              </w:rPr>
              <w:br/>
              <w:t>Зміни внесені до інструкції для медичного застосування лікарського засобу у розділи "Протипоказання",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i/>
                <w:sz w:val="16"/>
                <w:szCs w:val="16"/>
              </w:rPr>
            </w:pPr>
            <w:r>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UA/15946/01/01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ЛІНКОМІЦИН-ЗДОРОВ'Я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розчин для ін'єкцій, 300 мг/мл, по 1 мл або по 2 мл в ампулі; по 10 ампул у картонній коробці; по 1 мл або по 2 мл в ампулі; по 5 ампул у блістері; по 2 блістери в картонній коробці; по 1 мл або по 2 мл в ампулі; по 10 ампул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Pr>
                <w:rFonts w:ascii="Arial" w:hAnsi="Arial" w:cs="Arial"/>
                <w:sz w:val="16"/>
                <w:szCs w:val="16"/>
              </w:rPr>
              <w:br/>
              <w:t>подання оновленого сертифіката відповідності Європейській фармакопеї № R1-CEP 2008-225-Rev 02 (затверджено: R1-CEP 2008-225-Rev 01) для АФІ лінкоміцину гідрохлориду від вже затвердженого виробника TOPFOND PHARMACEUTICAL CO., LTD., China.</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UA/7975/01/01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ЛІНКОМІЦИНУ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ТОПФОНД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2008-225-Rev 02 (затверджено: R1-CEP 2008-225-Rev 01). Як наслідок, зміна адреси виробництва (стало: № 66 Цзяньше Роуд Хай-Тек Індастріал Девелопмент Дістрікт Китай-463 000 Чжумадянь, Хенань Провінс, Китай/ No. 66 Jianshe Road High-Tech Industrial Development District China-463 000 Zhumadian, Henan Province, China); приведення нормування та методики за показником “Залишкові кількості органічних розчинників” до вимог СЕР</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UA/15682/01/01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ЛІНОЗИД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розчин для інфузій, 2 мг/мл, по 300 мл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УОРЛД МЕДИЦИН ІЛАЧ САН. ВЕ ТІДЖ. A.Ш.</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Туреччина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Мефар Ілач Сан.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"Побічні реакції" відповідно до інформації щодо медичного застосування референтного лікарського засобу (ЗИВОКС розчин для інфузій).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i/>
                <w:sz w:val="16"/>
                <w:szCs w:val="16"/>
              </w:rPr>
            </w:pPr>
            <w:r>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UA/14840/01/01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ЛОПЕДІУМ®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капсули тверді по 2 мг; по 6 капсул у блістері; по 1 блістеру в картонній коробці; по 10 капсул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Словенія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виробництво in bulk, пакування, випуск серії: Салютас Фарма ГмбХ, Німеччина; пакування, випуск серії: Лек С.А., Польща; виробництво за повним циклом: С.К. Сандоз С.Р.Л.,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Німеччина/Румунія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2004-132 - Rev 04 (затверджено: R1-CEP 2004-132 - Rev 03) для АФІ лопераміду гідрохлориду від вже затвердженого виробника OLON S.P.A., Italy.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2004-132 - Rev 05 для АФІ лопераміду гідрохлориду від вже затвердженого виробника OLON S.P.A., Italy.</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UA/9738/01/01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ЛОПЕРАМІД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таблетки по 2 мг по 10 таблеток у блістері; по 2 блістери в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ПАТ "Київмедпрепарат", Україна;</w:t>
            </w:r>
            <w:r>
              <w:rPr>
                <w:rFonts w:ascii="Arial" w:hAnsi="Arial" w:cs="Arial"/>
                <w:sz w:val="16"/>
                <w:szCs w:val="16"/>
              </w:rPr>
              <w:br/>
              <w:t>ТОВ "МАРІФАРМ",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Pr>
                <w:rFonts w:ascii="Arial" w:hAnsi="Arial" w:cs="Arial"/>
                <w:sz w:val="16"/>
                <w:szCs w:val="16"/>
              </w:rPr>
              <w:br/>
              <w:t>Зміни внесено до Інструкції для медичного застосування лікарського засобу у розділ "Побічні реакції" відповідно до оновленої інформації щодо безпеки застосування діючої речовини згідно з рекомендацією PRAC.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i/>
                <w:sz w:val="16"/>
                <w:szCs w:val="16"/>
              </w:rPr>
            </w:pPr>
            <w:r>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UA/7581/01/01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ЛОРАТЕК®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спрей назальний, дозований 0,05 %; по 10 г у флаконі з розпилювачем; по 1 флакону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"ВАЛАРТІН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"Мікрофарм"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(інші зміни) </w:t>
            </w:r>
            <w:r>
              <w:rPr>
                <w:rFonts w:ascii="Arial" w:hAnsi="Arial" w:cs="Arial"/>
                <w:sz w:val="16"/>
                <w:szCs w:val="16"/>
              </w:rPr>
              <w:br/>
              <w:t xml:space="preserve">вноситься перерахунок допоміжної речовини Бензалконію хлориду на 100 % речовину, з відповідними змінами в розділ «Склад» МКЯ ЛЗ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UA/17398/01/01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ЛОРТЕНЗА®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по 50 мг/5 мг; по 10 таблеток у блістері; по 3, по 6 або по 9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Словенія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КРКА, д.д., Ново место, Словенія (відповідальний за виробництво “in bulk”, первинне та вторинне пакування, контроль та випуск серії); КРКА, д.д., Ново место, Словенія (відповідальний за контроль серії); Лабор ЛС СЕ&amp;Ко.КГ, Німеччина (контроль мікробіологічної чистоти серії (у випадку контролю серії ТАД Фарма ГмбХ)); ТАД Фарма ГмбХ, Німеччина (відповідальний за контроль серії); ТАД Фарма ГмбХ, Німеччина (відповідальний за первинне та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Словенія/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з безпеки діючої речовини амлодипіну. Введення змін протягом 6-ти місяців після затвердження.</w:t>
            </w:r>
            <w:r>
              <w:rPr>
                <w:rFonts w:ascii="Arial" w:hAnsi="Arial" w:cs="Arial"/>
                <w:sz w:val="16"/>
                <w:szCs w:val="16"/>
              </w:rPr>
              <w:br/>
              <w:t>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"Передозування" відповідно до оновленої інформації з безпеки діючої речовини амлодипіну.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щодо інформації супутнього застосування лікарських засобів, що можуть підвищити рівень калію в крові та повідомлення про підозрювані побічні реакції.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i/>
                <w:sz w:val="16"/>
                <w:szCs w:val="16"/>
              </w:rPr>
            </w:pPr>
            <w:r>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UA/14993/01/02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ЛОРТЕНЗА®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по 50 мг/10 мг; по 10 таблеток у блістері; по 3, по 6 або по 9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Словенія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КРКА, д.д., Ново место, Словенія (відповідальний за виробництво “in bulk”, первинне та вторинне пакування, контроль та випуск серії); КРКА, д.д., Ново место, Словенія (відповідальний за контроль серії); Лабор ЛС СЕ&amp;Ко.КГ, Німеччина (контроль мікробіологічної чистоти серії (у випадку контролю серії ТАД Фарма ГмбХ)); ТАД Фарма ГмбХ, Німеччина (відповідальний за контроль серії); ТАД Фарма ГмбХ, Німеччина (відповідальний за первинне та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Словенія/Німеччина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з безпеки діючої речовини амлодипіну. Введення змін протягом 6-ти місяців після затвердження.</w:t>
            </w:r>
            <w:r>
              <w:rPr>
                <w:rFonts w:ascii="Arial" w:hAnsi="Arial" w:cs="Arial"/>
                <w:sz w:val="16"/>
                <w:szCs w:val="16"/>
              </w:rPr>
              <w:br/>
              <w:t>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"Передозування" відповідно до оновленої інформації з безпеки діючої речовини амлодипіну.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щодо інформації супутнього застосування лікарських засобів, що можуть підвищити рівень калію в крові та повідомлення про підозрювані побічні реакції.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i/>
                <w:sz w:val="16"/>
                <w:szCs w:val="16"/>
              </w:rPr>
            </w:pPr>
            <w:r>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UA/14994/01/01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ЛОРТЕНЗА®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по 100 мг/5 мг; по 10 таблеток у блістері; по 3, по 6 або по 9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Словенія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КРКА, д.д., Ново место, Словенія (відповідальний за виробництво “in bulk”, первинне та вторинне пакування, контроль та випуск серії); КРКА, д.д., Ново место, Словенія (відповідальний за контроль серії); Лабор ЛС СЕ&amp;Ко.КГ, Німеччина (контроль мікробіологічної чистоти серії (у випадку контролю серії ТАД Фарма ГмбХ)); ТАД Фарма ГмбХ, Німеччина (відповідальний за контроль серії); ТАД Фарма ГмбХ, Німеччина (відповідальний за первинне та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Словенія/Німеччина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з безпеки діючої речовини амлодипіну. Введення змін протягом 6-ти місяців після затвердження.</w:t>
            </w:r>
            <w:r>
              <w:rPr>
                <w:rFonts w:ascii="Arial" w:hAnsi="Arial" w:cs="Arial"/>
                <w:sz w:val="16"/>
                <w:szCs w:val="16"/>
              </w:rPr>
              <w:br/>
              <w:t>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"Передозування" відповідно до оновленої інформації з безпеки діючої речовини амлодипіну.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щодо інформації супутнього застосування лікарських засобів, що можуть підвищити рівень калію в крові та повідомлення про підозрювані побічні реакції.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i/>
                <w:sz w:val="16"/>
                <w:szCs w:val="16"/>
              </w:rPr>
            </w:pPr>
            <w:r>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UA/14995/01/01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ЛОРТЕНЗА®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по 100 мг/10 мг; по 10 таблеток у блістері; по 3, по 6 або по 9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Словенія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КРКА, д.д., Ново место, Словенія (відповідальний за виробництво “in bulk”, первинне та вторинне пакування, контроль та випуск серії); КРКА, д.д., Ново место, Словенія (відповідальний за контроль серії); Лабор ЛС СЕ&amp;Ко.КГ, Німеччина (контроль мікробіологічної чистоти серії (у випадку контролю серії ТАД Фарма ГмбХ)); ТАД Фарма ГмбХ, Німеччина (відповідальний за контроль серії); ТАД Фарма ГмбХ, Німеччина (відповідальний за первинне та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Словенія/Німеччина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з безпеки діючої речовини амлодипіну. Введення змін протягом 6-ти місяців після затвердження.</w:t>
            </w:r>
            <w:r>
              <w:rPr>
                <w:rFonts w:ascii="Arial" w:hAnsi="Arial" w:cs="Arial"/>
                <w:sz w:val="16"/>
                <w:szCs w:val="16"/>
              </w:rPr>
              <w:br/>
              <w:t>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"Передозування" відповідно до оновленої інформації з безпеки діючої речовини амлодипіну.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щодо інформації супутнього застосування лікарських засобів, що можуть підвищити рівень калію в крові та повідомлення про підозрювані побічні реакції.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i/>
                <w:sz w:val="16"/>
                <w:szCs w:val="16"/>
              </w:rPr>
            </w:pPr>
            <w:r>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UA/14993/01/01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ЛУЦЕТАМ®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розчин для ін'єкцій, 200 мг/мл по 5 мл (1 г) в ампулі; по 5 ампул у блістері; по 2 блістери в картонній коробці; по 15 мл (3 г) в ампулі; по 4 ампули в блістері; по 1 або по 5 блістерів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ЗАТ Фармацевтичний завод ЕГІС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Угорщина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Зміни вносяться у зв’язку із додаванням альтернативної дільниці для здійснення мікробіологічного контролю до вже затвердженого виробника відповідального за контроль якості.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UA/8165/02/01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МАГНІЮ 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порошок для розчину для орального застосування по 25 г, 1 контейнер або саше</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"Исток-Плюс"</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"Исток-Плюс"</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Pr>
                <w:rFonts w:ascii="Arial" w:hAnsi="Arial" w:cs="Arial"/>
                <w:sz w:val="16"/>
                <w:szCs w:val="16"/>
              </w:rPr>
              <w:br/>
              <w:t xml:space="preserve">Вилучення виробника АФІ ВАТ "Хімічний завод ім. Л. Я. Карпова", Російська Федерація. Залишається альтернативний виробник АФІ "Macco Organiques, s.r.o., Чеська Республіка".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UA/5775/01/01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МАРІТА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по 2 мг, по 28 таблеток у блістері; по 1 блістеру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Сіндеа Фарма, С.Л.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2016-155 - Rev 00 для діючої речовини Dienogest Micronised від вже затвердженого виробника NEWCHEM S.p.A., Італія.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2016-155 - Rev 01 (затверджено: R0-CEP 2016-155 - Rev 00) для діючої речовини Dienogest Micronised від вже затвердженого виробника NEWCHEM S.p.A., Італія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UA/18865/01/01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МЕБІКАР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по 0,5 г, по 10 таблеток у блістері; по 1 або 2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Збільшення терміну зберігання діючої речовини з 3 років на 4 роки. Зміни І типу - Зміни з якості. АФІ. Контроль АФІ (інші зміни). Зміна періодичністі проведення контролю МБЧ з кожної серії на кожну п'яту серію АФІ, але не рідше одного разу на рік на підставі проведення аналізу ризиків.</w:t>
            </w:r>
            <w:r>
              <w:rPr>
                <w:rFonts w:ascii="Arial" w:hAnsi="Arial" w:cs="Arial"/>
                <w:sz w:val="16"/>
                <w:szCs w:val="16"/>
              </w:rPr>
              <w:br/>
              <w:t xml:space="preserve">Зміни І типу - Зміни з якості. АФІ. Виробництво. Зміни в процесі виробництва АФІ (незначна зміна у процесі виробництва АФІ). </w:t>
            </w:r>
            <w:r>
              <w:rPr>
                <w:rFonts w:ascii="Arial" w:hAnsi="Arial" w:cs="Arial"/>
                <w:sz w:val="16"/>
                <w:szCs w:val="16"/>
              </w:rPr>
              <w:br/>
              <w:t>Супутня зміна- Зміни з якості. АФІ. Контроль АФІ (інші зміни). Зміна у технології виробництва АФІ, а саме заміна промивного розчинника ацетон на спирт ізопропиловий. Зміна нормування та методики виконання тесту "Залишкові кількості органічних розчинників" у МКЯ ЛЗ АФІ (вилучення органічного розчинника ацетон) та уточнення назви тесту. Зміни І типу - Зміни з якості. Готовий лікарський засіб. Контроль готового лікарського засобу (інші зміни).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Уточнення формулювання тесту "Однорідність дозованих одиниць" у МКЯ ЛЗ та специфікаціях і методиці контролю якості проміжного продукту "Нерозфасовані таблетки" (як супутня зміна) у зв'язку з приведенням у відповідність до ДФУ.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(доповнення специфікації новим показником та відповідним методом випробування). Доповнення специфікації та методів контролю якості первинної упаковки АФІ-пакетів поліетиленових-показником "Ідентифікація" та відповідним методом випробування.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Виправлення значення кількості проби, що відбирається для проведення аналізу проміжного продукту "Нерозфасовані таблетки" для дозування 0,5 г.</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UA/8823/01/02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МЕБІКАР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по 0,3 г, по 10 таблеток у блістері; по 2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Збільшення терміну зберігання діючої речовини з 3 років на 4 роки.  Зміни І типу - Зміни з якості. АФІ. Контроль АФІ (інші зміни). Зміна періодичністі проведення контролю МБЧ з кожної серії на кожну п'яту серію АФІ, але не рідше одного разу на рік на підставі проведення аналізу ризиків.</w:t>
            </w:r>
          </w:p>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Зміни І типу - Зміни з якості. АФІ. Виробництво. Зміни в процесі виробництва АФІ (незначна зміна у процесі виробництва АФІ). </w:t>
            </w:r>
          </w:p>
          <w:p w:rsidR="003D03F3" w:rsidRDefault="003D03F3">
            <w:pPr>
              <w:pStyle w:val="110"/>
              <w:tabs>
                <w:tab w:val="left" w:pos="12600"/>
              </w:tabs>
              <w:jc w:val="center"/>
              <w:rPr>
                <w:rFonts w:ascii="Arial" w:hAnsi="Arial" w:cs="Arial"/>
                <w:sz w:val="16"/>
                <w:szCs w:val="16"/>
              </w:rPr>
            </w:pPr>
            <w:r>
              <w:rPr>
                <w:rFonts w:ascii="Arial" w:hAnsi="Arial" w:cs="Arial"/>
                <w:sz w:val="16"/>
                <w:szCs w:val="16"/>
              </w:rPr>
              <w:t>Супутня зміна- Зміни з якості. АФІ. Контроль АФІ (інші зміни). Зміна у технології виробництва АФІ, а саме заміна промивного розчинника ацетон на спирт ізопропиловий. Зміна нормування та методики виконання тесту "Залишкові кількості органічних розчинників" у МКЯ ЛЗ АФІ (вилучення органічного розчинника ацетон) та уточнення назви тесту. Зміни І типу - Зміни з якості. Готовий лікарський засіб. Контроль готового лікарського засобу (інші зміни).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Уточнення формулювання тесту "Однорідність дозованих одиниць" у МКЯ ЛЗ та специфікаціях і методиці контролю якості проміжного продукту "Нерозфасовані таблетки" (як супутня зміна) у зв'язку з приведенням у відповідність до ДФУ.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(доповнення специфікації новим показником та відповідним методом випробування). Доповнення специфікації та методів контролю якості первинної упаковки АФІ-пакетів поліетиленових-показником "Ідентифікація" та відповідним методом випробування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UA/8823/01/01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МЕДЕКСОЛ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краплі очні, розчин, 1 мг/мл; по 5 мл у флаконі-крапельниці;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"Особливості застосування", "Побічні реакції" відповідно до референтного лікарського засобу Максидекс®.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UA/18505/01/01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МЕКСИКОР®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розчин для ін'єкцій, 50 мг/мл; по 2 мл в ампулі; по 5 ампул в контурній чарунковій упаковці; по 2 контурні чарункові упаковки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"ЗДРАВО"</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ПрАТ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w:t>
            </w:r>
            <w:r>
              <w:rPr>
                <w:rFonts w:ascii="Arial" w:hAnsi="Arial" w:cs="Arial"/>
                <w:sz w:val="16"/>
                <w:szCs w:val="16"/>
              </w:rPr>
              <w:br/>
              <w:t>вилучення російського виробника діючої речовини - Товариства з обмеженою відповідальністю "БІОН", Російська Федерація. Залишається альтернативний виробник діючої речовини - Товариство з обмеженою відповідальністю "ФАРМХІМ",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UA/4971/01/01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МЕКСИПРИМ®</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розчин для ін'єкцій, 50 мг/мл, по 2 мл або по 5 мл в ампулі; по 5 ампул у блістері; по 1 або 2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ДП "СТАДА-УКРАЇНА"</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К.Т. РОМФАРМ КОМПАНІ С.Р.Л.</w:t>
            </w:r>
            <w:r>
              <w:rPr>
                <w:rFonts w:ascii="Arial" w:hAnsi="Arial" w:cs="Arial"/>
                <w:sz w:val="16"/>
                <w:szCs w:val="16"/>
              </w:rPr>
              <w:br/>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Румунiя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UA/10375/02/01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МЕЛСІ</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таблетки по 7,5 мг; по 10 таблеток у блістері; по 2 блістери у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"Астрафарм"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Pr>
                <w:rFonts w:ascii="Arial" w:hAnsi="Arial" w:cs="Arial"/>
                <w:sz w:val="16"/>
                <w:szCs w:val="16"/>
              </w:rPr>
              <w:br/>
              <w:t>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рекомендацій PRAC.</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UA/8397/01/01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МЕЛСІ</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таблетки по 15 мг; по 10 таблеток у блістері; по 2 блістери у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"Астрафарм"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Pr>
                <w:rFonts w:ascii="Arial" w:hAnsi="Arial" w:cs="Arial"/>
                <w:sz w:val="16"/>
                <w:szCs w:val="16"/>
              </w:rPr>
              <w:br/>
              <w:t>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рекомендацій PRAC.</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UA/8397/01/02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МЕТИЛУРАЦИЛ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супозиторії ректальні по 0,5 г по 5 супозиторіїв у стрипі; по 2 стрипи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ПАТ «Монфарм» </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ПАТ «Монфарм» </w:t>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w:t>
            </w:r>
            <w:r>
              <w:rPr>
                <w:rFonts w:ascii="Arial" w:hAnsi="Arial" w:cs="Arial"/>
                <w:sz w:val="16"/>
                <w:szCs w:val="16"/>
              </w:rPr>
              <w:br/>
              <w:t>Зміна адреси виробника ГЛЗ ПАТ "Монфарм", Україна, без зміни місця виробництва.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Совгира Сергій Сергійович.Пропонована редакція: Пастушенко Інна Вікторівна.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UA/6754/02/01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МЕТИЛУРАЦИЛ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по 0,5 г; по 10 таблеток у стрипі; по 1 стрипу в паперовому конверті; по 10 таблеток у стрипі; по 2 або по 10 стрипів у пачці з картону; по 10 таблеток у блістері; по 1, або по 2, або по 10 блістерів у пачці з картону; по 10 таблеток у стрипах або у блістерах</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ПАТ "Монфарм"</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ПАТ "Монфарм"</w:t>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ПАТ "Монфарм", Україна, без зміни місця виробництва.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Совгира Сергій Сергійович. Пропонована редакція: Пастушенко Інна Вікторівна. Зміна контактних даних уповноваженої особи заявника, відповідальної за фармаконагляд.</w:t>
            </w:r>
            <w:r>
              <w:rPr>
                <w:rFonts w:ascii="Arial" w:hAnsi="Arial" w:cs="Arial"/>
                <w:sz w:val="16"/>
                <w:szCs w:val="16"/>
              </w:rPr>
              <w:br/>
              <w:t>Зміна місцезнаходження мастер-файла системи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UA/6754/01/01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МЕТИПРЕД</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по 4 мг in bulk: по 100 таблеток у флаконі; по 24 або по 5000 флаконів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Оріон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Фiнляндiя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Оріон Корпорейшн, Фінляндія; Aльтернативний виробник, що здійснює вторинне пакування, контроль якості і випуск серії: Товариство з обмеженою відповідальністю "КУСУМ ФАРМ", Україна; Альтернативний виробник, що здійснює первинне пакування: Оріон Корпорейшн, Фінляндія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Фiнляндiя/</w:t>
            </w:r>
          </w:p>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2012-307-Rev 01 (затверджено: R1-CEP 2012-307-Rev 00) для діючої речовини метилпреднізолону від вже затвердженого виробника Tianjin Tianyao Pharmaceuticals Co., Ltd., Китай. </w:t>
            </w:r>
            <w:r>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1996-018-Rev 09 (затверджено: R1-CEP 1996-018-Rev 08) для діючої речовини метилпреднізолону від вже затвердженого виробника Sanofi Chimie, Франція, який змінив назву на Euroapi France, Франція.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процесі виробництва ГЛЗ, а саме: відповідно до зареєстрованого на даний момент процесу премікс просівають через сито перед передачею в гранулятор для змішування з псевдозрідженим шаром та послідуючим гранулюванням. Цей крок пропонується зробити необов’язковим оскільки маса є однорідною, і немає необхідності просіювати премікс, якщо сировина не містить грудок. Введення змін протягом 6-ти місяців після затвердження </w:t>
            </w:r>
            <w:r>
              <w:rPr>
                <w:rFonts w:ascii="Arial" w:hAnsi="Arial" w:cs="Arial"/>
                <w:sz w:val="16"/>
                <w:szCs w:val="16"/>
              </w:rPr>
              <w:br/>
              <w:t>Зміни І типу - Зміни з якості. Готовий лікарський засіб. Контроль готового лікарського засобу (інші зміни) - зміна мови викладення МКЯ ЛЗ з російської на українську.</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UA/13853/01/01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МЕТИПРЕД</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по 4 мг, по 30 або 100 таблеток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Оріон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Фiнляндiя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Виробник, що здійснює виробництво за повним циклом (для пакування № 30, № 100): Оріон Корпорейшн, Фінляндія; Aльтернативний виробник, що здійснює вторинне пакування, контроль якості і випуск серії (для пакування № 100): Товариство з обмеженою відповідальністю "КУСУМ ФАРМ", Україна; Альтернативний виробник, що здійснює первинне та вторинне пакування (для пакування № 30, № 100) та випуск серії (для пакування № 30): Оріон Корпорейшн, Фінляндія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Фiнляндiя/Україна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2012-307-Rev 01 (затверджено: R1-CEP 2012-307-Rev 00) для діючої речовини метилпреднізолону від вже затвердженого виробника Tianjin Tianyao Pharmaceuticals Co., Ltd., Китай. </w:t>
            </w:r>
            <w:r>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1996-018-Rev 09 (затверджено: R1-CEP 1996-018-Rev 08) для діючої речовини метилпреднізолону від вже затвердженого виробника Sanofi Chimie, Франція, який змінив назву на Euroapi France, Франція.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процесі виробництва ГЛЗ, а саме: відповідно до зареєстрованого на даний момент процесу премікс просівають через сито перед передачею в гранулятор для змішування з псевдозрідженим шаром та послідуючим гранулюванням. Цей крок пропонується зробити необов’язковим оскільки маса є однорідною, і немає необхідності просіювати премікс, якщо сировина не містить грудок. Введення змін протягом 6-ти місяців після затвердження </w:t>
            </w:r>
            <w:r>
              <w:rPr>
                <w:rFonts w:ascii="Arial" w:hAnsi="Arial" w:cs="Arial"/>
                <w:sz w:val="16"/>
                <w:szCs w:val="16"/>
              </w:rPr>
              <w:br/>
              <w:t>Зміни І типу - Зміни з якості. Готовий лікарський засіб. Контроль готового лікарського засобу (інші зміни) - зміна мови викладення МКЯ ЛЗ з російської на українську.</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UA/0934/01/01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МЕТИПРЕД</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по 16 мг по 30 таблеток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Оріон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Фiнляндiя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Оріон Корпорейшн, Фінляндія; Альтернативний виробник, що здійснює первинне, вторинне пакування та випуск серії: Оріон Корпорейшн, Фінляндія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Фiнляндiя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2012-307-Rev 01 (затверджено: R1-CEP 2012-307-Rev 00) для діючої речовини метилпреднізолону від вже затвердженого виробника Tianjin Tianyao Pharmaceuticals Co., Ltd., Китай. </w:t>
            </w:r>
            <w:r>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1996-018-Rev 09 (затверджено: R1-CEP 1996-018-Rev 08) для діючої речовини метилпреднізолону від вже затвердженого виробника Sanofi Chimie, Франція, який змінив назву на Euroapi France, Франція.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процесі виробництва ГЛЗ, а саме: відповідно до зареєстрованого на даний момент процесу премікс просівають через сито перед передачею в гранулятор для змішування з псевдозрідженим шаром та послідуючим гранулюванням. Цей крок пропонується зробити необов’язковим оскільки маса є однорідною, і немає необхідності просіювати премікс, якщо сировина не містить грудок. Введення змін протягом 6-ти місяців після затвердження </w:t>
            </w:r>
            <w:r>
              <w:rPr>
                <w:rFonts w:ascii="Arial" w:hAnsi="Arial" w:cs="Arial"/>
                <w:sz w:val="16"/>
                <w:szCs w:val="16"/>
              </w:rPr>
              <w:br/>
              <w:t>Зміни І типу - Зміни з якості. Готовий лікарський засіб. Контроль готового лікарського засобу (інші зміни) - зміна мови викладення МКЯ ЛЗ з російської на українську.</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UA/0934/01/02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МЕТОПРОЛОЛУ ТАРТРАТ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по 0,05 г; по 10 таблеток у блістері; по 2 або 5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 зміна у методах випробування АФІ за показником «Мікробіологічна чистота», а саме вилучено опис проведення методики, оскільки методика контролю за даним показником проводиться відповідно до вимог ЕР, доповнено посиланням на ДФУ* (*- діюче видання); критерії прийнятності залишені без змін.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2000-056 - Rev 06 (R1-CEP 2000-056 - Rev 05) для АФІ Metoprolol tartrate затвердженого виробника SUN PHARMACEUTICAL INDUSTRIES LIMITED, Індія. Як наслідок, відбулись зміни у специфікації АФІ, а саме доповнено специфікацію новим показником 1,2-Епоксі-3(4-(2-метоксі етил)феноксі)пропан) (not more than 3,75 ppm) відповідно до вимог оновленого СЕР; вилучено показник «Важкі метали», оскільки СЕР доповнений оцінкою ризиків щодо елементних домішок відповідно до вимог ICH Q3D Guideline for elemental impurity, що представлено в додатку 3 до СЕР.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внесення змін до Специфікації АФІ Metoprolol tartrate за показником "Розчинність"- показник вилучено (Показник має інформативний характер).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UA/6755/01/01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МЕТОПРОЛОЛУ ТАРТРАТ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по 0,1 г; по 10 таблеток у блістері; по 2 або 5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 зміна у методах випробування АФІ за показником «Мікробіологічна чистота», а саме вилучено опис проведення методики, оскільки методика контролю за даним показником проводиться відповідно до вимог ЕР, доповнено посиланням на ДФУ* (*- діюче видання); критерії прийнятності залишені без змін.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2000-056 - Rev 06 (R1-CEP 2000-056 - Rev 05) для АФІ Metoprolol tartrate затвердженого виробника SUN PHARMACEUTICAL INDUSTRIES LIMITED, Індія. Як наслідок, відбулись зміни у специфікації АФІ, а саме доповнено специфікацію новим показником 1,2-Епоксі-3(4-(2-метоксі етил)феноксі)пропан) (not more than 3,75 ppm) відповідно до вимог оновленого СЕР; вилучено показник «Важкі метали», оскільки СЕР доповнений оцінкою ризиків щодо елементних домішок відповідно до вимог ICH Q3D Guideline for elemental impurity, що представлено в додатку 3 до СЕР.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внесення змін до Специфікації АФІ Metoprolol tartrate за показником "Розчинність"- показник вилучено (Показник має інформативний характер).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UA/6755/01/02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МЕТРОГІЛ ДЕНТА®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гель для ясен по 20 г у тубі; по 1 тубі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"Джонсон і Джонсон Україна"</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«Юнік Фармасьютикал Лабораторіз» (відділення фірми «Дж. Б. Кемікалз енд Фармасьютикалз Лтд.»)</w:t>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UA/2871/01/01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МЕТРОНІДАЗОЛ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супозиторії вагінальні по 0,1 г, по 5 супозиторіїв у стрипі; по 2 стрипи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ПАТ "Монфарм"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sz w:val="16"/>
                <w:szCs w:val="16"/>
              </w:rPr>
              <w:br/>
              <w:t xml:space="preserve">Діюча редакція: Совгира Сергій Сергійович. Пропонована редакція: Пастушенко Інна Вікторівна.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UA/1796/01/01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 xml:space="preserve">МІКРОЛАКС®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розчин ректальний; по 5 мл розчину ректального в тубі з універсальним наконечником; по 4 або по 12 туб з універсальними наконечниками в картонній коробці; </w:t>
            </w:r>
            <w:r>
              <w:rPr>
                <w:rFonts w:ascii="Arial" w:hAnsi="Arial" w:cs="Arial"/>
                <w:sz w:val="16"/>
                <w:szCs w:val="16"/>
              </w:rPr>
              <w:br/>
              <w:t>по 5 мл розчину ректального в тубі з укороченим наконечником; по 4 або по 12 туб з укороченими наконечниками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МакНіл Продактс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Англія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ДЕЛЬФАРМ ОРЛЕАН</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Зміна у параметрах специфікації АФІ сорбіту, а саме вилучено показники свинець та нікель відповідно до поточного видання Ph.Eur. монографія для сорбіту.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за показником «Кількісне визначення. Сорбіт», а саме введення ефективності стандарту в розрахунок / додавання тесту на придатність системи.</w:t>
            </w:r>
            <w:r>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сорбіту (що кристалізується) CEP (R1-CEP 2001-114-Rev 03) (затверджений R1-CEP 2001-114-Rev 02), в зв’язку з приведенням до відповідності Ph.Eur., стратегія впровадження для настанов ICH Q3D щодо елементарних домішок та переглянутої монографії рідкого сорбіту (кристалізація) 0436.</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UA/15636/01/01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 xml:space="preserve">МІКРОЛАКС®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розчин ректальний; по 5 мл розчину ректального в тубі з універсальним наконечником; по 4 або по 12 туб з універсальними наконечниками в картонній коробці; по 5 мл розчину ректального в тубі з укороченим наконечником; по 4 або по 12 туб з укороченими наконечниками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МакНіл Продактс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Англія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ДЕЛЬФАРМ ОРЛЕАН</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Pr>
                <w:rFonts w:ascii="Arial" w:hAnsi="Arial" w:cs="Arial"/>
                <w:sz w:val="16"/>
                <w:szCs w:val="16"/>
              </w:rPr>
              <w:br/>
              <w:t xml:space="preserve">Діюча редакція: Агнешка Мейчер-Данн / Agnieszka Majcher-Dann. Пропонована редакція: Агнешка Шимхель / Agnieszka Szymchel. Зміна контактних даних уповноваженої особи заявника, відповідальної за фармаконагляд;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Pr>
                <w:rFonts w:ascii="Arial" w:hAnsi="Arial" w:cs="Arial"/>
                <w:sz w:val="16"/>
                <w:szCs w:val="16"/>
              </w:rPr>
              <w:br/>
              <w:t>Діюча редакція: Арнаутова Юлія Леонідівна / Arnautova Yuliya Leonidivna. Пропонована редакція: Нагорна Катерина Іванівна / Nahorna Kateryna Ivanivna.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UA/15636/01/01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МІЛДРОКАРД-Н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розчин для ін'єкцій, 100 мг/мл по 5 мл в ампулі; по 10 ампул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"ФАРМАСЕЛ"</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контроль, випуск серії: ТОВ «ФАРМАСЕЛ», Україна; вторинна упаковка, контроль: ХОЛОПАК Ферпакунгстехнік ГмбХ, Німеччина; виробництво нерозфасованої продукції, первинна та вторинна упаковка, контроль: ХОЛОПАК Ферпакунгстехнік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Pr>
                <w:rFonts w:ascii="Arial" w:hAnsi="Arial" w:cs="Arial"/>
                <w:sz w:val="16"/>
                <w:szCs w:val="16"/>
              </w:rPr>
              <w:br/>
              <w:t xml:space="preserve">Діюча редакція: Супрун Едуард Володимирович. Пропонована редакція: Богач Тетяна Олександрівна. Зміна номера мастер-файла системи фармаконагляду.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UA/10376/01/01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МІОЛОКАРД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розчин для ін`єкцій, 100 мг/мл по 5 мл в ампулі скляній; по 5 ампул у блістері; по 2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"ФАРМАСЕЛ"</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ПрАТ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Pr>
                <w:rFonts w:ascii="Arial" w:hAnsi="Arial" w:cs="Arial"/>
                <w:sz w:val="16"/>
                <w:szCs w:val="16"/>
              </w:rPr>
              <w:br/>
              <w:t xml:space="preserve">Діюча редакція: Супрун Едуард Володимирович. Пропонована редакція: Богач Тетяна Олександрівна. Зміна номера мастер-файла системи фармаконагляду.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UA/15151/01/01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МІТРЕН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по 2 мг по 28 таблеток у блістері; по 1 блістеру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Литовська Республіка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ЛАБОРАТОРІО ЕЧЕВАРНЕ, С.А., Іспанiя (контроль якості); ЛАБОРАТОРІОС ЛЕОН ФАРМА С.А., Іспанiя (виробництво, контроль якості, первинне та вторинне пакування, відповідальний за випуск серії); Манантіаль Інтегра, С.Л.У., Іспанiя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Pr>
                <w:rFonts w:ascii="Arial" w:hAnsi="Arial" w:cs="Arial"/>
                <w:sz w:val="16"/>
                <w:szCs w:val="16"/>
              </w:rPr>
              <w:br/>
              <w:t>подання оновленого сертифіката відповідності Європейській фармакопеї № R0-CEP 2016-333 - Rev 01 (затверджено: R0-CEP 2016-333 - Rev 00) для АФІ дієногесту від вже затвердженого виробника Industriale Chimica S.r.l., Italy. Як наслідок введення додаткової виробничої дільниці CHEMO BIOSYNTHESIS s.r.l., Italy.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2016-333 - Rev 00 для АФІ дієногесту від вже затвердженого виробника Industriale Chimica S.r.l., Italy. Як наслідок введення періоду переконтролю 5 років.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 введення альтернативної дільниці CHEMO BIOSYNTHESIS s.r.l., Italy, що здійснює мікронізацію діючої речовини дієногест.</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UA/17523/01/01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МОВІРИКА®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капсули тверді по 50 мг, по 7 капсул в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Мові Хелс ГмбХ</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Швейцарія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Атлантік Фарма - Продукос Фармасьютікас,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Португалія</w:t>
            </w:r>
            <w:r>
              <w:rPr>
                <w:rFonts w:ascii="Arial" w:hAnsi="Arial" w:cs="Arial"/>
                <w:sz w:val="16"/>
                <w:szCs w:val="16"/>
              </w:rPr>
              <w:br/>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UA/19773/01/01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МОВІРИКА®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капсули тверді по 75 мг, по 7 капсул в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Мові Хелс ГмбХ</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Швейцарія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Атлантік Фарма - Продукос Фармасьютікас,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Португалія</w:t>
            </w:r>
            <w:r>
              <w:rPr>
                <w:rFonts w:ascii="Arial" w:hAnsi="Arial" w:cs="Arial"/>
                <w:sz w:val="16"/>
                <w:szCs w:val="16"/>
              </w:rPr>
              <w:br/>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UA/19773/01/02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МОВІРИКА®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капсули тверді по 150 мг, по 7 капсул в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Мові Хелс ГмбХ</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Швейцарія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Атлантік Фарма - Продукос Фармасьютікас,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Португалія</w:t>
            </w:r>
            <w:r>
              <w:rPr>
                <w:rFonts w:ascii="Arial" w:hAnsi="Arial" w:cs="Arial"/>
                <w:sz w:val="16"/>
                <w:szCs w:val="16"/>
              </w:rPr>
              <w:br/>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UA/19773/01/03</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МОЛЕСКІН®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крем 0,1 % по 15 г у тубі; по 1 тубі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2008-094-Rev 04 від затвердженого виробника «AURISCO PHARMACEUTICAL CO., LTD», Китай діючої речовини мометазону фуроат (затверджено: R1-CEP 2008-094-Rev 03; запропоновано: R1-CEP 2008-094-Rev 04).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UA/7002/01/01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 xml:space="preserve">МОМІКСОН </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спрей назальний, суспензія, 50 мкг/дозу, по 10 г (60 доз), по 16 г (120 доз), по 18 г (140 доз) суспензії у поліетиленовому флаконі з дозуючим насосом та назальним аплікатором,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 "Адамед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Польща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Фармеа, Франція; Виробник відповідальний за випуск серії, не включаючи контроль: АТ "Адамед Фарма", Польща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Франція/Польща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2018-303 - Rev 01 (затверджено: R0-CEP 2018-303 - Rev 00) для АФІ мометазону фуроат моногідрат від вже затвердженого виробника AARTI INDUSTRIES LIMITED, India</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UA/16749/01/01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МОНТЕЛУКАСТ-ТЕВА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по 10 мг; по 7 таблеток у блістері, по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Pr>
                <w:rFonts w:ascii="Arial" w:hAnsi="Arial" w:cs="Arial"/>
                <w:sz w:val="16"/>
                <w:szCs w:val="16"/>
              </w:rPr>
              <w:br/>
              <w:t>внесення незначних змін у затвердженій методиці визначення гранулометричного складу на приладі Malvern Mastersize для діючої речовини монтелукасту натрію. Також було змінено код методу відповідно чинної системи документації на зазначений у специфікації лікарської субстанції. Вилучено внутрішній код розділу 3.2.S.4.2 (код QDS0057381) для параметрів «Насипна густина та густина при ущільненні» оскільки фактично розділ не містить тексту методу для цього параметру та контролюється методиками описаними в монографії ЄФ.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сертифіката відповідності Європейській фармакопеї № R1-CEP 2011-131 - Rev 01 (process I – CYTAM) для АФІ монтелукасту натрію виробника Teva Pharmaceutical Industries Ltd., Israel.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2014-115 - Rev 01 (затверджено: R0-CEP 2014-115 - Rev 02) для АФІ монтелукасту натрію від вже затвердженого виробника Zhejiang Tianyu Pharmaceutical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2017-131 - Rev 02 (затверджено: R0-CEP 2017-131 - Rev 01) (process ІІ – CYTA) для АФІ монтелукасту натрію від вже затвердженого виробника Teva Pharmaceutical Industries Ltd., Israel.</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UA/12439/02/01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МОТИЛІГАС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капсули м`які по 120 мг; по 10 капсул у блістері; по 2 або по 4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МакНіл Продактс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Англія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Каталент Джермані Шорндорф ГмбХ, Німеччина (первинне та вторинне пакування); Каталент Франсе Бенайм СА, Францiя (виробництво, контроль готового продукту,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Pr>
                <w:rFonts w:ascii="Arial" w:hAnsi="Arial" w:cs="Arial"/>
                <w:sz w:val="16"/>
                <w:szCs w:val="16"/>
              </w:rPr>
              <w:br/>
              <w:t xml:space="preserve">Діюча редакція: Агнешка Мейчер-Данн / Agnieszka Majcher-Dann. Пропонована редакція: Агнешка Шимхель / Agnieszka Szymchel. </w:t>
            </w:r>
            <w:r>
              <w:rPr>
                <w:rFonts w:ascii="Arial" w:hAnsi="Arial" w:cs="Arial"/>
                <w:sz w:val="16"/>
                <w:szCs w:val="16"/>
              </w:rPr>
              <w:br/>
              <w:t>Зміна контактних даних уповноваженої особи заявника, відповідальної за фармаконагляд.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Арнаутова Юлія Леонідівна / Arnautova Yuliya Leonidivna. Пропонована редакція: Нагорна Катерина Іванівна / Nahorna Kateryna Ivanivna.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UA/16873/01/01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МОТИЛІУМ®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по 10 мг; по 10 таблеток у блістері; по 1 або 3 блістери в картонній упаковці; по 30 таблеток у блістері; по 1 блістеру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МакНіл Продактс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Англія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ДЖНТЛ Консьюмер Хелс (Франс)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sz w:val="16"/>
                <w:szCs w:val="16"/>
              </w:rPr>
              <w:br/>
              <w:t xml:space="preserve">Діюча редакція: Агнешка Мейчер-Данн / Agnieszka Majcher-Dann. Пропонована редакція: </w:t>
            </w:r>
            <w:r>
              <w:rPr>
                <w:rFonts w:ascii="Arial" w:hAnsi="Arial" w:cs="Arial"/>
                <w:sz w:val="16"/>
                <w:szCs w:val="16"/>
              </w:rPr>
              <w:br/>
              <w:t>Агнешка Шимхель / Agnieszka Szymchel. Зміна контактних даних уповноваженої особи заявника, відповідальної за фармаконагляд</w:t>
            </w:r>
            <w:r>
              <w:rPr>
                <w:rFonts w:ascii="Arial" w:hAnsi="Arial" w:cs="Arial"/>
                <w:sz w:val="16"/>
                <w:szCs w:val="16"/>
              </w:rPr>
              <w:b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Pr>
                <w:rFonts w:ascii="Arial" w:hAnsi="Arial" w:cs="Arial"/>
                <w:sz w:val="16"/>
                <w:szCs w:val="16"/>
              </w:rPr>
              <w:br/>
              <w:t xml:space="preserve">Діюча редакція: Арнаутова Юлія Леонідівна / Arnautova Yuliya Leonidivna. Пропонована редакція: </w:t>
            </w:r>
            <w:r>
              <w:rPr>
                <w:rFonts w:ascii="Arial" w:hAnsi="Arial" w:cs="Arial"/>
                <w:sz w:val="16"/>
                <w:szCs w:val="16"/>
              </w:rPr>
              <w:br/>
              <w:t xml:space="preserve">Нагорна Катерина Іванівна / Nahorna Kateryna Ivanivna. Зміна контактних даних контактної особи заявника, відповідальної за фармаконагляд в Україні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UA/10190/01/01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НАЗАЛОНГ® КІДС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спрей назальний 0,025% по 10 мл у флаконі; по 1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"ВАЛАРТІН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Товариство з обмеженою відповідальністю "Мікрофарм"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в затвердженому методі випробування ГЛЗ за показником «Кількісне визначення» (ДФУ, 2.2.29), а саме запропоновано використання альтернативного СЗ бензалконію хлориду (водний розчин із вмістом суми гомологів близько 20 мг/мл ФСЗ ДФУ або РСЗ). Затверджений СЗ – Benzalkonium Chloride RS, виробництва LGC).</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UA/19084/01/01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НАЗЕХАЛЕР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спрей назальний, суспензія 50 мкг/дозу по 18 г (140 доз) суспензії у флаконі з дозувальним насосом-розпилювачем та ковпачком, по 1 флакону у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Ципла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Ципла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терміну подання регулярно оновлюваного звіту з безпеки лікарського засобу: Діюча редакція: Частота подання РОЗБ - 5 років; Кінцева дата для включення даних до РОЗБ - 22.05.2022 р.; Дата подання РОЗБ - 20.08.2022 р. Пропонована редакція: Частота подання РОЗБ - 3 роки; Кінцева дата для включення даних до РОЗБ - 22.05.2023 р.; Дата подання РОЗБ - 20.08.2023 р. 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UA/16788/01/01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НАКЛОФЕН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розчин для ін'єкцій, 75 мг/3 мл по 3 мл в ампулі; по 5 ампул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Словенія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КРКА, д.д., Ново место, Словенія (виробництво “in bulk”, первинне та вторинне пакування, контроль та випуск серії;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та "Побічні реакції" щодо безпеки застосування діючої речовини диклофенак відповідно до рекомендацій PRAC. </w:t>
            </w:r>
            <w:r>
              <w:rPr>
                <w:rFonts w:ascii="Arial" w:hAnsi="Arial" w:cs="Arial"/>
                <w:sz w:val="16"/>
                <w:szCs w:val="16"/>
              </w:rPr>
              <w:br/>
              <w:t xml:space="preserve">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звітування про побічні реакції.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UA/3480/03/01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НЕЙРОМІДИН®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по 20 мг, по 10 таблеток у блістері, по 5 блістерів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 "Олайнфарм"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Латвiя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АТ "Олайнфарм"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Латвiя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Прискока Андрій. Пропонована редакція: Савченко Дмитро Сергійович. Зміна контактних даних контактної особи заявника, відповідальної за фармаконагляд в Україні.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UA/2083/02/01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НЕОМІДАНТАН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капсули по 100 мг, по 10 капсул у блістері, по 5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 "Олайнфарм"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Латвiя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Латвiя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Pr>
                <w:rFonts w:ascii="Arial" w:hAnsi="Arial" w:cs="Arial"/>
                <w:sz w:val="16"/>
                <w:szCs w:val="16"/>
              </w:rPr>
              <w:br/>
              <w:t xml:space="preserve">Діюча редакція: Прискока Андрій. Пропонована редакція: Савченко Дмитро Сергійович. Зміна контактних даних контактної особи заявника, відповідальної за фармаконагляд в Україні.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UA/6205/01/01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НІКОМЕКС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розчин для ін`єкцій, 50 мг/мл, по 2 мл в ампулі скляній; по 5 ампул у блістері; по 2 блістери в пачці з картону; по 5 мл в ампулі скляній; по 5 ампул у блістері; по 1 блістеру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"ФАРМАСЕЛ"</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ПрАТ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Pr>
                <w:rFonts w:ascii="Arial" w:hAnsi="Arial" w:cs="Arial"/>
                <w:sz w:val="16"/>
                <w:szCs w:val="16"/>
              </w:rPr>
              <w:br/>
              <w:t xml:space="preserve">Діюча редакція: Супрун Едуард Володимирович. Пропонована редакція: Богач Тетяна Олександрівна. Зміна номера мастер-файла системи фармаконагляду.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UA/15072/01/01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НІКОРЕТТЕ® ЗИМОВА М'ЯТА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гумка жувальна лікувальна по 4 мг; по 15 гумок жувальних у блістері; по 2 блістери в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МакНіл АБ</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Швеція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МакНіл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Швеція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упаковки лікарського засобу, а саме: у п. 8. «ДАТА ЗАКІНЧЕННЯ ТЕРМІНУ ПРИДАТНОСТІ» та в п. 13. «НОМЕР СЕРІЇ ЛІКАРСЬКОГО ЗАСОБУ»</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UA/10734/01/02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НІКОРЕТТЕ® ЗИМОВА М'ЯТА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гумка жувальна лікувальна по 2 мг; по 15 гумок жувальних у блістері; по 2 блістери в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МакНіл АБ</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Швеція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МакНіл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Швеція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упаковки лікарського засобу, а саме: у п. 8. «ДАТА ЗАКІНЧЕННЯ ТЕРМІНУ ПРИДАТНОСТІ» та в п. 13. «НОМЕР СЕРІЇ ЛІКАРСЬКОГО ЗАСОБУ»</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UA/10734/01/01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НІКОРЕТТЕ® ЗИМОВА М'ЯТА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гумка жувальна лікувальна по 2 мг; по 15 гумок жувальних у блістері; по 2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МакНіл АБ</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Швеція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МакНіл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Швеція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sz w:val="16"/>
                <w:szCs w:val="16"/>
              </w:rPr>
              <w:br/>
              <w:t xml:space="preserve">Діюча редакція: Агнешка Мейчер-Данн / Agnieszka Majcher-Dann. Пропонована редакція: </w:t>
            </w:r>
            <w:r>
              <w:rPr>
                <w:rFonts w:ascii="Arial" w:hAnsi="Arial" w:cs="Arial"/>
                <w:sz w:val="16"/>
                <w:szCs w:val="16"/>
              </w:rPr>
              <w:br/>
              <w:t xml:space="preserve">Агнешка Шимхель / Agnieszka Szymchel. Зміна контактних даних уповноваженої особи заявника, відповідальної за фармаконагляд.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Арнаутова Юлія Леонідівна / Arnautova Yuliya Leonidivna. Пропонована редакція: Нагорна Катерина Іванівна / Nahorna Kateryna Ivanivna. Зміна контактних даних контактної особи заявника, відповідальної за фармаконагляд в Україні.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UA/10734/01/01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НІКОРЕТТЕ® ЗИМОВА М'ЯТА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гумка жувальна лікувальна по 4 мг; по 15 гумок жувальних у блістері; по 2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МакНіл АБ</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Швеція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МакНіл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Швеція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sz w:val="16"/>
                <w:szCs w:val="16"/>
              </w:rPr>
              <w:br/>
              <w:t xml:space="preserve">Діюча редакція: Агнешка Мейчер-Данн / Agnieszka Majcher-Dann. Пропонована редакція: </w:t>
            </w:r>
            <w:r>
              <w:rPr>
                <w:rFonts w:ascii="Arial" w:hAnsi="Arial" w:cs="Arial"/>
                <w:sz w:val="16"/>
                <w:szCs w:val="16"/>
              </w:rPr>
              <w:br/>
              <w:t xml:space="preserve">Агнешка Шимхель / Agnieszka Szymchel. Зміна контактних даних уповноваженої особи заявника, відповідальної за фармаконагляд.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Арнаутова Юлія Леонідівна / Arnautova Yuliya Leonidivna. Пропонована редакція: Нагорна Катерина Іванівна / Nahorna Kateryna Ivanivna. Зміна контактних даних контактної особи заявника, відповідальної за фармаконагляд в Україні.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UA/10734/01/02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НІКОРЕТТЕ® ЗІ СМАКОМ СВІЖИХ ФРУКТІВ</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гумка жувальна лікувальна по 4 мг по 15 гумок жувальних у блістері; по 2 блістери в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МакНіл АБ</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Швеція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МакНіл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Швеція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упаковки лікарського засобу у п. 8. «ДАТА ЗАКІНЧЕННЯ ТЕРМІНУ ПРИДАТНОСТІ» та п. 13. «НОМЕР СЕРІЇ ЛІКАРСЬКОГО ЗАСОБУ».</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UA/8921/01/02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НІКОРЕТТЕ® ЗІ СМАКОМ СВІЖИХ ФРУКТІВ</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гумка жувальна лікувальна по 2 мг, по 15 гумок жувальних у блістері; по 2 блістери в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МакНіл АБ</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Швеція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МакНіл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Швеція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упаковки лікарського засобу у п. 8. «ДАТА ЗАКІНЧЕННЯ ТЕРМІНУ ПРИДАТНОСТІ» та п. 13. «НОМЕР СЕРІЇ ЛІКАРСЬКОГО ЗАСОБУ».</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UA/8921/01/01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НІКОРЕТТЕ® ЗІ СМАКОМ СВІЖИХ ФРУКТІВ</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гумка жувальна лікувальна по 2 мг; по 15 гумок жувальних у блістері; по 2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МакНіл АБ</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Швеція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МакНіл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Швеція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Pr>
                <w:rFonts w:ascii="Arial" w:hAnsi="Arial" w:cs="Arial"/>
                <w:sz w:val="16"/>
                <w:szCs w:val="16"/>
              </w:rPr>
              <w:br/>
              <w:t xml:space="preserve">Діюча редакція: Агнешка Мейчер-Данн / Agnieszka Majcher-Dann. Пропонована редакція: Агнешка Шимхель / Agnieszka Szymchel. </w:t>
            </w:r>
            <w:r>
              <w:rPr>
                <w:rFonts w:ascii="Arial" w:hAnsi="Arial" w:cs="Arial"/>
                <w:sz w:val="16"/>
                <w:szCs w:val="16"/>
              </w:rPr>
              <w:br/>
              <w:t>Зміна контактних даних уповноваженої особи заявника, відповідальної за фармаконагляд.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Арнаутова Юлія Леонідівна / Arnautova Yuliya Leonidivna. Пропонована редакція: Нагорна Катерина Іванівна / Nahorna Kateryna Ivanivna.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UA/8921/01/01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НІКОРЕТТЕ® ЗІ СМАКОМ СВІЖИХ ФРУКТІВ</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гумка жувальна лікувальна по 4 мг; по 15 гумок жувальних у блістері; по 2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МакНіл АБ</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Швеція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МакНіл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Швеція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Pr>
                <w:rFonts w:ascii="Arial" w:hAnsi="Arial" w:cs="Arial"/>
                <w:sz w:val="16"/>
                <w:szCs w:val="16"/>
              </w:rPr>
              <w:br/>
              <w:t xml:space="preserve">Діюча редакція: Агнешка Мейчер-Данн / Agnieszka Majcher-Dann. Пропонована редакція: Агнешка Шимхель / Agnieszka Szymchel. </w:t>
            </w:r>
            <w:r>
              <w:rPr>
                <w:rFonts w:ascii="Arial" w:hAnsi="Arial" w:cs="Arial"/>
                <w:sz w:val="16"/>
                <w:szCs w:val="16"/>
              </w:rPr>
              <w:br/>
              <w:t>Зміна контактних даних уповноваженої особи заявника, відповідальної за фармаконагляд.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Арнаутова Юлія Леонідівна / Arnautova Yuliya Leonidivna. Пропонована редакція: Нагорна Катерина Іванівна / Nahorna Kateryna Ivanivna.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UA/8921/01/02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НІКОРЕТТЕ® ЗІ СМАКОМ СВІЖОЇ М'ЯТИ</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гумка жувальна лікувальна по 4 мг, по 15 гумок жувальних у блістері; по 2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МакНіл АБ</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Швеція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МакНіл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Швеція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spacing w:after="240"/>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упаковки лікарського засобу, а саме: у п. 8. «ДАТА ЗАКІНЧЕННЯ ТЕРМІНУ ПРИДАТНОСТІ» та в п. 13. «НОМЕР СЕРІЇ ЛІКАРСЬКОГО ЗАСОБУ».</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UA/8878/01/01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НІКОРЕТТЕ® ЗІ СМАКОМ СВІЖОЇ М'ЯТИ</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гумка жувальна лікувальна по 2 мг, по 15 гумок жувальних у блістері; по 2 блістери в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МакНіл АБ</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Швеція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МакНіл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Швеція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spacing w:after="240"/>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упаковки лікарського засобу, а саме: у п. 8. «ДАТА ЗАКІНЧЕННЯ ТЕРМІНУ ПРИДАТНОСТІ» та в п. 13. «НОМЕР СЕРІЇ ЛІКАРСЬКОГО ЗАСОБУ».</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UA/8878/01/02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НІКОРЕТТЕ® ЗІ СМАКОМ СВІЖОЇ М'ЯТИ</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гумка жувальна лікувальна по 2 мг; по 15 гумок жувальних у блістері; по 2 блістери в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МакНіл АБ</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Швеція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МакНіл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Швеція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Pr>
                <w:rFonts w:ascii="Arial" w:hAnsi="Arial" w:cs="Arial"/>
                <w:sz w:val="16"/>
                <w:szCs w:val="16"/>
              </w:rPr>
              <w:br/>
              <w:t xml:space="preserve">Діюча редакція: Агнешка Мейчер-Данн / Agnieszka Majcher-Dann. Пропонована редакція: Агнешка Шимхель / Agnieszka Szymchel. </w:t>
            </w:r>
            <w:r>
              <w:rPr>
                <w:rFonts w:ascii="Arial" w:hAnsi="Arial" w:cs="Arial"/>
                <w:sz w:val="16"/>
                <w:szCs w:val="16"/>
              </w:rPr>
              <w:br/>
              <w:t>Зміна контактних даних уповноваженої особи заявника, відповідальної за фармаконагляд.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Арнаутова Юлія Леонідівна / Arnautova Yuliya Leonidivna. Пропонована редакція: Нагорна Катерина Іванівна / Nahorna Kateryna Ivanivna.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UA/8878/01/02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НІКОРЕТТЕ® ЗІ СМАКОМ СВІЖОЇ М'ЯТИ</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гумка жувальна лікувальна по 4 мг; по 15 гумок жувальних у блістері; по 2 блістери в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МакНіл АБ</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Швеція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МакНіл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Швеція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Pr>
                <w:rFonts w:ascii="Arial" w:hAnsi="Arial" w:cs="Arial"/>
                <w:sz w:val="16"/>
                <w:szCs w:val="16"/>
              </w:rPr>
              <w:br/>
              <w:t xml:space="preserve">Діюча редакція: Агнешка Мейчер-Данн / Agnieszka Majcher-Dann. Пропонована редакція: Агнешка Шимхель / Agnieszka Szymchel. </w:t>
            </w:r>
            <w:r>
              <w:rPr>
                <w:rFonts w:ascii="Arial" w:hAnsi="Arial" w:cs="Arial"/>
                <w:sz w:val="16"/>
                <w:szCs w:val="16"/>
              </w:rPr>
              <w:br/>
              <w:t>Зміна контактних даних уповноваженої особи заявника, відповідальної за фармаконагляд.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Арнаутова Юлія Леонідівна / Arnautova Yuliya Leonidivna. Пропонована редакція: Нагорна Катерина Іванівна / Nahorna Kateryna Ivanivna.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UA/8878/01/01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 xml:space="preserve">НІКОРЕТТЕ® КРИЖАНА М'ЯТА </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льодяники пресовані по 4 мг; по 20 льодяників у фліп-упаковці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МакНіл АБ</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Швеція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МакНіл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Швеція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Pr>
                <w:rFonts w:ascii="Arial" w:hAnsi="Arial" w:cs="Arial"/>
                <w:sz w:val="16"/>
                <w:szCs w:val="16"/>
              </w:rPr>
              <w:br/>
              <w:t xml:space="preserve">Діюча редакція: Агнешка Мейчер-Данн / Agnieszka Majcher-Dann. Пропонована редакція: Агнешка Шимхель / Agnieszka Szymchel. </w:t>
            </w:r>
            <w:r>
              <w:rPr>
                <w:rFonts w:ascii="Arial" w:hAnsi="Arial" w:cs="Arial"/>
                <w:sz w:val="16"/>
                <w:szCs w:val="16"/>
              </w:rPr>
              <w:br/>
              <w:t>Зміна контактних даних уповноваженої особи заявника, відповідальної за фармаконагляд.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Арнаутова Юлія Леонідівна / Arnautova Yuliya Leonidivna. Пропонована редакція: Нагорна Катерина Іванівна / Nahorna Kateryna Ivanivna.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UA/14535/01/02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 xml:space="preserve">НІКОРЕТТЕ® КРИЖАНА М'ЯТА </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льодяники пресовані по 2 мг; по 20 льодяників у фліп-упаковці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МакНіл АБ</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Швеція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МакНіл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Швеція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Pr>
                <w:rFonts w:ascii="Arial" w:hAnsi="Arial" w:cs="Arial"/>
                <w:sz w:val="16"/>
                <w:szCs w:val="16"/>
              </w:rPr>
              <w:br/>
              <w:t xml:space="preserve">Діюча редакція: Агнешка Мейчер-Данн / Agnieszka Majcher-Dann. Пропонована редакція: Агнешка Шимхель / Agnieszka Szymchel. </w:t>
            </w:r>
            <w:r>
              <w:rPr>
                <w:rFonts w:ascii="Arial" w:hAnsi="Arial" w:cs="Arial"/>
                <w:sz w:val="16"/>
                <w:szCs w:val="16"/>
              </w:rPr>
              <w:br/>
              <w:t>Зміна контактних даних уповноваженої особи заявника, відповідальної за фармаконагляд.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Арнаутова Юлія Леонідівна / Arnautova Yuliya Leonidivna. Пропонована редакція: Нагорна Катерина Іванівна / Nahorna Kateryna Ivanivna.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UA/14535/01/01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НІКОТИНОВА КИСЛОТА-ДАРНИЦЯ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розчин для ін'єкцій, 10 мг/мл, по 1 мл в ампулі; по 5 ампул у контурній чарунковій упаковці; по 2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ПрАТ "Фармацевтична фірма "Дарниця"</w:t>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Pr>
                <w:rFonts w:ascii="Arial" w:hAnsi="Arial" w:cs="Arial"/>
                <w:sz w:val="16"/>
                <w:szCs w:val="16"/>
              </w:rPr>
              <w:br/>
              <w:t>Зміни внесено в текст маркування вторинної упаковки лікарського засобу, а саме вилучено текст, викладений російською мовою, та доповнено п. 17 ІНШЕ інформацією щодо нанесення QR-коду.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UA/3224/01/01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НІКСАР®</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по 20 мг; по 10 таблеток у блістері; по 1 або по 2, або по 3 або по 5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Менаріні Інтернешонал Оперейшонс Люксембург С.А.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Люксембург</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 Менаріні Мануфактурінг Логістікс енд Сервісес С.р.Л, Італiя (контроль серій); А. Менаріні Мануфактурінг Логістікс енд Сервісес С.р.Л., Італiя (виробництво "in bulk", пакування, випуск серій); Менаріні-Фон Хейден ГмбХ, Німеччина (виробництво "in bulk", пакування, контроль та випуск серій); ФАЕС ФАРМА, С.А., Іспанiя (виробництво "in bulk", пакування, контроль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Італiя/</w:t>
            </w:r>
          </w:p>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p w:rsidR="003D03F3" w:rsidRDefault="003D03F3">
            <w:pPr>
              <w:pStyle w:val="110"/>
              <w:tabs>
                <w:tab w:val="left" w:pos="12600"/>
              </w:tabs>
              <w:jc w:val="center"/>
              <w:rPr>
                <w:rFonts w:ascii="Arial" w:hAnsi="Arial" w:cs="Arial"/>
                <w:sz w:val="16"/>
                <w:szCs w:val="16"/>
              </w:rPr>
            </w:pPr>
            <w:r>
              <w:rPr>
                <w:rFonts w:ascii="Arial" w:hAnsi="Arial" w:cs="Arial"/>
                <w:sz w:val="16"/>
                <w:szCs w:val="16"/>
              </w:rPr>
              <w:t>Іспанiя</w:t>
            </w:r>
          </w:p>
          <w:p w:rsidR="003D03F3" w:rsidRDefault="003D03F3">
            <w:pPr>
              <w:pStyle w:val="110"/>
              <w:tabs>
                <w:tab w:val="left" w:pos="12600"/>
              </w:tabs>
              <w:jc w:val="center"/>
              <w:rPr>
                <w:rFonts w:ascii="Arial" w:hAnsi="Arial" w:cs="Arial"/>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spacing w:after="240"/>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параметру "Твердість: 58,8-107,8 Н, Ph Eur 2.9.8" із специфікації терміну придатності ЛЗ. Крім того заявник скористався можливістю внести наступні редакційні зміни:</w:t>
            </w:r>
            <w:r>
              <w:rPr>
                <w:rFonts w:ascii="Arial" w:hAnsi="Arial" w:cs="Arial"/>
                <w:sz w:val="16"/>
                <w:szCs w:val="16"/>
              </w:rPr>
              <w:br/>
              <w:t>- Узгодити розділ 3.2.Р.5.1 із затвердженими розділами 3.2.Р.5.2 та 3.2.Р.5.3, вказавши UPLC, як альтернативний аналітичний метод для ідентифікації, однорідності одиниць дозування, кількісного вмісту та тесту на домішки. - Видалити абревіатуру "KFM" (метод Карла Фішера) з опису методу, що використовується для перевірки вмісту води, інформація вважається надлишковою, оскільки вона вже вказана в описі відповідного методу.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Зміна допустимих меж твердості, встановлених у специфікаціях, що застосовуються A.Menarini Manufacturing Logistics and Services S.r.l. та Menarini – Von Heyden GmbH під час виробництва готового лікарського засобу з «</w:t>
            </w:r>
            <w:r>
              <w:rPr>
                <w:rStyle w:val="cs9ff1b611205"/>
                <w:sz w:val="16"/>
                <w:szCs w:val="16"/>
              </w:rPr>
              <w:t xml:space="preserve">≥ </w:t>
            </w:r>
            <w:r>
              <w:rPr>
                <w:rFonts w:ascii="Arial" w:hAnsi="Arial" w:cs="Arial"/>
                <w:sz w:val="16"/>
                <w:szCs w:val="16"/>
              </w:rPr>
              <w:t xml:space="preserve"> 6 kр» на «59-157 N (6 – 16 kр)».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Зміна частоти твердості як внутрішньо технічний контроль (IPC) під час етапу стиснення з «кожних 30 хвилин» на «кожні 240 хвилин» ЛЗ на виробничій дільниці Menarini- Von Heyden GmbH.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Зміна частоти часу дезінтеграції як внутрішньо технічний контроль (IPC) під час етапу стиснення з «кожних 120 хвилин» на «кожні 240 хвилин» ЛЗ на виробничій дільниці Menarini - Von Heyden GmbH.</w:t>
            </w:r>
            <w:r>
              <w:rPr>
                <w:rFonts w:ascii="Arial" w:hAnsi="Arial" w:cs="Arial"/>
                <w:sz w:val="16"/>
                <w:szCs w:val="16"/>
              </w:rPr>
              <w:b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Зменшення кількості таблеток з 20 до 10, які використовують під час контролю у процесі виробництва (IPC) для перевірки параметру "Зовнішній вигляд" на етапі стиснення ЛЗ на виробничій дільниці Menarini- Von Heyden GmbH.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Зменшення кількості таблеток з 20 до 10, які використовують під час контролю у процесі виробництва (IPC) для перевірки параметру "Середня вага" на етапі стиснення на виробничій дільниці Menarini - Von Heyden GmbH.</w:t>
            </w:r>
            <w:r>
              <w:rPr>
                <w:rFonts w:ascii="Arial" w:hAnsi="Arial" w:cs="Arial"/>
                <w:sz w:val="16"/>
                <w:szCs w:val="16"/>
              </w:rPr>
              <w:b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Незначні зміни аналітичного методу – дезінтеграції для внутрішньо технічного контролю (IPC) під час етапу стиснення на виробничій дільниці Menarini - Von Heyden GmbH.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на етапі 1 – Розсіювання всієї сировини, крім мастильних матеріалів (sieving of all raw materials except lubricant) на виробничій дільниці Menarini- Von Heyden GmbH.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процесі виробництва ЛЗ - зміна частоти змішування сировини(етап 2) з «30 min, 15 rpm» на «30 min, 6 rpm» на виробничій дільниці Menarini - Von Heyden GmbH.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процесі виробництва ЛЗ - зміна частоти змішування під час етапу змащування (етап 4) з «5 min, 15 rpm» на «5 min, 6 rpm» на виробничій дільниці Menarini - Von Heyden GmbH.</w:t>
            </w:r>
            <w:r>
              <w:rPr>
                <w:rFonts w:ascii="Arial" w:hAnsi="Arial" w:cs="Arial"/>
                <w:sz w:val="16"/>
                <w:szCs w:val="16"/>
              </w:rPr>
              <w:b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процесі виробництва ЛЗ - зміна на етапі пакування (фольга холодного формування формується холодом, а не вакуумом у машині для розміщення одноразових таблеток) на виробничій дільниці Menarini - Von Heyden GmbH.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процесі виробництва ЛЗ - зміни на етапі пакування(код партії та термін придатності вибиті, а не надруковані машиною на зовнішній стороні Al - плівки) на виробничій дільниці Menarini - Von Heyden GmbH.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процесі виробництва ЛЗ - додавання фази попереднього змішування магнію стеарату вручну з компонентами суміші перед етапом змащування на виробничій дільниці Menarini - Von Heyden GmbH.</w:t>
            </w:r>
            <w:r>
              <w:rPr>
                <w:rFonts w:ascii="Arial" w:hAnsi="Arial" w:cs="Arial"/>
                <w:sz w:val="16"/>
                <w:szCs w:val="16"/>
              </w:rPr>
              <w:br/>
              <w:t>• Зміни II типу - Зміни з якості. АФІ. (інші зміни) - Оновлення мастер - файлу активної речовини (ASMF) Neuland Laboratories Limited, затвердженого виробника АФІ біластину. Зміни II типу - Зміни з якості. АФІ. (інші зміни) - Оновлення мастер - файлу активної речовини (ASMF) SAI Life Sciences Limited, затвердженого виробника АФІ біластину.</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UA/13866/01/01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НІМЕЛГАН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гранули для оральної суспензії, по 100 мг; по 10, 20 або 30 саше у коробці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"АСТРАФАРМ"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Pr>
                <w:rFonts w:ascii="Arial" w:hAnsi="Arial" w:cs="Arial"/>
                <w:sz w:val="16"/>
                <w:szCs w:val="16"/>
              </w:rPr>
              <w:br/>
              <w:t>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рекомендацій PRAC.</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UA/16490/01/01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НІСТАТИН-ЗДОРОВ'Я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таблетки, вкриті оболонкою, по 500000 ОД по 10 таблеток у блістері; по 2 блістери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Товариство з обмеженою відповідальністю "Фармацевтична компанія "Здоров'я"</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всі стадії виробництва, контроль якості, випуск серії:</w:t>
            </w:r>
            <w:r>
              <w:rPr>
                <w:rFonts w:ascii="Arial" w:hAnsi="Arial" w:cs="Arial"/>
                <w:sz w:val="16"/>
                <w:szCs w:val="16"/>
              </w:rPr>
              <w:br/>
              <w:t>Товариство з обмеженою відповідальністю "Фармацевтична компанія "Здоров'я"</w:t>
            </w:r>
            <w:r>
              <w:rPr>
                <w:rFonts w:ascii="Arial" w:hAnsi="Arial" w:cs="Arial"/>
                <w:sz w:val="16"/>
                <w:szCs w:val="16"/>
              </w:rPr>
              <w:br/>
              <w:t xml:space="preserve">Україна; </w:t>
            </w:r>
            <w:r>
              <w:rPr>
                <w:rFonts w:ascii="Arial" w:hAnsi="Arial" w:cs="Arial"/>
                <w:sz w:val="16"/>
                <w:szCs w:val="16"/>
              </w:rPr>
              <w:br/>
              <w:t>всі стадії виробництва, контроль якості, випуск серії:</w:t>
            </w:r>
            <w:r>
              <w:rPr>
                <w:rFonts w:ascii="Arial" w:hAnsi="Arial" w:cs="Arial"/>
                <w:sz w:val="16"/>
                <w:szCs w:val="16"/>
              </w:rPr>
              <w:br/>
              <w:t>Товариство з обмеженою відповідальністю "ФАРМЕКС ГРУП"</w:t>
            </w:r>
            <w:r>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w:t>
            </w:r>
            <w:r>
              <w:rPr>
                <w:rFonts w:ascii="Arial" w:hAnsi="Arial" w:cs="Arial"/>
                <w:sz w:val="16"/>
                <w:szCs w:val="16"/>
              </w:rPr>
              <w:br/>
              <w:t>додавання виробничої дільниці, що відповідає за випуск серії ТОВ “ФАРМЕКС ГРУП”, Україна (Україна, 08301, Київська обл., м. Бориспіль, вул. Шевченка, буд. 100). Зміни внесені в розділи "Виробник" та "Місцезнаходження виробника та адреса місця провадження його діяльності" в інструкцію для медичного застосування у зв"язку з введенням додаткової виробничої дільниці та як наслідок - відповідні зміни у тексті маркування упаковки лікарського засобу.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UA/7727/01/01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НІТРОГЛІЦЕРИН РОЗБАВЛЕНИЙ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порошок (субстанція); у поліетиленових мішках-вкладишах для фармацевтичного використання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ТОВ НВФ «МІКРОХІМ» </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НВФ «МІКРОХІМ»</w:t>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та найменування заявника (власника реєстраційного посвідчення). </w:t>
            </w:r>
            <w:r>
              <w:rPr>
                <w:rFonts w:ascii="Arial" w:hAnsi="Arial" w:cs="Arial"/>
                <w:sz w:val="16"/>
                <w:szCs w:val="16"/>
              </w:rPr>
              <w:br/>
              <w:t xml:space="preserve">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Необхідність зміни адреси виробника лікарського засобу у зв’язку з фактичною зміною юридичної адреси, а також зміна найменування виробника, а саме: згідно статуту ТОВ НВФ «МІКРОХІМ» скорочене найменування Товариства.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UA/9268/01/01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НІФУРОКСАЗИД РІХТЕР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оболонкою, по 100 мг; по 24 таблетки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Угорщина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"Гедеон Ріхтер Польща", Польща (контроль якості, дозвіл на випуск серії; Виробництво нерозфасованого продукту, первинна упаковка,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до розділів "Фармакологічні властивості", "Застосування у період вагітності або годування груддю" щодо безпеки застосування лікарського засобу.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UA/9060/01/01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НІФУРОКСАЗИД РІХТЕР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суспензія оральна, 220 мг/5 мл, по 90 мл у флаконі; по 1 флакону з ложкою-дозатором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Угорщина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Гедеон Ріхтер Румунія А.Т., Румунiя (виробництво нерозфасованого продукту, первинна упаковка, вторинна упаковка, контроль якості); ТОВ "Гедеон Ріхтер Польща", Польща (контроль якості,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Румунія/Польща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до розділів "Фармакологічні властивості", "Застосування у період вагітності або годування груддю" щодо безпеки застосування лікарського засобу.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UA/9060/02/01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НОМІГРЕН БОСНАЛЕК®</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таблетки, вкриті плівковою оболонкою по 10 таблеток у тубі, по 1 тубі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Босналек д.д.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Боснiя i Герцеговина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Боснiя i Герцеговина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випробування ГЛЗ за показником «Кількісне визначення меклоксаміну цитрату та камілофіну гідрохлориду» (метод ІІ, ВЕРХ), а саме доповнення розділу «Придатність системи» параметрами: фактор симетрії та число теоретичних тарілок. Також додано інформацію, що на додаток до вже затвердженої хроматографічної колонки можна використовувати аналогічну. Інформація щодо еквівалентності колонки буде викладена в методах контролю за показниками «Однорідність дозованих одиниць» (метод ІІ, ВЕРХ) та «Розчинення», оскільки випробування проводяться в однакових умовах.</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UA/2791/01/01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НОРФЛОКСАЦИН-ЗДОРОВ'Я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таблетки, вкриті плівковою оболонкою, по 400 мг по 10 таблеток у блістері; по 1 блістеру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Товариство з обмеженою відповідальністю "Фармацевтична компанія "Здоров'я"</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всі стадії виробництва, контроль якості, випуск серії:</w:t>
            </w:r>
            <w:r>
              <w:rPr>
                <w:rFonts w:ascii="Arial" w:hAnsi="Arial" w:cs="Arial"/>
                <w:sz w:val="16"/>
                <w:szCs w:val="16"/>
              </w:rPr>
              <w:br/>
              <w:t>Товариство з обмеженою відповідальністю "Фармацевтична компанія "Здоров'я"</w:t>
            </w:r>
            <w:r>
              <w:rPr>
                <w:rFonts w:ascii="Arial" w:hAnsi="Arial" w:cs="Arial"/>
                <w:sz w:val="16"/>
                <w:szCs w:val="16"/>
              </w:rPr>
              <w:br/>
              <w:t xml:space="preserve">Україна; </w:t>
            </w:r>
            <w:r>
              <w:rPr>
                <w:rFonts w:ascii="Arial" w:hAnsi="Arial" w:cs="Arial"/>
                <w:sz w:val="16"/>
                <w:szCs w:val="16"/>
              </w:rPr>
              <w:br/>
              <w:t>всі стадії виробництва, контроль якості, випуск серії:</w:t>
            </w:r>
            <w:r>
              <w:rPr>
                <w:rFonts w:ascii="Arial" w:hAnsi="Arial" w:cs="Arial"/>
                <w:sz w:val="16"/>
                <w:szCs w:val="16"/>
              </w:rPr>
              <w:br/>
              <w:t>Товариство з обмеженою відповідальністю "ФАРМЕКС ГРУП"</w:t>
            </w:r>
            <w:r>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виробничої дільниці, що відповідає за випуск серії ТОВ “ФАРМЕКС ГРУП”, Україна (Україна, 08301, Київська обл., м. Бориспіль, вул. Шевченка, буд. 100). Зміни внесені в розділи "Виробник" та "Місцезнаходження виробника та адреса місця провадження його діяльності" в інструкцію для медичного застосування у зв"язку з введенням додаткової виробничої дільниці та як наслідок - відповідні зміни у тексті маркування упаковки лікарського засобу.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UA/3948/01/01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НУРОФЄН® ЕКСПРЕС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капсули м'які по 400 мг по 10 капсул у блістері; по 1 або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Реккітт Бенкізер Хелскер Інтернешнл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Велика Британiя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Відповідальний за пакування та випуск серії: Реккітт Бенкізер Хелскер Інтернешнл Лімітед, Велика Британія; Відповідальний за виробництво in bulk: Патеон Софтжелс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Велика Британія/ Нідерланди</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рекомендацій PRAC.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UA/14179/01/01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НУРОФЄН®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таблетки, вкриті оболонкою, по 400 мг; по 12 таблеток у блістері; по 1 блістеру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Реккітт Бенкізер Хелскер Інтернешнл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Велика Британiя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Велика Британiя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рекомендацій PRAC.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UA/6313/02/01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НУРОФЄН®ЕКСПРЕС УЛЬТРАКАП</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капсули м'які по 200 мг; по 4 або 10 капсул  у блістері; по 1 блістеру в картонній коробці; по 8 капсул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Реккітт Бенкізер Хелскер Інтернешнл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Велика Британiя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відповідальний за первинне, вторинне пакування, контроль якості готового продукту та випуск серії: Реккітт Бенкізер Хелскер Інтернешнл Лімітед, Велика Британія; відповідальний за виробництво in bulk, включаючи проведення контролю якості: Патеон Софтжелс Б.В., Нідерланди; відповідальний за виробництво in bulk, первинне, вторинне пакування, контроль якості готового продукту: </w:t>
            </w:r>
            <w:r>
              <w:rPr>
                <w:rFonts w:ascii="Arial" w:hAnsi="Arial" w:cs="Arial"/>
                <w:sz w:val="16"/>
                <w:szCs w:val="16"/>
              </w:rPr>
              <w:br/>
              <w:t>РБ Хелс Мануфектуринг (ЮС) ЛЛС, Сполучені штати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Велика Британія/ Нідерланди/ Сполучені штати (США)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рекомендацій PRAC.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UA/13599/01/01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НУТРИФЛЕКС ЛІПІД СПЕЦІАЛЬНИЙ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емульсія для інфузій; по 625 мл (250 мл розчину амінокислот + 125 мл жирової емульсії + 250 мл розчину глюкози) в мішках пластикових трикамерних; по 1 мішку у захисному пластиковому мішку; по 5 мішків у картонній коробці; по 1250 мл (500 мл розчину амінокислот + 250 мл жирової емульсії + 500 мл розчину глюкози) в мішках пластикових трикамерних; по 1 мішку у захисному пластиковому мішку; по 5 мішків у картонній коробці; по 1875 мл (750 мл розчину амінокислот + 375 мл жирової емульсії + 750 мл розчину глюкози) в мішках пластикових трикамерних; по 1 мішку у захисному пластиковому мішку; по 5 мішків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Б. Браун Мельзунген АГ</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Б. Браун Мельзунген АГ, Німеччина (виробництво, первинне та вторинне пакування, випуск серії); Б. Браун Мельзунген АГ, Німеччина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cs="Arial"/>
                <w:b/>
                <w:bCs/>
                <w:sz w:val="16"/>
                <w:szCs w:val="16"/>
              </w:rPr>
            </w:pPr>
            <w:r>
              <w:rPr>
                <w:rFonts w:ascii="Arial" w:hAnsi="Arial" w:cs="Arial"/>
                <w:sz w:val="16"/>
                <w:szCs w:val="16"/>
              </w:rPr>
              <w:t xml:space="preserve">внесення змін до реєстраційних матеріалів: </w:t>
            </w:r>
            <w:r>
              <w:rPr>
                <w:rStyle w:val="csccf5e316219"/>
                <w:b w:val="0"/>
                <w:color w:val="auto"/>
                <w:sz w:val="16"/>
                <w:szCs w:val="16"/>
              </w:rPr>
              <w:t>Технічна помилка (згідно наказу МОЗ від 23.07.2015 № 460).</w:t>
            </w:r>
          </w:p>
          <w:p w:rsidR="003D03F3" w:rsidRDefault="003D03F3">
            <w:pPr>
              <w:pStyle w:val="cs95e872d0"/>
              <w:jc w:val="center"/>
              <w:rPr>
                <w:rFonts w:cs="Arial"/>
                <w:b/>
                <w:sz w:val="16"/>
                <w:szCs w:val="16"/>
              </w:rPr>
            </w:pPr>
            <w:r>
              <w:rPr>
                <w:rStyle w:val="cs9ff1b611210"/>
                <w:color w:val="auto"/>
                <w:sz w:val="16"/>
                <w:szCs w:val="16"/>
                <w:lang w:val="uk-UA"/>
              </w:rPr>
              <w:t xml:space="preserve">Виправлення технічної помилки, згідно пп.4 п.2.4. розділу </w:t>
            </w:r>
            <w:r>
              <w:rPr>
                <w:rStyle w:val="cs9ff1b611210"/>
                <w:color w:val="auto"/>
                <w:sz w:val="16"/>
                <w:szCs w:val="16"/>
              </w:rPr>
              <w:t>VI</w:t>
            </w:r>
            <w:r>
              <w:rPr>
                <w:rStyle w:val="cs9ff1b611210"/>
                <w:color w:val="auto"/>
                <w:sz w:val="16"/>
                <w:szCs w:val="16"/>
                <w:lang w:val="uk-UA"/>
              </w:rPr>
              <w:t xml:space="preserve"> наказу МОЗ України від 26.08.2005р. № 426 (у редакції наказу МОЗ України від 23.07.2015 р № 460), у тексті МКЯ при перенесенні інформації з реєстраційного досьє (р.3.2.</w:t>
            </w:r>
            <w:r>
              <w:rPr>
                <w:rStyle w:val="cs9ff1b611210"/>
                <w:color w:val="auto"/>
                <w:sz w:val="16"/>
                <w:szCs w:val="16"/>
              </w:rPr>
              <w:t>P</w:t>
            </w:r>
            <w:r>
              <w:rPr>
                <w:rStyle w:val="cs9ff1b611210"/>
                <w:color w:val="auto"/>
                <w:sz w:val="16"/>
                <w:szCs w:val="16"/>
                <w:lang w:val="uk-UA"/>
              </w:rPr>
              <w:t xml:space="preserve">.5.1) у Специфікації за розділом «Субвидимі частинки Тест на визначення частинок відповідно до Європейської Фармакопеї для в/в розчинів великого об’єму (Контейнери &gt;100 мл)» невірно зазначено критерії прийнятності для випуску та терміну придатності, а саме: зазначено ≥10 мкм ≤25 частинок/мл замість ≥10 мкм ≤12 частинок/мл. </w:t>
            </w:r>
            <w:r>
              <w:rPr>
                <w:rStyle w:val="cs9ff1b611210"/>
                <w:color w:val="auto"/>
                <w:sz w:val="16"/>
                <w:szCs w:val="16"/>
              </w:rPr>
              <w:t>Зазначене виправлення відповідає архівним матеріалам реєстраційного досьє.</w:t>
            </w:r>
          </w:p>
          <w:p w:rsidR="003D03F3" w:rsidRDefault="003D03F3">
            <w:pPr>
              <w:pStyle w:val="110"/>
              <w:tabs>
                <w:tab w:val="left" w:pos="12600"/>
              </w:tabs>
              <w:spacing w:after="240"/>
              <w:jc w:val="center"/>
              <w:rPr>
                <w:rFonts w:ascii="Arial" w:hAnsi="Arial" w:cs="Arial"/>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UA/13297/01/01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ОКСАЛІПЛАТИН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концентрат для розчину для інфузій, 5 мг/мл; по 10 мл (50 мг), або 20 мл (100 мг), або 30 мл (150 мг), або 40 мл (200 мг)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ЕБЕВЕ Фарма Гес.м.б.Х. Нфг. КГ</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Австрія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повний цикл виробництва:</w:t>
            </w:r>
            <w:r>
              <w:rPr>
                <w:rFonts w:ascii="Arial" w:hAnsi="Arial" w:cs="Arial"/>
                <w:sz w:val="16"/>
                <w:szCs w:val="16"/>
              </w:rPr>
              <w:br/>
              <w:t>ФАРЕВА Унтерах ГмбХ, Австрія</w:t>
            </w:r>
            <w:r>
              <w:rPr>
                <w:rFonts w:ascii="Arial" w:hAnsi="Arial" w:cs="Arial"/>
                <w:sz w:val="16"/>
                <w:szCs w:val="16"/>
              </w:rPr>
              <w:br/>
              <w:t xml:space="preserve">випуск серії: </w:t>
            </w:r>
            <w:r>
              <w:rPr>
                <w:rFonts w:ascii="Arial" w:hAnsi="Arial" w:cs="Arial"/>
                <w:sz w:val="16"/>
                <w:szCs w:val="16"/>
              </w:rPr>
              <w:br/>
              <w:t>ЕБЕВЕ Фарма Гес.м.б.Х. Нфг. КГ, Австрія</w:t>
            </w:r>
            <w:r>
              <w:rPr>
                <w:rFonts w:ascii="Arial" w:hAnsi="Arial" w:cs="Arial"/>
                <w:sz w:val="16"/>
                <w:szCs w:val="16"/>
              </w:rPr>
              <w:br/>
              <w:t>контроль/випробування серії:</w:t>
            </w:r>
            <w:r>
              <w:rPr>
                <w:rFonts w:ascii="Arial" w:hAnsi="Arial" w:cs="Arial"/>
                <w:sz w:val="16"/>
                <w:szCs w:val="16"/>
              </w:rPr>
              <w:br/>
              <w:t xml:space="preserve">Лабор ЛС СЕ &amp; Ко. КГ, Німеччина </w:t>
            </w:r>
            <w:r>
              <w:rPr>
                <w:rFonts w:ascii="Arial" w:hAnsi="Arial" w:cs="Arial"/>
                <w:sz w:val="16"/>
                <w:szCs w:val="16"/>
              </w:rPr>
              <w:br/>
              <w:t>контроль/випробування серії:</w:t>
            </w:r>
            <w:r>
              <w:rPr>
                <w:rFonts w:ascii="Arial" w:hAnsi="Arial" w:cs="Arial"/>
                <w:sz w:val="16"/>
                <w:szCs w:val="16"/>
              </w:rPr>
              <w:br/>
              <w:t>Умфорана Лабор фьор Аналітік унд Ауфтрагфорсшунг ГмбХ &amp;Ко.КГ,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Австрія/Німеччина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Pr>
                <w:rFonts w:ascii="Arial" w:hAnsi="Arial" w:cs="Arial"/>
                <w:sz w:val="16"/>
                <w:szCs w:val="16"/>
              </w:rPr>
              <w:br/>
              <w:t>зміни в затвердженому методі випробування АФІ за показником «Сontent of Methanol» (GC).</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UA/6314/02/01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ПАГАМАКС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капсули по 150 мг, по 14 капсул у блістері, по 1 або 4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НОБЕЛ ІЛАЧ ПАЗАРЛАМА ВЕ САНАЇ ЛТД. ШІРКЕТІ</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Туреччина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Pr>
                <w:rFonts w:ascii="Arial" w:hAnsi="Arial" w:cs="Arial"/>
                <w:sz w:val="16"/>
                <w:szCs w:val="16"/>
              </w:rPr>
              <w:br/>
              <w:t>Зміни внесено до Інструкції для медичного застосування лікарського засобу до розділу "Побічні реакції" щодо додавання побічної реакції "суїцидальні думки/поведінка" відповідно до інформації з безпеки діючої речовини. Термін введення змін -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щодо додавання побічної реакції "паркінсонізм" відповідно до інформації з безпеки діючої речовини.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UA/15695/01/02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ПАГАМАКС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капсули по 300 мг, по 14 капсул у блістері, по 1 або 4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НОБЕЛ ІЛАЧ ПАЗАРЛАМА ВЕ САНАЇ ЛТД. ШІРКЕТІ</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Туреччина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Pr>
                <w:rFonts w:ascii="Arial" w:hAnsi="Arial" w:cs="Arial"/>
                <w:sz w:val="16"/>
                <w:szCs w:val="16"/>
              </w:rPr>
              <w:br/>
              <w:t>Зміни внесено до Інструкції для медичного застосування лікарського засобу до розділу "Побічні реакції" щодо додавання побічної реакції "суїцидальні думки/поведінка" відповідно до інформації з безпеки діючої речовини. Термін введення змін -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щодо додавання побічної реакції "паркінсонізм" відповідно до інформації з безпеки діючої речовини.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UA/15695/01/03</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ПАГАМАКС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капсули по 75 мг, по 14 капсул у блістері, по 1 або 4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НОБЕЛ ІЛАЧ ПАЗАРЛАМА ВЕ САНАЇ ЛТД. ШІРКЕТІ</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Туреччина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Pr>
                <w:rFonts w:ascii="Arial" w:hAnsi="Arial" w:cs="Arial"/>
                <w:sz w:val="16"/>
                <w:szCs w:val="16"/>
              </w:rPr>
              <w:br/>
              <w:t>Зміни внесено до Інструкції для медичного застосування лікарського засобу до розділу "Побічні реакції" щодо додавання побічної реакції "суїцидальні думки/поведінка" відповідно до інформації з безпеки діючої речовини. Термін введення змін -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щодо додавання побічної реакції "паркінсонізм" відповідно до інформації з безпеки діючої речовини.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UA/15695/01/01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ПАНЗІГА/PANZYGA®</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розчин для інфузій по 100 мг/мл, по 10 мл, 25 мл розчину у флаконі, по 1 флакону в картонній коробці; по 50 мл, 100 мл розчину у пляшках, по 1 пляшці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Австрія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Октафарма Дессау ГмбХ, Німеччина (виробник, відповідальний за вторинне пакування); Октафарма Продукціонсгеселлшафт Дойчланд м.б.Х., Німеччина (виробник, відповідальний за випробування алюмінію); Октафарма Фармацевтика Продуктіонсгес. м.б.Х, Австрія (виробник, відповідальний за первинне та вторинне пакування, контроль якості, випуск серії); Октафарма, Францiя (виробник, відповідальний за виробництво in-bulk, первинне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Німеччина/Австрія/Франція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autoSpaceDE w:val="0"/>
              <w:autoSpaceDN w:val="0"/>
              <w:adjustRightInd w:val="0"/>
              <w:jc w:val="center"/>
              <w:rPr>
                <w:rFonts w:ascii="Arial" w:hAnsi="Arial" w:cs="Segoe UI"/>
                <w:b/>
                <w:bCs/>
                <w:sz w:val="16"/>
                <w:szCs w:val="16"/>
                <w:lang w:eastAsia="en-US"/>
              </w:rPr>
            </w:pPr>
            <w:r w:rsidRPr="003D03F3">
              <w:rPr>
                <w:rFonts w:ascii="Arial" w:hAnsi="Arial" w:cs="Arial"/>
                <w:sz w:val="16"/>
                <w:szCs w:val="16"/>
                <w:lang w:val="uk-UA"/>
              </w:rPr>
              <w:t>внесення змін до реєстраційних матеріалів:</w:t>
            </w:r>
            <w:r>
              <w:rPr>
                <w:rFonts w:ascii="Arial" w:hAnsi="Arial" w:cs="Arial"/>
                <w:b/>
                <w:bCs/>
                <w:sz w:val="16"/>
                <w:szCs w:val="16"/>
                <w:lang w:val="en-US" w:eastAsia="en-US"/>
              </w:rPr>
              <w:t> </w:t>
            </w:r>
            <w:r w:rsidRPr="003D03F3">
              <w:rPr>
                <w:rFonts w:ascii="Arial" w:hAnsi="Arial" w:cs="Arial"/>
                <w:bCs/>
                <w:sz w:val="16"/>
                <w:szCs w:val="16"/>
                <w:lang w:val="uk-UA" w:eastAsia="en-US"/>
              </w:rPr>
              <w:t xml:space="preserve">Зміни І типу - Зміни з якості. </w:t>
            </w:r>
            <w:r>
              <w:rPr>
                <w:rFonts w:ascii="Arial" w:hAnsi="Arial" w:cs="Arial"/>
                <w:bCs/>
                <w:sz w:val="16"/>
                <w:szCs w:val="16"/>
                <w:lang w:eastAsia="en-US"/>
              </w:rPr>
              <w:t>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w:t>
            </w:r>
          </w:p>
          <w:p w:rsidR="003D03F3" w:rsidRDefault="003D03F3">
            <w:pPr>
              <w:autoSpaceDE w:val="0"/>
              <w:autoSpaceDN w:val="0"/>
              <w:adjustRightInd w:val="0"/>
              <w:jc w:val="center"/>
              <w:rPr>
                <w:rFonts w:ascii="Segoe UI" w:hAnsi="Segoe UI" w:cs="Segoe UI"/>
                <w:b/>
                <w:bCs/>
                <w:sz w:val="16"/>
                <w:szCs w:val="16"/>
                <w:lang w:val="en-US" w:eastAsia="en-US"/>
              </w:rPr>
            </w:pPr>
            <w:r>
              <w:rPr>
                <w:rFonts w:ascii="Arial" w:hAnsi="Arial" w:cs="Arial"/>
                <w:bCs/>
                <w:sz w:val="16"/>
                <w:szCs w:val="16"/>
                <w:lang w:eastAsia="en-US"/>
              </w:rPr>
              <w:t xml:space="preserve">Введення альтернативної буферної системи </w:t>
            </w:r>
            <w:r>
              <w:rPr>
                <w:rFonts w:ascii="Arial" w:hAnsi="Arial" w:cs="Arial"/>
                <w:bCs/>
                <w:sz w:val="16"/>
                <w:szCs w:val="16"/>
                <w:lang w:val="en-US" w:eastAsia="en-US"/>
              </w:rPr>
              <w:t>Tris</w:t>
            </w:r>
            <w:r>
              <w:rPr>
                <w:rFonts w:ascii="Arial" w:hAnsi="Arial" w:cs="Arial"/>
                <w:bCs/>
                <w:sz w:val="16"/>
                <w:szCs w:val="16"/>
                <w:lang w:eastAsia="en-US"/>
              </w:rPr>
              <w:t>/</w:t>
            </w:r>
            <w:r>
              <w:rPr>
                <w:rFonts w:ascii="Arial" w:hAnsi="Arial" w:cs="Arial"/>
                <w:bCs/>
                <w:sz w:val="16"/>
                <w:szCs w:val="16"/>
                <w:lang w:val="en-US" w:eastAsia="en-US"/>
              </w:rPr>
              <w:t>HCl</w:t>
            </w:r>
            <w:r>
              <w:rPr>
                <w:rFonts w:ascii="Arial" w:hAnsi="Arial" w:cs="Arial"/>
                <w:bCs/>
                <w:sz w:val="16"/>
                <w:szCs w:val="16"/>
                <w:lang w:eastAsia="en-US"/>
              </w:rPr>
              <w:t xml:space="preserve"> для проведення випробування </w:t>
            </w:r>
            <w:r>
              <w:rPr>
                <w:rFonts w:ascii="Arial" w:hAnsi="Arial" w:cs="Arial"/>
                <w:bCs/>
                <w:sz w:val="16"/>
                <w:szCs w:val="16"/>
                <w:lang w:val="en-US" w:eastAsia="en-US"/>
              </w:rPr>
              <w:t>Determination</w:t>
            </w:r>
            <w:r>
              <w:rPr>
                <w:rFonts w:ascii="Arial" w:hAnsi="Arial" w:cs="Arial"/>
                <w:bCs/>
                <w:sz w:val="16"/>
                <w:szCs w:val="16"/>
                <w:lang w:eastAsia="en-US"/>
              </w:rPr>
              <w:t xml:space="preserve"> </w:t>
            </w:r>
            <w:r>
              <w:rPr>
                <w:rFonts w:ascii="Arial" w:hAnsi="Arial" w:cs="Arial"/>
                <w:bCs/>
                <w:sz w:val="16"/>
                <w:szCs w:val="16"/>
                <w:lang w:val="en-US" w:eastAsia="en-US"/>
              </w:rPr>
              <w:t>of</w:t>
            </w:r>
            <w:r>
              <w:rPr>
                <w:rFonts w:ascii="Arial" w:hAnsi="Arial" w:cs="Arial"/>
                <w:bCs/>
                <w:sz w:val="16"/>
                <w:szCs w:val="16"/>
                <w:lang w:eastAsia="en-US"/>
              </w:rPr>
              <w:t xml:space="preserve"> </w:t>
            </w:r>
            <w:r>
              <w:rPr>
                <w:rFonts w:ascii="Arial" w:hAnsi="Arial" w:cs="Arial"/>
                <w:bCs/>
                <w:sz w:val="16"/>
                <w:szCs w:val="16"/>
                <w:lang w:val="en-US" w:eastAsia="en-US"/>
              </w:rPr>
              <w:t>the</w:t>
            </w:r>
            <w:r>
              <w:rPr>
                <w:rFonts w:ascii="Arial" w:hAnsi="Arial" w:cs="Arial"/>
                <w:bCs/>
                <w:sz w:val="16"/>
                <w:szCs w:val="16"/>
                <w:lang w:eastAsia="en-US"/>
              </w:rPr>
              <w:t xml:space="preserve"> </w:t>
            </w:r>
            <w:r>
              <w:rPr>
                <w:rFonts w:ascii="Arial" w:hAnsi="Arial" w:cs="Arial"/>
                <w:bCs/>
                <w:sz w:val="16"/>
                <w:szCs w:val="16"/>
                <w:lang w:val="en-US" w:eastAsia="en-US"/>
              </w:rPr>
              <w:t>Anticomplementary</w:t>
            </w:r>
            <w:r>
              <w:rPr>
                <w:rFonts w:ascii="Arial" w:hAnsi="Arial" w:cs="Arial"/>
                <w:bCs/>
                <w:sz w:val="16"/>
                <w:szCs w:val="16"/>
                <w:lang w:eastAsia="en-US"/>
              </w:rPr>
              <w:t xml:space="preserve"> </w:t>
            </w:r>
            <w:r>
              <w:rPr>
                <w:rFonts w:ascii="Arial" w:hAnsi="Arial" w:cs="Arial"/>
                <w:bCs/>
                <w:sz w:val="16"/>
                <w:szCs w:val="16"/>
                <w:lang w:val="en-US" w:eastAsia="en-US"/>
              </w:rPr>
              <w:t>Activity</w:t>
            </w:r>
            <w:r>
              <w:rPr>
                <w:rFonts w:ascii="Arial" w:hAnsi="Arial" w:cs="Arial"/>
                <w:bCs/>
                <w:sz w:val="16"/>
                <w:szCs w:val="16"/>
                <w:lang w:eastAsia="en-US"/>
              </w:rPr>
              <w:t xml:space="preserve"> в кінцевому продукті.</w:t>
            </w:r>
            <w:r>
              <w:rPr>
                <w:rFonts w:ascii="Arial" w:hAnsi="Arial" w:cs="Arial"/>
                <w:b/>
                <w:bCs/>
                <w:sz w:val="16"/>
                <w:szCs w:val="16"/>
                <w:lang w:val="en-US" w:eastAsia="en-US"/>
              </w:rPr>
              <w:t> </w:t>
            </w:r>
            <w:r>
              <w:rPr>
                <w:rFonts w:ascii="Arial" w:hAnsi="Arial" w:cs="Arial"/>
                <w:bCs/>
                <w:sz w:val="16"/>
                <w:szCs w:val="16"/>
                <w:lang w:val="en-US" w:eastAsia="en-US"/>
              </w:rPr>
              <w:t xml:space="preserve">Зміни І типу - Зміни з якості. АФІ. Виробництво. </w:t>
            </w:r>
            <w:r>
              <w:rPr>
                <w:rFonts w:ascii="Arial" w:hAnsi="Arial" w:cs="Arial"/>
                <w:bCs/>
                <w:sz w:val="16"/>
                <w:szCs w:val="16"/>
                <w:lang w:eastAsia="en-US"/>
              </w:rPr>
              <w:t>Зміни</w:t>
            </w:r>
            <w:r>
              <w:rPr>
                <w:rFonts w:ascii="Arial" w:hAnsi="Arial" w:cs="Arial"/>
                <w:bCs/>
                <w:sz w:val="16"/>
                <w:szCs w:val="16"/>
                <w:lang w:val="en-US" w:eastAsia="en-US"/>
              </w:rPr>
              <w:t xml:space="preserve"> </w:t>
            </w:r>
            <w:r>
              <w:rPr>
                <w:rFonts w:ascii="Arial" w:hAnsi="Arial" w:cs="Arial"/>
                <w:bCs/>
                <w:sz w:val="16"/>
                <w:szCs w:val="16"/>
                <w:lang w:eastAsia="en-US"/>
              </w:rPr>
              <w:t>в</w:t>
            </w:r>
            <w:r>
              <w:rPr>
                <w:rFonts w:ascii="Arial" w:hAnsi="Arial" w:cs="Arial"/>
                <w:bCs/>
                <w:sz w:val="16"/>
                <w:szCs w:val="16"/>
                <w:lang w:val="en-US" w:eastAsia="en-US"/>
              </w:rPr>
              <w:t xml:space="preserve"> </w:t>
            </w:r>
            <w:r>
              <w:rPr>
                <w:rFonts w:ascii="Arial" w:hAnsi="Arial" w:cs="Arial"/>
                <w:bCs/>
                <w:sz w:val="16"/>
                <w:szCs w:val="16"/>
                <w:lang w:eastAsia="en-US"/>
              </w:rPr>
              <w:t>процесі</w:t>
            </w:r>
            <w:r>
              <w:rPr>
                <w:rFonts w:ascii="Arial" w:hAnsi="Arial" w:cs="Arial"/>
                <w:bCs/>
                <w:sz w:val="16"/>
                <w:szCs w:val="16"/>
                <w:lang w:val="en-US" w:eastAsia="en-US"/>
              </w:rPr>
              <w:t xml:space="preserve"> </w:t>
            </w:r>
            <w:r>
              <w:rPr>
                <w:rFonts w:ascii="Arial" w:hAnsi="Arial" w:cs="Arial"/>
                <w:bCs/>
                <w:sz w:val="16"/>
                <w:szCs w:val="16"/>
                <w:lang w:eastAsia="en-US"/>
              </w:rPr>
              <w:t>виробництва</w:t>
            </w:r>
            <w:r>
              <w:rPr>
                <w:rFonts w:ascii="Arial" w:hAnsi="Arial" w:cs="Arial"/>
                <w:bCs/>
                <w:sz w:val="16"/>
                <w:szCs w:val="16"/>
                <w:lang w:val="en-US" w:eastAsia="en-US"/>
              </w:rPr>
              <w:t xml:space="preserve"> </w:t>
            </w:r>
            <w:r>
              <w:rPr>
                <w:rFonts w:ascii="Arial" w:hAnsi="Arial" w:cs="Arial"/>
                <w:bCs/>
                <w:sz w:val="16"/>
                <w:szCs w:val="16"/>
                <w:lang w:eastAsia="en-US"/>
              </w:rPr>
              <w:t>АФІ</w:t>
            </w:r>
            <w:r>
              <w:rPr>
                <w:rFonts w:ascii="Arial" w:hAnsi="Arial" w:cs="Arial"/>
                <w:bCs/>
                <w:sz w:val="16"/>
                <w:szCs w:val="16"/>
                <w:lang w:val="en-US" w:eastAsia="en-US"/>
              </w:rPr>
              <w:t xml:space="preserve"> (</w:t>
            </w:r>
            <w:r>
              <w:rPr>
                <w:rFonts w:ascii="Arial" w:hAnsi="Arial" w:cs="Arial"/>
                <w:bCs/>
                <w:sz w:val="16"/>
                <w:szCs w:val="16"/>
                <w:lang w:eastAsia="en-US"/>
              </w:rPr>
              <w:t>незначна</w:t>
            </w:r>
            <w:r>
              <w:rPr>
                <w:rFonts w:ascii="Arial" w:hAnsi="Arial" w:cs="Arial"/>
                <w:bCs/>
                <w:sz w:val="16"/>
                <w:szCs w:val="16"/>
                <w:lang w:val="en-US" w:eastAsia="en-US"/>
              </w:rPr>
              <w:t xml:space="preserve"> </w:t>
            </w:r>
            <w:r>
              <w:rPr>
                <w:rFonts w:ascii="Arial" w:hAnsi="Arial" w:cs="Arial"/>
                <w:bCs/>
                <w:sz w:val="16"/>
                <w:szCs w:val="16"/>
                <w:lang w:eastAsia="en-US"/>
              </w:rPr>
              <w:t>зміна</w:t>
            </w:r>
            <w:r>
              <w:rPr>
                <w:rFonts w:ascii="Arial" w:hAnsi="Arial" w:cs="Arial"/>
                <w:bCs/>
                <w:sz w:val="16"/>
                <w:szCs w:val="16"/>
                <w:lang w:val="en-US" w:eastAsia="en-US"/>
              </w:rPr>
              <w:t xml:space="preserve"> </w:t>
            </w:r>
            <w:r>
              <w:rPr>
                <w:rFonts w:ascii="Arial" w:hAnsi="Arial" w:cs="Arial"/>
                <w:bCs/>
                <w:sz w:val="16"/>
                <w:szCs w:val="16"/>
                <w:lang w:eastAsia="en-US"/>
              </w:rPr>
              <w:t>у</w:t>
            </w:r>
            <w:r>
              <w:rPr>
                <w:rFonts w:ascii="Arial" w:hAnsi="Arial" w:cs="Arial"/>
                <w:bCs/>
                <w:sz w:val="16"/>
                <w:szCs w:val="16"/>
                <w:lang w:val="en-US" w:eastAsia="en-US"/>
              </w:rPr>
              <w:t xml:space="preserve"> </w:t>
            </w:r>
            <w:r>
              <w:rPr>
                <w:rFonts w:ascii="Arial" w:hAnsi="Arial" w:cs="Arial"/>
                <w:bCs/>
                <w:sz w:val="16"/>
                <w:szCs w:val="16"/>
                <w:lang w:eastAsia="en-US"/>
              </w:rPr>
              <w:t>процесі</w:t>
            </w:r>
            <w:r>
              <w:rPr>
                <w:rFonts w:ascii="Arial" w:hAnsi="Arial" w:cs="Arial"/>
                <w:bCs/>
                <w:sz w:val="16"/>
                <w:szCs w:val="16"/>
                <w:lang w:val="en-US" w:eastAsia="en-US"/>
              </w:rPr>
              <w:t xml:space="preserve"> </w:t>
            </w:r>
            <w:r>
              <w:rPr>
                <w:rFonts w:ascii="Arial" w:hAnsi="Arial" w:cs="Arial"/>
                <w:bCs/>
                <w:sz w:val="16"/>
                <w:szCs w:val="16"/>
                <w:lang w:eastAsia="en-US"/>
              </w:rPr>
              <w:t>виробництва</w:t>
            </w:r>
            <w:r>
              <w:rPr>
                <w:rFonts w:ascii="Arial" w:hAnsi="Arial" w:cs="Arial"/>
                <w:bCs/>
                <w:sz w:val="16"/>
                <w:szCs w:val="16"/>
                <w:lang w:val="en-US" w:eastAsia="en-US"/>
              </w:rPr>
              <w:t xml:space="preserve"> </w:t>
            </w:r>
            <w:r>
              <w:rPr>
                <w:rFonts w:ascii="Arial" w:hAnsi="Arial" w:cs="Arial"/>
                <w:bCs/>
                <w:sz w:val="16"/>
                <w:szCs w:val="16"/>
                <w:lang w:eastAsia="en-US"/>
              </w:rPr>
              <w:t>АФІ</w:t>
            </w:r>
            <w:r>
              <w:rPr>
                <w:rFonts w:ascii="Arial" w:hAnsi="Arial" w:cs="Arial"/>
                <w:bCs/>
                <w:sz w:val="16"/>
                <w:szCs w:val="16"/>
                <w:lang w:val="en-US" w:eastAsia="en-US"/>
              </w:rPr>
              <w:t>).</w:t>
            </w:r>
            <w:r>
              <w:rPr>
                <w:rFonts w:ascii="Arial" w:hAnsi="Arial" w:cs="Arial"/>
                <w:b/>
                <w:bCs/>
                <w:sz w:val="16"/>
                <w:szCs w:val="16"/>
                <w:lang w:val="en-US" w:eastAsia="en-US"/>
              </w:rPr>
              <w:t xml:space="preserve"> </w:t>
            </w:r>
            <w:r>
              <w:rPr>
                <w:rFonts w:ascii="Arial" w:hAnsi="Arial" w:cs="Arial"/>
                <w:bCs/>
                <w:sz w:val="16"/>
                <w:szCs w:val="16"/>
                <w:lang w:eastAsia="en-US"/>
              </w:rPr>
              <w:t>Впровадження</w:t>
            </w:r>
            <w:r>
              <w:rPr>
                <w:rFonts w:ascii="Arial" w:hAnsi="Arial" w:cs="Arial"/>
                <w:bCs/>
                <w:sz w:val="16"/>
                <w:szCs w:val="16"/>
                <w:lang w:val="en-US" w:eastAsia="en-US"/>
              </w:rPr>
              <w:t xml:space="preserve"> </w:t>
            </w:r>
            <w:r>
              <w:rPr>
                <w:rFonts w:ascii="Arial" w:hAnsi="Arial" w:cs="Arial"/>
                <w:bCs/>
                <w:sz w:val="16"/>
                <w:szCs w:val="16"/>
                <w:lang w:eastAsia="en-US"/>
              </w:rPr>
              <w:t>альтернативного</w:t>
            </w:r>
            <w:r>
              <w:rPr>
                <w:rFonts w:ascii="Arial" w:hAnsi="Arial" w:cs="Arial"/>
                <w:bCs/>
                <w:sz w:val="16"/>
                <w:szCs w:val="16"/>
                <w:lang w:val="en-US" w:eastAsia="en-US"/>
              </w:rPr>
              <w:t xml:space="preserve"> </w:t>
            </w:r>
            <w:r>
              <w:rPr>
                <w:rFonts w:ascii="Arial" w:hAnsi="Arial" w:cs="Arial"/>
                <w:bCs/>
                <w:sz w:val="16"/>
                <w:szCs w:val="16"/>
                <w:lang w:eastAsia="en-US"/>
              </w:rPr>
              <w:t>фільтра</w:t>
            </w:r>
            <w:r>
              <w:rPr>
                <w:rFonts w:ascii="Arial" w:hAnsi="Arial" w:cs="Arial"/>
                <w:bCs/>
                <w:sz w:val="16"/>
                <w:szCs w:val="16"/>
                <w:lang w:val="en-US" w:eastAsia="en-US"/>
              </w:rPr>
              <w:t xml:space="preserve"> </w:t>
            </w:r>
            <w:r>
              <w:rPr>
                <w:rFonts w:ascii="Arial" w:hAnsi="Arial" w:cs="Arial"/>
                <w:bCs/>
                <w:sz w:val="16"/>
                <w:szCs w:val="16"/>
                <w:lang w:eastAsia="en-US"/>
              </w:rPr>
              <w:t>для</w:t>
            </w:r>
            <w:r>
              <w:rPr>
                <w:rFonts w:ascii="Arial" w:hAnsi="Arial" w:cs="Arial"/>
                <w:bCs/>
                <w:sz w:val="16"/>
                <w:szCs w:val="16"/>
                <w:lang w:val="en-US" w:eastAsia="en-US"/>
              </w:rPr>
              <w:t xml:space="preserve"> </w:t>
            </w:r>
            <w:r>
              <w:rPr>
                <w:rFonts w:ascii="Arial" w:hAnsi="Arial" w:cs="Arial"/>
                <w:bCs/>
                <w:sz w:val="16"/>
                <w:szCs w:val="16"/>
                <w:lang w:eastAsia="en-US"/>
              </w:rPr>
              <w:t>попередньої</w:t>
            </w:r>
            <w:r>
              <w:rPr>
                <w:rFonts w:ascii="Arial" w:hAnsi="Arial" w:cs="Arial"/>
                <w:bCs/>
                <w:sz w:val="16"/>
                <w:szCs w:val="16"/>
                <w:lang w:val="en-US" w:eastAsia="en-US"/>
              </w:rPr>
              <w:t xml:space="preserve"> </w:t>
            </w:r>
            <w:r>
              <w:rPr>
                <w:rFonts w:ascii="Arial" w:hAnsi="Arial" w:cs="Arial"/>
                <w:bCs/>
                <w:sz w:val="16"/>
                <w:szCs w:val="16"/>
                <w:lang w:eastAsia="en-US"/>
              </w:rPr>
              <w:t>нанофільтрації</w:t>
            </w:r>
            <w:r>
              <w:rPr>
                <w:rFonts w:ascii="Arial" w:hAnsi="Arial" w:cs="Arial"/>
                <w:bCs/>
                <w:sz w:val="16"/>
                <w:szCs w:val="16"/>
                <w:lang w:val="en-US" w:eastAsia="en-US"/>
              </w:rPr>
              <w:t xml:space="preserve"> </w:t>
            </w:r>
            <w:r>
              <w:rPr>
                <w:rFonts w:ascii="Arial" w:hAnsi="Arial" w:cs="Arial"/>
                <w:bCs/>
                <w:sz w:val="16"/>
                <w:szCs w:val="16"/>
                <w:lang w:eastAsia="en-US"/>
              </w:rPr>
              <w:t>проміжного</w:t>
            </w:r>
            <w:r>
              <w:rPr>
                <w:rFonts w:ascii="Arial" w:hAnsi="Arial" w:cs="Arial"/>
                <w:bCs/>
                <w:sz w:val="16"/>
                <w:szCs w:val="16"/>
                <w:lang w:val="en-US" w:eastAsia="en-US"/>
              </w:rPr>
              <w:t xml:space="preserve"> </w:t>
            </w:r>
            <w:r>
              <w:rPr>
                <w:rFonts w:ascii="Arial" w:hAnsi="Arial" w:cs="Arial"/>
                <w:bCs/>
                <w:sz w:val="16"/>
                <w:szCs w:val="16"/>
                <w:lang w:eastAsia="en-US"/>
              </w:rPr>
              <w:t>продукту</w:t>
            </w:r>
            <w:r>
              <w:rPr>
                <w:rFonts w:ascii="Arial" w:hAnsi="Arial" w:cs="Arial"/>
                <w:bCs/>
                <w:sz w:val="16"/>
                <w:szCs w:val="16"/>
                <w:lang w:val="en-US" w:eastAsia="en-US"/>
              </w:rPr>
              <w:t xml:space="preserve"> </w:t>
            </w:r>
            <w:r>
              <w:rPr>
                <w:rFonts w:ascii="Arial" w:hAnsi="Arial" w:cs="Arial"/>
                <w:bCs/>
                <w:sz w:val="16"/>
                <w:szCs w:val="16"/>
                <w:lang w:eastAsia="en-US"/>
              </w:rPr>
              <w:t>при</w:t>
            </w:r>
            <w:r>
              <w:rPr>
                <w:rFonts w:ascii="Arial" w:hAnsi="Arial" w:cs="Arial"/>
                <w:bCs/>
                <w:sz w:val="16"/>
                <w:szCs w:val="16"/>
                <w:lang w:val="en-US" w:eastAsia="en-US"/>
              </w:rPr>
              <w:t xml:space="preserve"> </w:t>
            </w:r>
            <w:r>
              <w:rPr>
                <w:rFonts w:ascii="Arial" w:hAnsi="Arial" w:cs="Arial"/>
                <w:bCs/>
                <w:sz w:val="16"/>
                <w:szCs w:val="16"/>
                <w:lang w:eastAsia="en-US"/>
              </w:rPr>
              <w:t>виробництві</w:t>
            </w:r>
            <w:r>
              <w:rPr>
                <w:rFonts w:ascii="Arial" w:hAnsi="Arial" w:cs="Arial"/>
                <w:bCs/>
                <w:sz w:val="16"/>
                <w:szCs w:val="16"/>
                <w:lang w:val="en-US" w:eastAsia="en-US"/>
              </w:rPr>
              <w:t xml:space="preserve"> </w:t>
            </w:r>
            <w:r>
              <w:rPr>
                <w:rFonts w:ascii="Arial" w:hAnsi="Arial" w:cs="Arial"/>
                <w:bCs/>
                <w:sz w:val="16"/>
                <w:szCs w:val="16"/>
                <w:lang w:eastAsia="en-US"/>
              </w:rPr>
              <w:t>лікарського</w:t>
            </w:r>
            <w:r>
              <w:rPr>
                <w:rFonts w:ascii="Arial" w:hAnsi="Arial" w:cs="Arial"/>
                <w:bCs/>
                <w:sz w:val="16"/>
                <w:szCs w:val="16"/>
                <w:lang w:val="en-US" w:eastAsia="en-US"/>
              </w:rPr>
              <w:t xml:space="preserve"> </w:t>
            </w:r>
            <w:r>
              <w:rPr>
                <w:rFonts w:ascii="Arial" w:hAnsi="Arial" w:cs="Arial"/>
                <w:bCs/>
                <w:sz w:val="16"/>
                <w:szCs w:val="16"/>
                <w:lang w:eastAsia="en-US"/>
              </w:rPr>
              <w:t>засобу</w:t>
            </w:r>
            <w:r>
              <w:rPr>
                <w:rFonts w:ascii="Arial" w:hAnsi="Arial" w:cs="Arial"/>
                <w:bCs/>
                <w:sz w:val="16"/>
                <w:szCs w:val="16"/>
                <w:lang w:val="en-US" w:eastAsia="en-US"/>
              </w:rPr>
              <w:t xml:space="preserve"> </w:t>
            </w:r>
            <w:r>
              <w:rPr>
                <w:rFonts w:ascii="Arial" w:hAnsi="Arial" w:cs="Arial"/>
                <w:bCs/>
                <w:sz w:val="16"/>
                <w:szCs w:val="16"/>
                <w:lang w:eastAsia="en-US"/>
              </w:rPr>
              <w:t>на</w:t>
            </w:r>
            <w:r>
              <w:rPr>
                <w:rFonts w:ascii="Arial" w:hAnsi="Arial" w:cs="Arial"/>
                <w:bCs/>
                <w:sz w:val="16"/>
                <w:szCs w:val="16"/>
                <w:lang w:val="en-US" w:eastAsia="en-US"/>
              </w:rPr>
              <w:t xml:space="preserve"> </w:t>
            </w:r>
            <w:r>
              <w:rPr>
                <w:rFonts w:ascii="Arial" w:hAnsi="Arial" w:cs="Arial"/>
                <w:bCs/>
                <w:sz w:val="16"/>
                <w:szCs w:val="16"/>
                <w:lang w:eastAsia="en-US"/>
              </w:rPr>
              <w:t>дільниці</w:t>
            </w:r>
            <w:r>
              <w:rPr>
                <w:rFonts w:ascii="Arial" w:hAnsi="Arial" w:cs="Arial"/>
                <w:bCs/>
                <w:sz w:val="16"/>
                <w:szCs w:val="16"/>
                <w:lang w:val="en-US" w:eastAsia="en-US"/>
              </w:rPr>
              <w:t xml:space="preserve"> Octapharma </w:t>
            </w:r>
            <w:r>
              <w:rPr>
                <w:rFonts w:ascii="Arial" w:hAnsi="Arial" w:cs="Arial"/>
                <w:bCs/>
                <w:sz w:val="16"/>
                <w:szCs w:val="16"/>
                <w:lang w:eastAsia="en-US"/>
              </w:rPr>
              <w:t>Лінгольшейм</w:t>
            </w:r>
            <w:r>
              <w:rPr>
                <w:rFonts w:ascii="Arial" w:hAnsi="Arial" w:cs="Arial"/>
                <w:bCs/>
                <w:sz w:val="16"/>
                <w:szCs w:val="16"/>
                <w:lang w:val="en-US" w:eastAsia="en-US"/>
              </w:rPr>
              <w:t xml:space="preserve">, </w:t>
            </w:r>
            <w:r>
              <w:rPr>
                <w:rFonts w:ascii="Arial" w:hAnsi="Arial" w:cs="Arial"/>
                <w:bCs/>
                <w:sz w:val="16"/>
                <w:szCs w:val="16"/>
                <w:lang w:eastAsia="en-US"/>
              </w:rPr>
              <w:t>Франція</w:t>
            </w:r>
            <w:r>
              <w:rPr>
                <w:rFonts w:ascii="Arial" w:hAnsi="Arial" w:cs="Arial"/>
                <w:bCs/>
                <w:sz w:val="16"/>
                <w:szCs w:val="16"/>
                <w:lang w:val="en-US" w:eastAsia="en-US"/>
              </w:rPr>
              <w:t xml:space="preserve"> (OSA).</w:t>
            </w:r>
          </w:p>
          <w:p w:rsidR="003D03F3" w:rsidRDefault="003D03F3">
            <w:pPr>
              <w:autoSpaceDE w:val="0"/>
              <w:autoSpaceDN w:val="0"/>
              <w:adjustRightInd w:val="0"/>
              <w:jc w:val="center"/>
              <w:rPr>
                <w:rFonts w:ascii="Segoe UI" w:hAnsi="Segoe UI" w:cs="Segoe UI"/>
                <w:b/>
                <w:bCs/>
                <w:sz w:val="16"/>
                <w:szCs w:val="16"/>
                <w:lang w:val="en-US" w:eastAsia="en-US"/>
              </w:rPr>
            </w:pPr>
            <w:r>
              <w:rPr>
                <w:rFonts w:ascii="Arial" w:hAnsi="Arial" w:cs="Arial"/>
                <w:bCs/>
                <w:sz w:val="16"/>
                <w:szCs w:val="16"/>
                <w:lang w:val="en-US" w:eastAsia="en-US"/>
              </w:rPr>
              <w:t>Затверджено: Pall Pegasus filter.</w:t>
            </w:r>
          </w:p>
          <w:p w:rsidR="003D03F3" w:rsidRDefault="003D03F3">
            <w:pPr>
              <w:autoSpaceDE w:val="0"/>
              <w:autoSpaceDN w:val="0"/>
              <w:adjustRightInd w:val="0"/>
              <w:jc w:val="center"/>
              <w:rPr>
                <w:rFonts w:ascii="Segoe UI" w:hAnsi="Segoe UI" w:cs="Segoe UI"/>
                <w:b/>
                <w:bCs/>
                <w:sz w:val="16"/>
                <w:szCs w:val="16"/>
                <w:lang w:val="en-US" w:eastAsia="en-US"/>
              </w:rPr>
            </w:pPr>
            <w:r>
              <w:rPr>
                <w:rFonts w:ascii="Arial" w:hAnsi="Arial" w:cs="Arial"/>
                <w:bCs/>
                <w:sz w:val="16"/>
                <w:szCs w:val="16"/>
                <w:lang w:val="en-US" w:eastAsia="en-US"/>
              </w:rPr>
              <w:t>Запропоновано: Pall Pegasus filter or Ashi Kasei Planova 75N filter.</w:t>
            </w:r>
          </w:p>
          <w:p w:rsidR="003D03F3" w:rsidRDefault="003D03F3">
            <w:pPr>
              <w:autoSpaceDE w:val="0"/>
              <w:autoSpaceDN w:val="0"/>
              <w:adjustRightInd w:val="0"/>
              <w:jc w:val="center"/>
              <w:rPr>
                <w:rFonts w:ascii="Segoe UI" w:hAnsi="Segoe UI" w:cs="Segoe UI"/>
                <w:b/>
                <w:bCs/>
                <w:sz w:val="16"/>
                <w:szCs w:val="16"/>
                <w:lang w:eastAsia="en-US"/>
              </w:rPr>
            </w:pPr>
            <w:r>
              <w:rPr>
                <w:rFonts w:ascii="Arial" w:hAnsi="Arial" w:cs="Arial"/>
                <w:bCs/>
                <w:sz w:val="16"/>
                <w:szCs w:val="16"/>
                <w:lang w:eastAsia="en-US"/>
              </w:rPr>
              <w:t>Введення редакціних правок без змін у виробничому процесі.</w:t>
            </w:r>
          </w:p>
          <w:p w:rsidR="003D03F3" w:rsidRDefault="003D03F3">
            <w:pPr>
              <w:autoSpaceDE w:val="0"/>
              <w:autoSpaceDN w:val="0"/>
              <w:adjustRightInd w:val="0"/>
              <w:jc w:val="center"/>
              <w:rPr>
                <w:rFonts w:ascii="Segoe UI" w:hAnsi="Segoe UI" w:cs="Segoe UI"/>
                <w:b/>
                <w:bCs/>
                <w:sz w:val="16"/>
                <w:szCs w:val="16"/>
                <w:lang w:eastAsia="en-US"/>
              </w:rPr>
            </w:pPr>
            <w:r>
              <w:rPr>
                <w:rFonts w:ascii="Arial" w:hAnsi="Arial" w:cs="Arial"/>
                <w:bCs/>
                <w:sz w:val="16"/>
                <w:szCs w:val="16"/>
                <w:lang w:eastAsia="en-US"/>
              </w:rPr>
              <w:t>Редакційні зміни до методу приготування (</w:t>
            </w:r>
            <w:r>
              <w:rPr>
                <w:rFonts w:ascii="Arial" w:hAnsi="Arial" w:cs="Arial"/>
                <w:bCs/>
                <w:sz w:val="16"/>
                <w:szCs w:val="16"/>
                <w:lang w:val="en-US" w:eastAsia="en-US"/>
              </w:rPr>
              <w:t>MOP</w:t>
            </w:r>
            <w:r>
              <w:rPr>
                <w:rFonts w:ascii="Arial" w:hAnsi="Arial" w:cs="Arial"/>
                <w:bCs/>
                <w:sz w:val="16"/>
                <w:szCs w:val="16"/>
                <w:lang w:eastAsia="en-US"/>
              </w:rPr>
              <w:t>):</w:t>
            </w:r>
          </w:p>
          <w:p w:rsidR="003D03F3" w:rsidRDefault="003D03F3">
            <w:pPr>
              <w:autoSpaceDE w:val="0"/>
              <w:autoSpaceDN w:val="0"/>
              <w:adjustRightInd w:val="0"/>
              <w:jc w:val="center"/>
              <w:rPr>
                <w:rFonts w:ascii="Segoe UI" w:hAnsi="Segoe UI" w:cs="Segoe UI"/>
                <w:b/>
                <w:bCs/>
                <w:sz w:val="16"/>
                <w:szCs w:val="16"/>
                <w:lang w:eastAsia="en-US"/>
              </w:rPr>
            </w:pPr>
            <w:r>
              <w:rPr>
                <w:rFonts w:ascii="Arial" w:hAnsi="Arial" w:cs="Arial"/>
                <w:bCs/>
                <w:sz w:val="16"/>
                <w:szCs w:val="16"/>
                <w:lang w:eastAsia="en-US"/>
              </w:rPr>
              <w:t>1)Корекція розміру пулу плазми на дільниці Октафарма, Австрія: Затверджено: Від 2500 до 3300 кг або від 2900 до 3200 кг Запропоновано: Від 2500 до 3200 кг.</w:t>
            </w:r>
          </w:p>
          <w:p w:rsidR="003D03F3" w:rsidRDefault="003D03F3">
            <w:pPr>
              <w:autoSpaceDE w:val="0"/>
              <w:autoSpaceDN w:val="0"/>
              <w:adjustRightInd w:val="0"/>
              <w:jc w:val="center"/>
              <w:rPr>
                <w:rFonts w:ascii="Segoe UI" w:hAnsi="Segoe UI" w:cs="Segoe UI"/>
                <w:b/>
                <w:bCs/>
                <w:sz w:val="16"/>
                <w:szCs w:val="16"/>
                <w:lang w:eastAsia="en-US"/>
              </w:rPr>
            </w:pPr>
            <w:r>
              <w:rPr>
                <w:rFonts w:ascii="Arial" w:hAnsi="Arial" w:cs="Arial"/>
                <w:bCs/>
                <w:sz w:val="16"/>
                <w:szCs w:val="16"/>
                <w:lang w:eastAsia="en-US"/>
              </w:rPr>
              <w:t xml:space="preserve">2)Припинення використання розміру 1000 кг кріобідної плазми для необов'язкового відокремлення </w:t>
            </w:r>
            <w:r>
              <w:rPr>
                <w:rFonts w:ascii="Arial" w:hAnsi="Arial" w:cs="Arial"/>
                <w:bCs/>
                <w:sz w:val="16"/>
                <w:szCs w:val="16"/>
                <w:lang w:val="en-US" w:eastAsia="en-US"/>
              </w:rPr>
              <w:t>PPSB</w:t>
            </w:r>
            <w:r>
              <w:rPr>
                <w:rFonts w:ascii="Arial" w:hAnsi="Arial" w:cs="Arial"/>
                <w:bCs/>
                <w:sz w:val="16"/>
                <w:szCs w:val="16"/>
                <w:lang w:eastAsia="en-US"/>
              </w:rPr>
              <w:t xml:space="preserve"> на Октафарма, Австрія:</w:t>
            </w:r>
          </w:p>
          <w:p w:rsidR="003D03F3" w:rsidRDefault="003D03F3">
            <w:pPr>
              <w:autoSpaceDE w:val="0"/>
              <w:autoSpaceDN w:val="0"/>
              <w:adjustRightInd w:val="0"/>
              <w:jc w:val="center"/>
              <w:rPr>
                <w:rFonts w:ascii="Segoe UI" w:hAnsi="Segoe UI" w:cs="Segoe UI"/>
                <w:b/>
                <w:bCs/>
                <w:sz w:val="16"/>
                <w:szCs w:val="16"/>
                <w:lang w:eastAsia="en-US"/>
              </w:rPr>
            </w:pPr>
            <w:r>
              <w:rPr>
                <w:rFonts w:ascii="Arial" w:hAnsi="Arial" w:cs="Arial"/>
                <w:bCs/>
                <w:sz w:val="16"/>
                <w:szCs w:val="16"/>
                <w:lang w:eastAsia="en-US"/>
              </w:rPr>
              <w:t xml:space="preserve">Затверджено: розміри партій 1000 кг і 2000 кг кріобідної плазми схвалено для Октафарма, Австрія для необов'язкового відокремлення </w:t>
            </w:r>
            <w:r>
              <w:rPr>
                <w:rFonts w:ascii="Arial" w:hAnsi="Arial" w:cs="Arial"/>
                <w:bCs/>
                <w:sz w:val="16"/>
                <w:szCs w:val="16"/>
                <w:lang w:val="en-US" w:eastAsia="en-US"/>
              </w:rPr>
              <w:t>PPSB</w:t>
            </w:r>
            <w:r>
              <w:rPr>
                <w:rFonts w:ascii="Arial" w:hAnsi="Arial" w:cs="Arial"/>
                <w:bCs/>
                <w:sz w:val="16"/>
                <w:szCs w:val="16"/>
                <w:lang w:eastAsia="en-US"/>
              </w:rPr>
              <w:t>.</w:t>
            </w:r>
          </w:p>
          <w:p w:rsidR="003D03F3" w:rsidRDefault="003D03F3">
            <w:pPr>
              <w:autoSpaceDE w:val="0"/>
              <w:autoSpaceDN w:val="0"/>
              <w:adjustRightInd w:val="0"/>
              <w:jc w:val="center"/>
              <w:rPr>
                <w:rFonts w:ascii="Segoe UI" w:hAnsi="Segoe UI" w:cs="Segoe UI"/>
                <w:b/>
                <w:bCs/>
                <w:sz w:val="16"/>
                <w:szCs w:val="16"/>
                <w:lang w:eastAsia="en-US"/>
              </w:rPr>
            </w:pPr>
            <w:r>
              <w:rPr>
                <w:rFonts w:ascii="Arial" w:hAnsi="Arial" w:cs="Arial"/>
                <w:bCs/>
                <w:sz w:val="16"/>
                <w:szCs w:val="16"/>
                <w:lang w:eastAsia="en-US"/>
              </w:rPr>
              <w:t>Запропоновано: розмір партії 2000 кг кріобідної плазми</w:t>
            </w:r>
          </w:p>
          <w:p w:rsidR="003D03F3" w:rsidRDefault="003D03F3">
            <w:pPr>
              <w:autoSpaceDE w:val="0"/>
              <w:autoSpaceDN w:val="0"/>
              <w:adjustRightInd w:val="0"/>
              <w:jc w:val="center"/>
              <w:rPr>
                <w:rFonts w:ascii="Segoe UI" w:hAnsi="Segoe UI" w:cs="Segoe UI"/>
                <w:b/>
                <w:bCs/>
                <w:sz w:val="16"/>
                <w:szCs w:val="16"/>
                <w:lang w:eastAsia="en-US"/>
              </w:rPr>
            </w:pPr>
            <w:r>
              <w:rPr>
                <w:rFonts w:ascii="Arial" w:hAnsi="Arial" w:cs="Arial"/>
                <w:bCs/>
                <w:sz w:val="16"/>
                <w:szCs w:val="16"/>
                <w:lang w:eastAsia="en-US"/>
              </w:rPr>
              <w:t>3)Видалення пляшок об’ємом 70 мл та 100 мл на лінії розливу 4 виробничої дільниці Октафарма, Автрія, оскільки вони більше не використовуються.</w:t>
            </w:r>
          </w:p>
          <w:p w:rsidR="003D03F3" w:rsidRDefault="003D03F3">
            <w:pPr>
              <w:autoSpaceDE w:val="0"/>
              <w:autoSpaceDN w:val="0"/>
              <w:adjustRightInd w:val="0"/>
              <w:jc w:val="center"/>
              <w:rPr>
                <w:rFonts w:ascii="Segoe UI" w:hAnsi="Segoe UI" w:cs="Segoe UI"/>
                <w:b/>
                <w:bCs/>
                <w:sz w:val="16"/>
                <w:szCs w:val="16"/>
                <w:lang w:eastAsia="en-US"/>
              </w:rPr>
            </w:pPr>
            <w:r>
              <w:rPr>
                <w:rFonts w:ascii="Arial" w:hAnsi="Arial" w:cs="Arial"/>
                <w:bCs/>
                <w:sz w:val="16"/>
                <w:szCs w:val="16"/>
                <w:lang w:eastAsia="en-US"/>
              </w:rPr>
              <w:t xml:space="preserve">4)Адаптація критеріїв прийнятності відповідно до </w:t>
            </w:r>
            <w:r>
              <w:rPr>
                <w:rFonts w:ascii="Arial" w:hAnsi="Arial" w:cs="Arial"/>
                <w:bCs/>
                <w:sz w:val="16"/>
                <w:szCs w:val="16"/>
                <w:lang w:val="en-US" w:eastAsia="en-US"/>
              </w:rPr>
              <w:t>Eur</w:t>
            </w:r>
            <w:r>
              <w:rPr>
                <w:rFonts w:ascii="Arial" w:hAnsi="Arial" w:cs="Arial"/>
                <w:bCs/>
                <w:sz w:val="16"/>
                <w:szCs w:val="16"/>
                <w:lang w:eastAsia="en-US"/>
              </w:rPr>
              <w:t xml:space="preserve">. </w:t>
            </w:r>
            <w:r>
              <w:rPr>
                <w:rFonts w:ascii="Arial" w:hAnsi="Arial" w:cs="Arial"/>
                <w:bCs/>
                <w:sz w:val="16"/>
                <w:szCs w:val="16"/>
                <w:lang w:val="en-US" w:eastAsia="en-US"/>
              </w:rPr>
              <w:t>Ph</w:t>
            </w:r>
            <w:r>
              <w:rPr>
                <w:rFonts w:ascii="Arial" w:hAnsi="Arial" w:cs="Arial"/>
                <w:bCs/>
                <w:sz w:val="16"/>
                <w:szCs w:val="16"/>
                <w:lang w:eastAsia="en-US"/>
              </w:rPr>
              <w:t xml:space="preserve">. </w:t>
            </w:r>
            <w:r>
              <w:rPr>
                <w:rFonts w:ascii="Arial" w:hAnsi="Arial" w:cs="Arial"/>
                <w:bCs/>
                <w:sz w:val="16"/>
                <w:szCs w:val="16"/>
                <w:lang w:val="en-US" w:eastAsia="en-US"/>
              </w:rPr>
              <w:t>Version</w:t>
            </w:r>
            <w:r>
              <w:rPr>
                <w:rFonts w:ascii="Arial" w:hAnsi="Arial" w:cs="Arial"/>
                <w:bCs/>
                <w:sz w:val="16"/>
                <w:szCs w:val="16"/>
                <w:lang w:eastAsia="en-US"/>
              </w:rPr>
              <w:t xml:space="preserve"> 10.3, оновлений розділ 5.1.12, для депірогенізації первинних пакувальних матеріалів з ≥ 3 </w:t>
            </w:r>
            <w:r>
              <w:rPr>
                <w:rFonts w:ascii="Arial" w:hAnsi="Arial" w:cs="Arial"/>
                <w:bCs/>
                <w:sz w:val="16"/>
                <w:szCs w:val="16"/>
                <w:lang w:val="en-US" w:eastAsia="en-US"/>
              </w:rPr>
              <w:t>log</w:t>
            </w:r>
            <w:r>
              <w:rPr>
                <w:rFonts w:ascii="Arial" w:hAnsi="Arial" w:cs="Arial"/>
                <w:bCs/>
                <w:sz w:val="16"/>
                <w:szCs w:val="16"/>
                <w:lang w:eastAsia="en-US"/>
              </w:rPr>
              <w:t xml:space="preserve">10 на ≥ 3,0 </w:t>
            </w:r>
            <w:r>
              <w:rPr>
                <w:rFonts w:ascii="Arial" w:hAnsi="Arial" w:cs="Arial"/>
                <w:bCs/>
                <w:sz w:val="16"/>
                <w:szCs w:val="16"/>
                <w:lang w:val="en-US" w:eastAsia="en-US"/>
              </w:rPr>
              <w:t>log</w:t>
            </w:r>
            <w:r>
              <w:rPr>
                <w:rFonts w:ascii="Arial" w:hAnsi="Arial" w:cs="Arial"/>
                <w:bCs/>
                <w:sz w:val="16"/>
                <w:szCs w:val="16"/>
                <w:lang w:eastAsia="en-US"/>
              </w:rPr>
              <w:t>10.</w:t>
            </w:r>
          </w:p>
          <w:p w:rsidR="003D03F3" w:rsidRDefault="003D03F3">
            <w:pPr>
              <w:pStyle w:val="110"/>
              <w:tabs>
                <w:tab w:val="left" w:pos="12600"/>
              </w:tabs>
              <w:jc w:val="center"/>
              <w:rPr>
                <w:rFonts w:ascii="Arial" w:hAnsi="Arial" w:cs="Arial"/>
                <w:sz w:val="16"/>
                <w:szCs w:val="16"/>
                <w:lang w:val="ru-RU"/>
              </w:rPr>
            </w:pP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UA/17142/01/01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ПАНКРЕАТИН-ЗДОРОВ'Я ФОРТЕ 14000</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оболонкою, кишковорозчинні; по 10 таблеток у блістері; по 1, або по 2, або по 5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Товариство з обмеженою відповідальністю "Фармацевтична компанія "Здоров'я"</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всі стадії виробництва, контроль якості, випуск серії:</w:t>
            </w:r>
            <w:r>
              <w:rPr>
                <w:rFonts w:ascii="Arial" w:hAnsi="Arial" w:cs="Arial"/>
                <w:sz w:val="16"/>
                <w:szCs w:val="16"/>
              </w:rPr>
              <w:br/>
              <w:t xml:space="preserve">Товариство з обмеженою відповідальністю "Фармацевтична компанія "Здоров'я" </w:t>
            </w:r>
            <w:r>
              <w:rPr>
                <w:rFonts w:ascii="Arial" w:hAnsi="Arial" w:cs="Arial"/>
                <w:sz w:val="16"/>
                <w:szCs w:val="16"/>
              </w:rPr>
              <w:br/>
              <w:t>Україна;</w:t>
            </w:r>
            <w:r>
              <w:rPr>
                <w:rFonts w:ascii="Arial" w:hAnsi="Arial" w:cs="Arial"/>
                <w:sz w:val="16"/>
                <w:szCs w:val="16"/>
              </w:rPr>
              <w:br/>
              <w:t>всі стадії виробництва, контроль якості, випуск серії:</w:t>
            </w:r>
            <w:r>
              <w:rPr>
                <w:rFonts w:ascii="Arial" w:hAnsi="Arial" w:cs="Arial"/>
                <w:sz w:val="16"/>
                <w:szCs w:val="16"/>
              </w:rPr>
              <w:br/>
              <w:t>Товариство з обмеженою відповідальністю "ФАРМЕКС ГРУП"</w:t>
            </w:r>
            <w:r>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виробничої дільниці, що відповідає за випуск серії ТОВ “ФАРМЕКС ГРУП”, Україна (Україна, 08301, Київська обл., м. Бориспіль, вул. Шевченка, буд. 100).</w:t>
            </w:r>
            <w:r>
              <w:rPr>
                <w:rFonts w:ascii="Arial" w:hAnsi="Arial" w:cs="Arial"/>
                <w:sz w:val="16"/>
                <w:szCs w:val="16"/>
              </w:rPr>
              <w:br/>
              <w:t xml:space="preserve">Зміни внесені в розділи "Виробник" та "Місцезнаходження виробника та адреса місця провадження його діяльності" в інструкцію для медичного застосування у зв"язку з введенням додаткової виробничої дільниці та як наслідок - відповідні зміни у тексті маркування упаковки лікарського засобу.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UA/7381/01/02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ПАПАВЕРИН-ДАРНИЦЯ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розчин для ін'єкцій, 20 мг/мл по 2 мл в ампулі; по 5 ампул у контурній чарунковій упаковці; по 2 контурні чарункові упаковки в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До Тексту маркування лікарського засобу вносяться незначні зміни, а саме: маркування викладено лише українською мовою та у п. 17 доповнено технічною інформацією щодо нанесення QR-коду на вторинну упаковку.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UA/3112/01/01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ПАРАЦЕТАМОЛ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супозиторії ректальні по 0,08 г, по 5 супозиторіїв у стрипі; по 2 стрипи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ПАТ "Монфарм"</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ПАТ "Монфарм"</w:t>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 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ПАТ "Монфарм", Україна, без зміни місця виробництва.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Совгира Сергій Сергійович. Пропонована редакція: Пастушенко Інна Вікторівна.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UA/5984/01/01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ПАРАЦЕТАМОЛ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супозиторії ректальні по 0,17 г, по 5 супозиторіїв у стрипі; по 2 стрипи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ПАТ "Монфарм"</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ПАТ "Монфарм"</w:t>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 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ПАТ "Монфарм", Україна, без зміни місця виробництва.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Совгира Сергій Сергійович. Пропонована редакція: Пастушенко Інна Вікторівна.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UA/5984/01/02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ПАРАЦЕТАМОЛ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супозиторії ректальні по 0,33 г, по 5 супозиторіїв у стрипі; по 2 стрипи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ПАТ "Монфарм"</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ПАТ "Монфарм"</w:t>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 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ПАТ "Монфарм", Україна, без зміни місця виробництва.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Совгира Сергій Сергійович. Пропонована редакція: Пастушенко Інна Вікторівна.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UA/5984/01/03</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ПАРАЦЕТАМОЛ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капсули по 500 мг по 10 капсул у блістері; по 1 або 2 блістери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Товариство з обмеженою відповідальністю "Фармацевтична компанія "Здоров'я"</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всі стадії виробництва, контроль якості, випуск серії:</w:t>
            </w:r>
            <w:r>
              <w:rPr>
                <w:rFonts w:ascii="Arial" w:hAnsi="Arial" w:cs="Arial"/>
                <w:sz w:val="16"/>
                <w:szCs w:val="16"/>
              </w:rPr>
              <w:br/>
              <w:t>Товариство з обмеженою відповідальністю "Фармацевтична компанія "Здоров'я"</w:t>
            </w:r>
            <w:r>
              <w:rPr>
                <w:rFonts w:ascii="Arial" w:hAnsi="Arial" w:cs="Arial"/>
                <w:sz w:val="16"/>
                <w:szCs w:val="16"/>
              </w:rPr>
              <w:br/>
              <w:t xml:space="preserve">Україна; </w:t>
            </w:r>
            <w:r>
              <w:rPr>
                <w:rFonts w:ascii="Arial" w:hAnsi="Arial" w:cs="Arial"/>
                <w:sz w:val="16"/>
                <w:szCs w:val="16"/>
              </w:rPr>
              <w:br/>
              <w:t>всі стадії виробництва, контроль якості, випуск серії:</w:t>
            </w:r>
            <w:r>
              <w:rPr>
                <w:rFonts w:ascii="Arial" w:hAnsi="Arial" w:cs="Arial"/>
                <w:sz w:val="16"/>
                <w:szCs w:val="16"/>
              </w:rPr>
              <w:br/>
              <w:t>Товариство з обмеженою відповідальністю "ФАРМЕКС ГРУП"</w:t>
            </w:r>
            <w:r>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виробничої дільниці, що відповідає за випуск серії ТОВ “ФАРМЕКС ГРУП”, Україна (Україна, 08301, Київська обл., м. Бориспіль, вул. Шевченка, буд. 100). </w:t>
            </w:r>
            <w:r>
              <w:rPr>
                <w:rFonts w:ascii="Arial" w:hAnsi="Arial" w:cs="Arial"/>
                <w:sz w:val="16"/>
                <w:szCs w:val="16"/>
              </w:rPr>
              <w:br/>
              <w:t>Зміни внесені в розділи "Виробник" та "Місцезнаходження виробника та адреса місця провадження його діяльності" в інструкцію для медичного застосування щодо додавання виробничої дільниці та як наслідок - затвердження додаткового тексту маркування упаковки лікарського засобу.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UA/11685/01/01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ПАРАЦЕТАМОЛ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кристалічний порошок (субстанція) у подвійних поліетиленових пакетах або двошарових насипних мішках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Шеньчжоу Цзіхен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в методику випробування за показником «Супровідні домішки» для приведення до монографії «Paracetamol» ЄФ, 10.7 з відповідними змінами в МКЯ на АФІ, а саме: </w:t>
            </w:r>
            <w:r>
              <w:rPr>
                <w:rFonts w:ascii="Arial" w:hAnsi="Arial" w:cs="Arial"/>
                <w:sz w:val="16"/>
                <w:szCs w:val="16"/>
              </w:rPr>
              <w:br/>
              <w:t xml:space="preserve">- при описі приготування випробовуваного розчину додано кількість метанолу Р, в якому розчиняють наважку; </w:t>
            </w:r>
            <w:r>
              <w:rPr>
                <w:rFonts w:ascii="Arial" w:hAnsi="Arial" w:cs="Arial"/>
                <w:sz w:val="16"/>
                <w:szCs w:val="16"/>
              </w:rPr>
              <w:br/>
              <w:t xml:space="preserve">- змінено пробопідготовку розчинів порівняння (b) та (с); </w:t>
            </w:r>
            <w:r>
              <w:rPr>
                <w:rFonts w:ascii="Arial" w:hAnsi="Arial" w:cs="Arial"/>
                <w:sz w:val="16"/>
                <w:szCs w:val="16"/>
              </w:rPr>
              <w:br/>
              <w:t xml:space="preserve">- додано приготування розчинів порівняння (d) та (е); </w:t>
            </w:r>
            <w:r>
              <w:rPr>
                <w:rFonts w:ascii="Arial" w:hAnsi="Arial" w:cs="Arial"/>
                <w:sz w:val="16"/>
                <w:szCs w:val="16"/>
              </w:rPr>
              <w:br/>
              <w:t xml:space="preserve">- змінено розміри колонки та нерухомої фази; </w:t>
            </w:r>
            <w:r>
              <w:rPr>
                <w:rFonts w:ascii="Arial" w:hAnsi="Arial" w:cs="Arial"/>
                <w:sz w:val="16"/>
                <w:szCs w:val="16"/>
              </w:rPr>
              <w:br/>
              <w:t xml:space="preserve">- змінено програму градієнту; </w:t>
            </w:r>
            <w:r>
              <w:rPr>
                <w:rFonts w:ascii="Arial" w:hAnsi="Arial" w:cs="Arial"/>
                <w:sz w:val="16"/>
                <w:szCs w:val="16"/>
              </w:rPr>
              <w:br/>
              <w:t>- змінено об’єм інжекції;</w:t>
            </w:r>
            <w:r>
              <w:rPr>
                <w:rFonts w:ascii="Arial" w:hAnsi="Arial" w:cs="Arial"/>
                <w:sz w:val="16"/>
                <w:szCs w:val="16"/>
              </w:rPr>
              <w:br/>
              <w:t>- змінено розчини для ідентифікації піків та розрахунку вмісту домішок</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UA/15280/01/01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ПАРАЦЕТАМОЛ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супозиторії ректальні по 80 мг; по 5 супозиторіїв у стрипі; по 2 стрипи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"ФАРМЕКС ГРУП"</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рекомендації PRAC EMA.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 xml:space="preserve">без рецепта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UA/13185/01/01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ПАРАЦЕТАМОЛ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супозиторії ректальні по 150 мг; по 5 супозиторіїв у стрипі; по 2 стрипи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"ФАРМЕКС ГРУП"</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рекомендації PRAC EMA.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 xml:space="preserve">без рецепта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pStyle w:val="110"/>
              <w:tabs>
                <w:tab w:val="left" w:pos="12600"/>
              </w:tabs>
              <w:jc w:val="center"/>
              <w:rPr>
                <w:sz w:val="16"/>
                <w:szCs w:val="16"/>
              </w:rPr>
            </w:pPr>
            <w:r>
              <w:rPr>
                <w:rFonts w:ascii="Arial" w:hAnsi="Arial" w:cs="Arial"/>
                <w:i/>
                <w:sz w:val="16"/>
                <w:szCs w:val="16"/>
                <w:lang w:val="ru-RU"/>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UA/13185/01/02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ПЕРИНДОПРИЛ 2/ІНДАПАМІД 0,625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по 2 мг/0,625 мг, по 10 таблеток у блістері; по 3 або 9 блістерів у картонній коробці; по 15 таблеток у блістері; по 2 або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Словенія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КРКА, д.д., Ново место, Словенія (виробництво "in bulk", первинне та вторинне пакування, контроль та випуск серії); КРКА, д.д., Ново место, Словенія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spacing w:after="240"/>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(Ноліпрел® 2,0 мг/0,625 мг, таблетки; Ноліпрел® Форте 4,0 мг/1,25 мг, таблетки). Введення змін протягом 6-ти місяців після затвердження</w:t>
            </w:r>
            <w:r>
              <w:rPr>
                <w:rFonts w:ascii="Arial" w:hAnsi="Arial" w:cs="Arial"/>
                <w:sz w:val="16"/>
                <w:szCs w:val="16"/>
              </w:rPr>
              <w:br/>
              <w:t xml:space="preserve">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згідно з інформацією щодо медичного застосування референтного лікарського засобу (Ноліпрел® 2,0 мг/0,625 мг, таблетки; Ноліпрел® Форте 4,0 мг/1,25 мг, таблетки). </w:t>
            </w:r>
            <w:r>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розділи "Побічні реакції" відповідно до оновленої інформації з безпеки діючої речовини. Введення змін протягом 6-ти місяців після затвердження</w:t>
            </w:r>
            <w:r>
              <w:rPr>
                <w:rFonts w:ascii="Arial" w:hAnsi="Arial" w:cs="Arial"/>
                <w:sz w:val="16"/>
                <w:szCs w:val="16"/>
              </w:rPr>
              <w:b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pStyle w:val="110"/>
              <w:tabs>
                <w:tab w:val="left" w:pos="12600"/>
              </w:tabs>
              <w:jc w:val="center"/>
              <w:rPr>
                <w:sz w:val="16"/>
                <w:szCs w:val="16"/>
              </w:rPr>
            </w:pPr>
            <w:r>
              <w:rPr>
                <w:rFonts w:ascii="Arial" w:hAnsi="Arial" w:cs="Arial"/>
                <w:i/>
                <w:sz w:val="16"/>
                <w:szCs w:val="16"/>
                <w:lang w:val="ru-RU"/>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UA/15257/01/01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ПЕРИНДОПРИЛ 4/ІНДАПАМІД 1,25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по 4 мг/1,25 мг, по 10 таблеток у блістері; по 3 або 9 блістерів у картонній коробці; по 15 таблеток у блістері; по 2 або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Словенія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КРКА, д.д., Ново место, Словенія (виробництво "in bulk", первинне та вторинне пакування, контроль та випуск серії); КРКА, д.д., Ново место, Словенія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spacing w:after="240"/>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(Ноліпрел® 2,0 мг/0,625 мг, таблетки; Ноліпрел® Форте 4,0 мг/1,25 мг, таблетки). Введення змін протягом 6-ти місяців після затвердження</w:t>
            </w:r>
            <w:r>
              <w:rPr>
                <w:rFonts w:ascii="Arial" w:hAnsi="Arial" w:cs="Arial"/>
                <w:sz w:val="16"/>
                <w:szCs w:val="16"/>
              </w:rPr>
              <w:br/>
              <w:t xml:space="preserve">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згідно з інформацією щодо медичного застосування референтного лікарського засобу (Ноліпрел® 2,0 мг/0,625 мг, таблетки; Ноліпрел® Форте 4,0 мг/1,25 мг, таблетки). </w:t>
            </w:r>
            <w:r>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розділи "Побічні реакції" відповідно до оновленої інформації з безпеки діючої речовини. Введення змін протягом 6-ти місяців після затвердження</w:t>
            </w:r>
            <w:r>
              <w:rPr>
                <w:rFonts w:ascii="Arial" w:hAnsi="Arial" w:cs="Arial"/>
                <w:sz w:val="16"/>
                <w:szCs w:val="16"/>
              </w:rPr>
              <w:b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pStyle w:val="110"/>
              <w:tabs>
                <w:tab w:val="left" w:pos="12600"/>
              </w:tabs>
              <w:jc w:val="center"/>
              <w:rPr>
                <w:sz w:val="16"/>
                <w:szCs w:val="16"/>
              </w:rPr>
            </w:pPr>
            <w:r>
              <w:rPr>
                <w:rFonts w:ascii="Arial" w:hAnsi="Arial" w:cs="Arial"/>
                <w:i/>
                <w:sz w:val="16"/>
                <w:szCs w:val="16"/>
                <w:lang w:val="ru-RU"/>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UA/15257/01/02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ПЕРИНДОПРИЛ 8 /ІНДАПАМІД 2,5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по 8 мг/2,5 мг; по 10 таблеток у блістері; по 3 або 9 блістерів у картонній коробці; по 15 таблеток у блістері; по 2 або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Словенія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КРКА, д.д., Ново место, Словенія (виробництво "in bulk", первинне та вторинне пакування, контроль та випуск серії); КРКА, д.д., Ново место, Словенія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spacing w:after="240"/>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(Ноліпрел® 2,0 мг/0,625 мг, таблетки; Ноліпрел® Форте 4,0 мг/1,25 мг, таблетки). Введення змін протягом 6-ти місяців після затвердження</w:t>
            </w:r>
            <w:r>
              <w:rPr>
                <w:rFonts w:ascii="Arial" w:hAnsi="Arial" w:cs="Arial"/>
                <w:sz w:val="16"/>
                <w:szCs w:val="16"/>
              </w:rPr>
              <w:br/>
              <w:t xml:space="preserve">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згідно з інформацією щодо медичного застосування референтного лікарського засобу (Ноліпрел® 2,0 мг/0,625 мг, таблетки; Ноліпрел® Форте 4,0 мг/1,25 мг, таблетки). </w:t>
            </w:r>
            <w:r>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розділи "Побічні реакції" відповідно до оновленої інформації з безпеки діючої речовини. Введення змін протягом 6-ти місяців після затвердження</w:t>
            </w:r>
            <w:r>
              <w:rPr>
                <w:rFonts w:ascii="Arial" w:hAnsi="Arial" w:cs="Arial"/>
                <w:sz w:val="16"/>
                <w:szCs w:val="16"/>
              </w:rPr>
              <w:b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pStyle w:val="110"/>
              <w:tabs>
                <w:tab w:val="left" w:pos="12600"/>
              </w:tabs>
              <w:jc w:val="center"/>
              <w:rPr>
                <w:sz w:val="16"/>
                <w:szCs w:val="16"/>
              </w:rPr>
            </w:pPr>
            <w:r>
              <w:rPr>
                <w:rFonts w:ascii="Arial" w:hAnsi="Arial" w:cs="Arial"/>
                <w:i/>
                <w:sz w:val="16"/>
                <w:szCs w:val="16"/>
                <w:lang w:val="ru-RU"/>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UA/15257/01/03</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ПІАСКЛЕДИН® 300</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капсули; по 15 капсул у блістері; по 1 або по 2 блістери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Лаборатуар Експансьєнс</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Францiя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Лаборатуар Експансьєнс</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Вилучення методу випробування "Залишок при спалюванні" для діючої речовини олії авокадо неомилюваних сполук, оскільки альтернативний метод "Вміст мила" вже затверджений.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Вилучення методу випробування "Залишок при спалюванні" для діючої речовини олії сої неомилюваних сполук, оскільки альтернативний метод "Вміст мила" вже затверджений</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UA/13173/01/01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ПІКОВІТ®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оболонкою по 15 таблеток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Словенія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відповідальний за виробництво "in bulk", первинну упаковку, вторинну упаковку: КРКА, д.д., Ново место, Словенія; відповідальний за контроль серії: КРКА, д.д., Ново место, Словенія; відповідальний за контроль та випуск серії: КРКА, д.д., Ново место, Словенія; </w:t>
            </w:r>
            <w:r>
              <w:rPr>
                <w:rFonts w:ascii="Arial" w:hAnsi="Arial" w:cs="Arial"/>
                <w:sz w:val="16"/>
                <w:szCs w:val="16"/>
              </w:rPr>
              <w:br/>
              <w:t xml:space="preserve">відповідальний за контроль серії: КРКА, д.д., Ново место, Словенія; відповідальний за контроль серії: НЛЗОХ (Національні лабораторія за здрав'є, околє ін храно),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до розділу "Побічні реакції" щодо безпеки застосування лікарського засобу.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UA/8268/02/01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ПІКОВІТ®ФОРТЕ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оболонкою; по 15 таблеток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Словенія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відповідальний за виробництво "in bulk", первинну упаковку, вторинну упаковку: КРКА, д.д., Ново место, Словенія; відповідальний за контроль серій: КРКА, д.д., Ново место, Словенія; відповідальний за контроль та випуск серій: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до розділу "Побічні реакції" щодо безпеки застосування лікарського засобу.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UA/8268/02/02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ПІРАНТЕЛ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суспензія оральна, 250 мг/5 мл, по 15 мл у флаконі; по 1 флакону з дозуючою скляночкою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"ДКП "Фармацевтична фабрика"</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"ДКП "Фармацевтична фабрика"</w:t>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Зміна назви ГЛЗ у зв'язку з маркетинговою політикою компанії. Діюча редакція: ПІРАНТЕЛ-ВІШФА. Пропонована редакція: ПІРАНТЕЛ. </w:t>
            </w:r>
            <w:r>
              <w:rPr>
                <w:rFonts w:ascii="Arial" w:hAnsi="Arial" w:cs="Arial"/>
                <w:sz w:val="16"/>
                <w:szCs w:val="16"/>
              </w:rPr>
              <w:br/>
              <w:t>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UA/10686/01/01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ПІРИДОКСИН-ДАРНИЦЯ (ВІТАМІН В6-ДАРНИЦЯ)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spacing w:after="240"/>
              <w:rPr>
                <w:rFonts w:ascii="Arial" w:hAnsi="Arial" w:cs="Arial"/>
                <w:sz w:val="16"/>
                <w:szCs w:val="16"/>
              </w:rPr>
            </w:pPr>
            <w:r>
              <w:rPr>
                <w:rFonts w:ascii="Arial" w:hAnsi="Arial" w:cs="Arial"/>
                <w:sz w:val="16"/>
                <w:szCs w:val="16"/>
              </w:rPr>
              <w:t>розчин для ін'єкцій, 50 мг/мл, по 1 мл в ампулі, по 5 ампул у контурній чарунковій упаковці; по 2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зміни внесено в текст маркування вторинної упаковки лікарського засобу, а саме вилучено текст, викладений російською мовою, та доповнено п. 17 ІНШЕ інформацією щодо нанесення QR-коду.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UA/5420/01/01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ПІРОКСИКАМ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по 0,01 г; по 10 таблеток у блістерах; по 10 таблеток у блістері; по 1 або 2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ПАТ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Pr>
                <w:rFonts w:ascii="Arial" w:hAnsi="Arial" w:cs="Arial"/>
                <w:sz w:val="16"/>
                <w:szCs w:val="16"/>
              </w:rPr>
              <w:br/>
              <w:t>Зміни внесено до Інструкції для медичного застосування лікарського засобу до розділу "Застосування у період вагітності або годування груддю" щодо безпеки застосування лікарського засобу. Термін введення змін - протягом 3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UA/2058/01/01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ПОЛІДЕКСА З ФЕНІЛЕФРИНОМ</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спрей назальний, розчин, по 15 мл у флаконі з розпилювачем;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Лабораторії Бушара Рекордаті</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Францiя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Софартекс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незначні зміни в п.3.2.P.4.2.Аналітичні методики, а саме в методиці випробування допоміжньої речовини літію хлориду за показником «Assay method for Lithium chloride» (титрування)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UA/2831/01/01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ПРЕВИМІС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таблетки, вкриті плівковою оболонкою, по 240 мг; 4 блістери по 7 таблеток в кожному (28 таблеток)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Швейцарія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виробництво, аналітичне тестування:</w:t>
            </w:r>
            <w:r>
              <w:rPr>
                <w:rFonts w:ascii="Arial" w:hAnsi="Arial" w:cs="Arial"/>
                <w:sz w:val="16"/>
                <w:szCs w:val="16"/>
              </w:rPr>
              <w:br/>
              <w:t xml:space="preserve">МСД Інтернешнл ГмбХ / МСД Ірландія (Беллідайн), Ірландія; </w:t>
            </w:r>
            <w:r>
              <w:rPr>
                <w:rFonts w:ascii="Arial" w:hAnsi="Arial" w:cs="Arial"/>
                <w:sz w:val="16"/>
                <w:szCs w:val="16"/>
              </w:rPr>
              <w:br/>
              <w:t>первинне та вторинне пакування, дозвіл на випуск серії:</w:t>
            </w:r>
            <w:r>
              <w:rPr>
                <w:rFonts w:ascii="Arial" w:hAnsi="Arial" w:cs="Arial"/>
                <w:sz w:val="16"/>
                <w:szCs w:val="16"/>
              </w:rPr>
              <w:br/>
              <w:t xml:space="preserve">Органон Хейст бв, Бельгія </w:t>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Ірландія/Бельгія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відповідального за вторинне пакування, аналітичне тестування, тестування стабільності та дозвіл на випуск серії з корекцією адреси, без зміни місця виробництва. Затверджено: Шерінг-Плау Лабо Н.В., Бельгія, Індустрієпарк 30, Хейст-оп-ден-Берг,2220, Бельгія / Schering-Plough Labo NV, Belgium, Industriepark 30, Heist-op-den-Berg, 2220, Belgium. Запропоновано: Органон Хейст бв, Бельгія, Індустрієпарк 30, 2220 Хейст-оп-ден-Берг, Бельгія / Organon Heist bv, Belgium, Industriepark 30, 2220 Heist-op-den-Berg, Belgium.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відповідального за тестування стабільності діючої речовини – летермовір з внесенням змін до матеріалів реєстраційного досьє, розділу 3.2.S.2.1. Виробник(и). Затверджено: Merck Sharp &amp; Dohme Corp., USA. Запропоновано: Merck Sharp &amp; Dohme LLC,USA.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до матеріалів реєстраційного досьє, розділу 3.2.Р.3.1. Виробник(и) дільниці, на якій здійснюється тестування стабільності ГЛЗ Merck Sharp &amp; Dohme LLC 4633 Merck Road, Wilson, North Carolina 27893, USA.</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UA/19168/01/01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ПРЕДНІЗОЛОН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розчин для ін'єкцій, 30 мг/мл, по 1 мл в ампулі; по 5 ампул у блістері; по 1 блістеру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ТОВ "ФЗ "БІОФАРМА"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w:t>
            </w:r>
          </w:p>
          <w:p w:rsidR="003D03F3" w:rsidRDefault="003D03F3">
            <w:pPr>
              <w:pStyle w:val="110"/>
              <w:tabs>
                <w:tab w:val="left" w:pos="12600"/>
              </w:tabs>
              <w:jc w:val="center"/>
              <w:rPr>
                <w:rFonts w:ascii="Arial" w:hAnsi="Arial" w:cs="Arial"/>
                <w:sz w:val="16"/>
                <w:szCs w:val="16"/>
              </w:rPr>
            </w:pPr>
            <w:r>
              <w:rPr>
                <w:rFonts w:ascii="Arial" w:hAnsi="Arial" w:cs="Arial"/>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новим показником якості та відповідним методом випробування «Бактеріальні ендотоксини», «Мікробіологічна чистота»;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у специфікації АФІ (преднізолону натрію фосфату), а саме введення спектрофотометричний метод для визначення кількісного вмісту преднізолону натрію фосфату (ДФУ 2.2.25), додатковий метод ВЕРХ (ДФУ 2.2.29) також зазначено у специфікації</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UA/1889/01/01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РАБЕПРАЗОЛ-ЗДОРОВ'Я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кишковорозчинні по 10 мг по 10 таблеток у блістері; по 1 або 2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Товариство з обмеженою відповідальністю "Фармацевтична компанія "Здоров'я"</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всі стадії виробництва, контроль якості, випуск серії:</w:t>
            </w:r>
            <w:r>
              <w:rPr>
                <w:rFonts w:ascii="Arial" w:hAnsi="Arial" w:cs="Arial"/>
                <w:sz w:val="16"/>
                <w:szCs w:val="16"/>
              </w:rPr>
              <w:br/>
              <w:t>Товариство з обмеженою відповідальністю "Фармацевтична компанія "Здоров'я"</w:t>
            </w:r>
            <w:r>
              <w:rPr>
                <w:rFonts w:ascii="Arial" w:hAnsi="Arial" w:cs="Arial"/>
                <w:sz w:val="16"/>
                <w:szCs w:val="16"/>
              </w:rPr>
              <w:br/>
              <w:t xml:space="preserve">Україна;  </w:t>
            </w:r>
            <w:r>
              <w:rPr>
                <w:rFonts w:ascii="Arial" w:hAnsi="Arial" w:cs="Arial"/>
                <w:sz w:val="16"/>
                <w:szCs w:val="16"/>
              </w:rPr>
              <w:br/>
              <w:t>всі стадії виробництва, контроль якості, випуск серії:</w:t>
            </w:r>
            <w:r>
              <w:rPr>
                <w:rFonts w:ascii="Arial" w:hAnsi="Arial" w:cs="Arial"/>
                <w:sz w:val="16"/>
                <w:szCs w:val="16"/>
              </w:rPr>
              <w:br/>
              <w:t>Товариство з обмеженою відповідальністю "ФАРМЕКС ГРУП"</w:t>
            </w:r>
            <w:r>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виробничої дільниці, що відповідає за випуск серії ТОВ “ФАРМЕКС ГРУП”, Україна (Україна, 08301, Київська обл., м. Бориспіль, вул. Шевченка, буд. 100). Зміни внесені в розділи "Виробник" та "Місцезнаходження виробника та адреса місця провадження його діяльності" в інструкцію для медичного застосування у зв"язку з введенням додаткової виробничої дільниці та як наслідок - відповідні зміни у тексті маркування упаковки лікарського засобу.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UA/10505/01/01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РАБЕПРАЗОЛ-ЗДОРОВ'Я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кишковорозчинні по 20 мг по 10 таблеток у блістері; по 1 або 2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Товариство з обмеженою відповідальністю "Фармацевтична компанія "Здоров'я"</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всі стадії виробництва, контроль якості, випуск серії:</w:t>
            </w:r>
            <w:r>
              <w:rPr>
                <w:rFonts w:ascii="Arial" w:hAnsi="Arial" w:cs="Arial"/>
                <w:sz w:val="16"/>
                <w:szCs w:val="16"/>
              </w:rPr>
              <w:br/>
              <w:t>Товариство з обмеженою відповідальністю "Фармацевтична компанія "Здоров'я"</w:t>
            </w:r>
            <w:r>
              <w:rPr>
                <w:rFonts w:ascii="Arial" w:hAnsi="Arial" w:cs="Arial"/>
                <w:sz w:val="16"/>
                <w:szCs w:val="16"/>
              </w:rPr>
              <w:br/>
              <w:t xml:space="preserve">Україна; </w:t>
            </w:r>
            <w:r>
              <w:rPr>
                <w:rFonts w:ascii="Arial" w:hAnsi="Arial" w:cs="Arial"/>
                <w:sz w:val="16"/>
                <w:szCs w:val="16"/>
              </w:rPr>
              <w:br/>
              <w:t>всі стадії виробництва, контроль якості, випуск серії:</w:t>
            </w:r>
            <w:r>
              <w:rPr>
                <w:rFonts w:ascii="Arial" w:hAnsi="Arial" w:cs="Arial"/>
                <w:sz w:val="16"/>
                <w:szCs w:val="16"/>
              </w:rPr>
              <w:br/>
              <w:t>Товариство з обмеженою відповідальністю "ФАРМЕКС ГРУП"</w:t>
            </w:r>
            <w:r>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виробничої дільниці, що відповідає за випуск серії ТОВ “ФАРМЕКС ГРУП”, Україна (Україна, 08301, Київська обл., м. Бориспіль, вул. Шевченка, буд. 100). Зміни внесені в розділи "Виробник" та "Місцезнаходження виробника та адреса місця провадження його діяльності" в інструкцію для медичного застосування у зв"язку з введенням додаткової виробничої дільниці та як наслідок - відповідні зміни у тексті маркування упаковки лікарського засобу.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UA/10505/01/02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РАМІЗЕС® 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по 5 мг/25 мг, по 10 таблеток у блістері; по 3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2006-011 - Rev 02 (затверджено: R1-CEP 2006-011 - Rev 01) для АФІ гідрохлоротіазиду від вже затвердженого виробника Changzhou Pharmaceutical Factory, Китай</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 xml:space="preserve">за рецептом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UA/12569/01/02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РАМІЗЕС® 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по 2,5 мг/12,5 мг, по 10 таблеток у блістері; по 3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2006-011 - Rev 02 (затверджено: R1-CEP 2006-011 - Rev 01) для АФІ гідрохлоротіазиду від вже затвердженого виробника Changzhou Pharmaceutical Factory, Китай</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 xml:space="preserve">за рецептом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UA/12569/01/01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РАМІЗЕС® 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5 мг/12,5 мг по 10 таблеток у блістері, по 3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2006-011 - Rev 02 (затверджено: R1-CEP 2006-011 - Rev 01) для АФІ гідрохлоротіазиду від вже затвердженого виробника Changzhou Pharmaceutical Factory, Китай.</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UA/15545/01/02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РАМІЗЕС® 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10 мг/25 мг, по 10 таблеток у блістері; по 3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2006-011 - Rev 02 (затверджено: R1-CEP 2006-011 - Rev 01) для АФІ гідрохлоротіазиду від вже затвердженого виробника Changzhou Pharmaceutical Factory, Китай.</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UA/15545/01/01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РАМІЗЕС® 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10 мг/12,5 мг; по 10 таблеток у блістері; по 3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2006-011 - Rev 02 (затверджено: R1-CEP 2006-011 - Rev 01) для АФІ гідрохлоротіазиду від вже затвердженого виробника Changzhou Pharmaceutical Factory, Китай.</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UA/15546/01/01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РАНЕКСА®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пролонгованої дії по 1000 мг, по 10 таблеток у блістері; по 6 блістерів у картонній коробці; по 15 таблеток у блістері; по 4 блістери у картонній коробці; по 20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Менаріні Інтернешонал Оперейшонс Люксембург С.А.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Люксембург</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Менаріні-Фон Хейден ГмбХ, Німеччина (виробництво «in bulk»,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у датах подання регулярно оновлюваних звітів з безпеки лікарських засобів. Діюча редакція: Кінцева дата для включення даних до РОЗБ - 26.01.2025 р. Дата подання - 25.04.2025 р. </w:t>
            </w:r>
            <w:r>
              <w:rPr>
                <w:rFonts w:ascii="Arial" w:hAnsi="Arial" w:cs="Arial"/>
                <w:sz w:val="16"/>
                <w:szCs w:val="16"/>
              </w:rPr>
              <w:br/>
              <w:t xml:space="preserve">Пропонована редакція: Кінцева дата для включення даних до РОЗБ - 26.01.2024 р. Дата подання - 25.04.2024 р. </w:t>
            </w:r>
            <w:r>
              <w:rPr>
                <w:rFonts w:ascii="Arial" w:hAnsi="Arial" w:cs="Arial"/>
                <w:sz w:val="16"/>
                <w:szCs w:val="16"/>
              </w:rPr>
              <w:br/>
              <w:t xml:space="preserve">Рекомендовано до затвердження відповідно до періодичності подання регулярно оновлюваних звітів з безпеки лікарських засобів у ЄС.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UA/13676/01/01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РАНЕКСА® 500</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пролонгованої дії по 500 мг, по 10 таблеток у блістері; по 6 блістерів у картонній коробці; по 15 таблеток у блістері; по 4 блістери у картонній коробці; по 20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Менаріні Інтернешонал Оперейшонс Люксембург С.А.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Люксембург</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Менаріні-Фон Хейден ГмбХ, Німеччина (виробництво «in bulk»,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у датах подання регулярно оновлюваних звітів з безпеки лікарських засобів. Діюча редакція: Кінцева дата для включення даних до РОЗБ - 26.01.2025 р. Дата подання - 25.04.2025 р. </w:t>
            </w:r>
            <w:r>
              <w:rPr>
                <w:rFonts w:ascii="Arial" w:hAnsi="Arial" w:cs="Arial"/>
                <w:sz w:val="16"/>
                <w:szCs w:val="16"/>
              </w:rPr>
              <w:br/>
              <w:t xml:space="preserve">Пропонована редакція: Кінцева дата для включення даних до РОЗБ - 26.01.2024 р. Дата подання - 25.04.2024 р. </w:t>
            </w:r>
            <w:r>
              <w:rPr>
                <w:rFonts w:ascii="Arial" w:hAnsi="Arial" w:cs="Arial"/>
                <w:sz w:val="16"/>
                <w:szCs w:val="16"/>
              </w:rPr>
              <w:br/>
              <w:t xml:space="preserve">Рекомендовано до затвердження відповідно до періодичності подання регулярно оновлюваних звітів з безпеки лікарських засобів у ЄС.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UA/13676/01/02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РАНІТИДИН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по 150 мг; по 10 таблеток у блістері; по 1 або 2 блістери в картонній коробці; по 20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Товариство з обмеженою відповідальністю "Фармацевтична компанія "Здоров'я"</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всі стадії виробництва, контроль якості, випуск серії:</w:t>
            </w:r>
            <w:r>
              <w:rPr>
                <w:rFonts w:ascii="Arial" w:hAnsi="Arial" w:cs="Arial"/>
                <w:sz w:val="16"/>
                <w:szCs w:val="16"/>
              </w:rPr>
              <w:br/>
              <w:t>Товариство з обмеженою відповідальністю "Фармацевтична компанія "Здоров'я"</w:t>
            </w:r>
            <w:r>
              <w:rPr>
                <w:rFonts w:ascii="Arial" w:hAnsi="Arial" w:cs="Arial"/>
                <w:sz w:val="16"/>
                <w:szCs w:val="16"/>
              </w:rPr>
              <w:br/>
              <w:t xml:space="preserve">Україна; </w:t>
            </w:r>
            <w:r>
              <w:rPr>
                <w:rFonts w:ascii="Arial" w:hAnsi="Arial" w:cs="Arial"/>
                <w:sz w:val="16"/>
                <w:szCs w:val="16"/>
              </w:rPr>
              <w:br/>
              <w:t>всі стадії виробництва, контроль якості, випуск серії:</w:t>
            </w:r>
            <w:r>
              <w:rPr>
                <w:rFonts w:ascii="Arial" w:hAnsi="Arial" w:cs="Arial"/>
                <w:sz w:val="16"/>
                <w:szCs w:val="16"/>
              </w:rPr>
              <w:br/>
              <w:t>Товариство з обмеженою відповідальністю "ФАРМЕКС ГРУП"</w:t>
            </w:r>
            <w:r>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виробничої дільниці, що відповідає за випуск серії ТОВ “ФАРМЕКС ГРУП”, Україна (Україна, 08301, Київська обл., м. Бориспіль, вул. Шевченка, буд. 100). </w:t>
            </w:r>
            <w:r>
              <w:rPr>
                <w:rFonts w:ascii="Arial" w:hAnsi="Arial" w:cs="Arial"/>
                <w:sz w:val="16"/>
                <w:szCs w:val="16"/>
              </w:rPr>
              <w:br/>
              <w:t xml:space="preserve">Зміни внесені в розділи "Виробник" та "Місцезнаходження виробника та адреса місця провадження його діяльності" в інструкцію для медичного застосування у зв"язку з введенням додаткової виробничої дільниці та як наслідок - відповідні зміни у тексті маркування упаковки лікарського засобу.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UA/3676/01/01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РАПТЕН 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гель 1 % по 40 г у тубі; по 1 тубі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"Хемофарм" АД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Сербія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Виробник готового лікарського засобу, первинне, вторинне пакування, контроль серії: "Хемофарм" АД, Вршац, відділ виробнича дільниця Шабац, Сербія; Виробник, відповідальний за випуск серії: «Хемофарм» АД, Сербія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Сербія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У зв'язку з оновленням DMF вже затвердженого виробника АФІ диклофенаку діетиламіну Amoli Organics Private Limited, India з версії AOPL/VAP/RDDA/AP-BP/04/2017-08 на версію AOPL/VAP/RDDA/AP-BP/06/2019-09 із специфікації АФІ вилучається показник Heavy metals.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У зв'язку з оновленням DMF від вже затвердженого виробника диклофенаку діетиламіну Amoli Organics Private Limited, India версії AOPL/VAP/RDDA/AP-BP/04/2017-08 на версію AOPL/VAP/RDDA/AP-BP/06/2019-09 відбулися незначні зміни у методах випробування АФІ, а саме Related substances, Residual solvents.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У зв'язку з оновленням DMF на АФІ диклофенаку діетиламін від вже затвердженого виробника, Amoli Organics Private Limited, India з версії AOPL/VAP/RDDA/AP-BP/04/2017-08 на версію AOPL/VAP/RDDA/AP-BP/06/2019-09 відбулися зміни границь параметрів специфікації за п. «Particle size». Затверджено Particle size 100% particles passing through 40 mesh Запропоновано Particle size Minimum 98% particles passing through 40 mesh</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UA/1785/03/01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РАПТЕН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пролонгованої дії по 100 мг; по 10 таблеток у блістері; по 2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"Хемофарм" АД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Республіка Сербія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"Хемофарм"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Республіка Сербія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spacing w:after="240"/>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з безпеки застосування діючої речовини лікарського засобу.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UA/1785/01/01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 xml:space="preserve">РЕВМАЛГИН </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по 15 мг, по 10 таблеток у блістері, по 1 або 2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"ФАРМЕКС ГРУП"</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Pr>
                <w:rFonts w:ascii="Arial" w:hAnsi="Arial" w:cs="Arial"/>
                <w:sz w:val="16"/>
                <w:szCs w:val="16"/>
              </w:rPr>
              <w:br/>
              <w:t>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рекомендації PRAC.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UA/11608/03/02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 xml:space="preserve">РЕВМАЛГИН </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по 7,5 мг, по 10 таблеток у блістері, по 2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"ФАРМЕКС ГРУП"</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Pr>
                <w:rFonts w:ascii="Arial" w:hAnsi="Arial" w:cs="Arial"/>
                <w:sz w:val="16"/>
                <w:szCs w:val="16"/>
              </w:rPr>
              <w:br/>
              <w:t>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рекомендації PRAC.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UA/11608/03/01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РЕЛІФ® ПРО</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крем ректальний, по 15 г або по 30 г у тубі, по 1 тубі з аплікатором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Байєр Консьюмер Кер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Швейцарія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ЛЕО Фарма Мануфактурінг Італі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для АФІ Лідокаїну гідрохлорид СЕР R1-CEP 1996-020-Rev 08 (попередня версія СЕР R1-CEP 1996-020-Rev 07) від вже затвердженого виробника MOEHS Catalana S.L., Spain. Назву АФІ Лідокаїну гідрохлорид адаптовано до сучасного написання у ЕР (лідокаїну гідрохлориду моногідрат). Зміни внесені у розділ «Склад» (діючі речовини) в інструкцію для медичного застосування лікарського засобу та як наслідок - відповідні зміни у тексті маркування упаковки лікарського засобу. Введення змін протягом 6-ти місяців після затвердження. Зміни І типу - Адміністративні зміни. Зміна назви АФІ або допоміжної речовини. Уточнення назви діючої речовини флуокорталону півалат (мікронізований) у відповідності до вже затверджених матеріалів реєстраційного досьє. Затверджено флуокорталону півалат Запропоновано </w:t>
            </w:r>
            <w:r>
              <w:rPr>
                <w:rFonts w:ascii="Arial" w:hAnsi="Arial" w:cs="Arial"/>
                <w:sz w:val="16"/>
                <w:szCs w:val="16"/>
              </w:rPr>
              <w:br/>
              <w:t xml:space="preserve">флуокорталону півалат мікронізований. Зміни внесені у розділ «Склад» (діючі речовини) в інструкцію для медичного застосування лікарського засобу та як наслідок - відповідні зміни у тексті маркування упаковки лікарського засобу. </w:t>
            </w:r>
            <w:r>
              <w:rPr>
                <w:rFonts w:ascii="Arial" w:hAnsi="Arial" w:cs="Arial"/>
                <w:sz w:val="16"/>
                <w:szCs w:val="16"/>
              </w:rPr>
              <w:br/>
              <w:t xml:space="preserve">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UA/10318/01/01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РЕНГАЛІН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по 10 таблеток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"Матеріа Медика-Україна"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ЗАТ Сантоніка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Литва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UA/17860/01/01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РЕНОПЛАН-1000</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пролонгованої дії, по 1000 мг,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Манкайнд Фарма Лімітед</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Манкайнд Фарма Лімітед</w:t>
            </w:r>
            <w:r>
              <w:rPr>
                <w:rFonts w:ascii="Arial" w:hAnsi="Arial" w:cs="Arial"/>
                <w:sz w:val="16"/>
                <w:szCs w:val="16"/>
              </w:rPr>
              <w:br/>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щодо медичного застосування референтного лікарського засобу (РАНЕКСА® 1000, таблетки пролонгованої дії). Введення зміни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UA/19048/01/01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РЕСТАСІС®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емульсія очна, 0,5 мг/мл; по 0,4 мл у флаконі; по 30 флаконів в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Аллерган, Інк.</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США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Аллерган Сейлс ЛЛС</w:t>
            </w:r>
            <w:r>
              <w:rPr>
                <w:rFonts w:ascii="Arial" w:hAnsi="Arial" w:cs="Arial"/>
                <w:sz w:val="16"/>
                <w:szCs w:val="16"/>
              </w:rPr>
              <w:br/>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місця провадження діяльності виробника, у зв'язку приведеннядо адреси ліцензії виробника (FDA) та висновку щодо підтвердження GMP.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UA/10983/01/01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РИКОНРЕД</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таблетки, вкриті плівковою оболонкою, по 50 мг, по 10 таблеток у блістері; по 1 або 3 блістери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Д-р Редді'с Лабораторіс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Д-р Редді'с Лабораторіс Лтд, Виробнича дільниця- ІІ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рекомендації PRAC EMA.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UA/16733/01/01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РИКОНРЕД</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таблетки, вкриті плівковою оболонкою, по 200 мг, по 10 таблеток у блістері; по 1 або 3 блістери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Д-р Редді'с Лабораторіс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Д-р Редді'с Лабораторіс Лтд, Виробнича дільниця- ІІ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рекомендації PRAC EMA.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UA/16733/01/02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РИНЗА®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по 4 таблетки у блістері; по 1 блістеру в картонній коробочці; по 4 таблетки у блістері; по 1 блістеру в картонній коробочці; по 25 картонних коробочок у картонній коробці; по 10 таблеток у блістері; по 1 блістеру в картонній коробочці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"Джонсон і Джонсон Україна"</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Юнік Фармасьютикал Лабораторіз (відділення фірми "Дж. Б. Кемікалз енд Фармасьютикалз Лтд.")</w:t>
            </w:r>
            <w:r>
              <w:rPr>
                <w:rFonts w:ascii="Arial" w:hAnsi="Arial" w:cs="Arial"/>
                <w:sz w:val="16"/>
                <w:szCs w:val="16"/>
              </w:rPr>
              <w:br/>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 № 4, № 10 - без рецепта; № 100 - 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UA/2078/01/01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РІОПАН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суспензія оральна, 800 мг/10 мл по 10 мл в саше; по 10, або по 20, або по 50 саше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Такеда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Такеда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Самоненко Марина Володимирівна. Пропонована редакція: Уретій Сергій Іванович / Sergii Uretii.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w:t>
            </w:r>
            <w:r>
              <w:rPr>
                <w:rFonts w:ascii="Arial" w:hAnsi="Arial" w:cs="Arial"/>
                <w:sz w:val="16"/>
                <w:szCs w:val="16"/>
              </w:rPr>
              <w:br/>
              <w:t>Зміна місця здійснення основної діяльності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UA/11741/02/01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РІОПАН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суспензія оральна,  1600 мг/10 мл  по 10 мл в саше; по 10, або по 20, або по 50 саше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Такеда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Такеда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Самоненко Марина Володимирівна. Пропонована редакція: Уретій Сергій Іванович / Sergii Uretii.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w:t>
            </w:r>
            <w:r>
              <w:rPr>
                <w:rFonts w:ascii="Arial" w:hAnsi="Arial" w:cs="Arial"/>
                <w:sz w:val="16"/>
                <w:szCs w:val="16"/>
              </w:rPr>
              <w:br/>
              <w:t>Зміна місця здійснення основної діяльності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UA/11741/02/02</w:t>
            </w:r>
          </w:p>
        </w:tc>
      </w:tr>
      <w:tr w:rsidR="003D03F3" w:rsidTr="00E420B5">
        <w:trPr>
          <w:cantSplit/>
          <w:trHeight w:val="484"/>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РОАККУТАН®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капсули по 20 мг; по 10 капсул у блістері, по 3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ТОВ «Рош Україна» </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aa"/>
              <w:jc w:val="center"/>
              <w:rPr>
                <w:rFonts w:ascii="Arial" w:hAnsi="Arial" w:cs="Arial"/>
                <w:sz w:val="16"/>
                <w:szCs w:val="16"/>
              </w:rPr>
            </w:pPr>
            <w:r>
              <w:rPr>
                <w:rFonts w:ascii="Arial" w:hAnsi="Arial" w:cs="Arial"/>
                <w:color w:val="222222"/>
                <w:sz w:val="16"/>
                <w:szCs w:val="16"/>
              </w:rPr>
              <w:t>Виробництво нерозфасованої продукції, первинне та вторинне пакування, випробування контролю якості:</w:t>
            </w:r>
            <w:r>
              <w:rPr>
                <w:rFonts w:ascii="Arial" w:hAnsi="Arial" w:cs="Arial"/>
                <w:color w:val="222222"/>
                <w:sz w:val="16"/>
                <w:szCs w:val="16"/>
              </w:rPr>
              <w:br/>
              <w:t>Кетелент Джермані Ебербах ГмбХ, Німеччина; Первинне та вторинне пакування, випробування контролю якості, випуск серії: Ф.Хоффманн-Ля Рош Лтд, Швейцарія; Випробування контролю якості: Ф.Хоффманн-Ля Рош Лтд, Швейцарія; Випуск серії:Ф.Хоффманн-Ля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В рамках раціоналізації офісних площ Roche, пропонується зміна адреси офісу, яка здійснює випуск ГЛЗ. Дана зміна відбувається в рамках однієї системи контролю якості і стосується виключно функції випуск серії, і не має впливу на виробничий процес препарату. Не має впливу на якість, безпеку та ефективність препарату. Місце виробництва ГЛЗ не змінилось. Діюча редакція: Випуск серії: Ф.Хоффманн-Ля Рош Лтд Віадуктштрассе 33, 4051 Базель, Швейцарія Пропонована редакція: Випуск серії: Ф.Хоффманн-Ля Рош Лтд Грензахерштрассе 124, 4058 Базель, Швейцарія.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UA/2865/01/01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РОАККУТАН®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капсули по 10 мг; по 10 капсул у блістері, по 3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ТОВ «Рош Україна» </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color w:val="222222"/>
                <w:sz w:val="16"/>
                <w:szCs w:val="16"/>
                <w:shd w:val="clear" w:color="auto" w:fill="FFFFFF"/>
              </w:rPr>
            </w:pPr>
            <w:r>
              <w:rPr>
                <w:rFonts w:ascii="Arial" w:hAnsi="Arial" w:cs="Arial"/>
                <w:color w:val="222222"/>
                <w:sz w:val="16"/>
                <w:szCs w:val="16"/>
                <w:shd w:val="clear" w:color="auto" w:fill="FFFFFF"/>
              </w:rPr>
              <w:t>Виробництво нерозфасованої продукції, первинне та вторинне пакування, випробування контролю якості:</w:t>
            </w:r>
            <w:r>
              <w:rPr>
                <w:rFonts w:ascii="Arial" w:hAnsi="Arial" w:cs="Arial"/>
                <w:color w:val="222222"/>
                <w:sz w:val="16"/>
                <w:szCs w:val="16"/>
              </w:rPr>
              <w:br/>
            </w:r>
            <w:r>
              <w:rPr>
                <w:rFonts w:ascii="Arial" w:hAnsi="Arial" w:cs="Arial"/>
                <w:color w:val="222222"/>
                <w:sz w:val="16"/>
                <w:szCs w:val="16"/>
                <w:shd w:val="clear" w:color="auto" w:fill="FFFFFF"/>
              </w:rPr>
              <w:t>Кетелент Джермані Ебербах ГмбХ, Німеччина; Первинне та вторинне пакування, випробування контролю якості, випуск серії: Ф.Хоффманн-Ля Рош Лтд, Швейцарія; Випробування контролю якості: Ф.Хоффманн-Ля Рош Лтд, Швейцарія; Випуск серії:Ф.Хоффманн-Ля Рош Лтд, Швейцарія</w:t>
            </w:r>
          </w:p>
          <w:p w:rsidR="003D03F3" w:rsidRDefault="003D03F3">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В рамках раціоналізації офісних площ Roche, пропонується зміна адреси офісу, яка здійснює випуск ГЛЗ. Дана зміна відбувається в рамках однієї системи контролю якості і стосується виключно функції випуск серії, і не має впливу на виробничий процес препарату. Не має впливу на якість, безпеку та ефективність препарату. Місце виробництва ГЛЗ не змінилось. Діюча редакція: Випуск серії: Ф.Хоффманн-Ля Рош Лтд Віадуктштрассе 33, 4051 Базель, Швейцарія Пропонована редакція: Випуск серії: Ф.Хоффманн-Ля Рош Лтд Грензахерштрассе 124, 4058 Базель, Швейцарія.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UA/2865/01/02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РОЗЕТИН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10 мг/10 мг, по 10 таблеток у блістері, по 3 або 6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Зентіва, к.с.</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Чеська Республiка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ЕЛПЕН ФАРМАСЬЮТІКАЛ КО.,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spacing w:after="240"/>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в текст маркування на вторинну упаковку лікарського засобу щодо нанесення шрифту Брайля.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UA/19802/01/01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РОЗЕТИН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20 мг/10 мг; по 10 таблеток у блістері, по 3 або 6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Зентіва, к.с.</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Чеська Республiка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ЕЛПЕН ФАРМАСЬЮТІКАЛ КО.,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spacing w:after="240"/>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в текст маркування на вторинну упаковку лікарського засобу щодо нанесення шрифту Брайля.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UA/19802/01/02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РОЗУВАСТАТИН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по 10 мг, по 10 таблеток у блістері, по 3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"АРТЕРІУМ ЛТД"</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ПАТ "Київмедпрепарат"</w:t>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"Спосiб застосування та дози", "Діти", "Побічні реакції" згідно з інформацією щодо медичного застосування референтного лікарського засобу (КРЕСТОР, таблетки, вкриті плівковою оболонкою).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UA/18623/01/01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РОЗУВАСТАТИН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по 20 мг, по 10 таблеток у блістері, по 3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"АРТЕРІУМ ЛТД"</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ПАТ "Київмедпрепарат"</w:t>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"Спосiб застосування та дози", "Діти", "Побічні реакції" згідно з інформацією щодо медичного застосування референтного лікарського засобу (КРЕСТОР, таблетки, вкриті плівковою оболонкою).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UA/18623/01/02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РОЗУВАСТАТИН-ТЕВА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по 10 мг,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Тева Фарма С.Л.У.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Іспанiя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spacing w:after="240"/>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2015-090-Rev 01 від вже затвердженого виробника CENTRIENT PHARMACEUTICALS INDIA PRIVATE LIMITED (India) діючої речовини розувастатину кальцію та як наслідок додавання нового виробника Clininvent Reserch Private Limited проміжного продукту Z8 (затверджено: R1-CEP 2015-090-Rev 00 Production of Rosuvastatin Calcium: CENTRIENT PHARMACEUTICALS INDIA PRIVATE LIMITED Bhai Mohan Singh Nagar District Nawanshahr India-144 533 Toansa, Punjab; Production of intermediate(s): DCM SHRIRAM INDUSTRIES LIMITED Unit Daurala Organics Sardhana Road, Meerut District India-250 221 Daurala, Uttar Pradesh; ANHUI QINGYUN PHARMACEUTICALS &amp; CHEMICAL CO., LTD 025, South of Jinchuan Road Shuangfeng Industrial Park China-231 131 Hefei, Anhui Province; запропоновано: R1-CEP 2015-090-Rev 01 Production of Rosuvastatin Calcium: CENTRIENT PHARMACEUTICALS INDIA PRIVATE LIMITED Bhai Mohan Singh Nagar District Nawanshahr India-144 533 Toansa, Punjab; Production of intermediate(s): DCM SHRIRAM INDUSTRIES LIMITED Unit Daurala Organics Sardhana Road, Meerut District India-250 221 Daurala, Uttar Pradesh; ANHUI QINGYUN PHARMACEUTICALS &amp; CHEMICAL CO., LTD 025, South of Jinchuan Road Shuangfeng Industrial Park China-231 131 Hefei, Anhui Province; CLININVENT RESERCH PRIVATE LIMITED Survey No. 173/1, 168, 173/1AA, 170/A and 170AA Gummadidala Mandal, Sangareddy District India-502 313 Anantharam Village, Telangaana).</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UA/19505/01/02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РОЗУВАСТАТИН-ТЕВА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по 20 мг;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Тева Фарма С.Л.У.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Іспанiя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spacing w:after="240"/>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2015-090-Rev 01 від вже затвердженого виробника CENTRIENT PHARMACEUTICALS INDIA PRIVATE LIMITED (India) діючої речовини розувастатину кальцію та як наслідок додавання нового виробника Clininvent Reserch Private Limited проміжного продукту Z8 (затверджено: R1-CEP 2015-090-Rev 00 Production of Rosuvastatin Calcium: CENTRIENT PHARMACEUTICALS INDIA PRIVATE LIMITED Bhai Mohan Singh Nagar District Nawanshahr India-144 533 Toansa, Punjab; Production of intermediate(s): DCM SHRIRAM INDUSTRIES LIMITED Unit Daurala Organics Sardhana Road, Meerut District India-250 221 Daurala, Uttar Pradesh; ANHUI QINGYUN PHARMACEUTICALS &amp; CHEMICAL CO., LTD 025, South of Jinchuan Road Shuangfeng Industrial Park China-231 131 Hefei, Anhui Province; запропоновано: R1-CEP 2015-090-Rev 01 Production of Rosuvastatin Calcium: CENTRIENT PHARMACEUTICALS INDIA PRIVATE LIMITED Bhai Mohan Singh Nagar District Nawanshahr India-144 533 Toansa, Punjab; Production of intermediate(s): DCM SHRIRAM INDUSTRIES LIMITED Unit Daurala Organics Sardhana Road, Meerut District India-250 221 Daurala, Uttar Pradesh; ANHUI QINGYUN PHARMACEUTICALS &amp; CHEMICAL CO., LTD 025, South of Jinchuan Road Shuangfeng Industrial Park China-231 131 Hefei, Anhui Province; CLININVENT RESERCH PRIVATE LIMITED Survey No. 173/1, 168, 173/1AA, 170/A and 170AA Gummadidala Mandal, Sangareddy District India-502 313 Anantharam Village, Telangaana).</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UA/19505/01/03</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РОЗУВАСТАТИН-ТЕВА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по 5 мг;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Тева Фарма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Іспанiя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spacing w:after="240"/>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2015-090-Rev 01 від вже затвердженого виробника CENTRIENT PHARMACEUTICALS INDIA PRIVATE LIMITED (India) діючої речовини розувастатину кальцію та як наслідок додавання нового виробника Clininvent Reserch Private Limited проміжного продукту Z8 (затверджено: R1-CEP 2015-090-Rev 00 Production of Rosuvastatin Calcium: CENTRIENT PHARMACEUTICALS INDIA PRIVATE LIMITED Bhai Mohan Singh Nagar District Nawanshahr India-144 533 Toansa, Punjab; Production of intermediate(s): DCM SHRIRAM INDUSTRIES LIMITED Unit Daurala Organics Sardhana Road, Meerut District India-250 221 Daurala, Uttar Pradesh; ANHUI QINGYUN PHARMACEUTICALS &amp; CHEMICAL CO., LTD 025, South of Jinchuan Road Shuangfeng Industrial Park China-231 131 Hefei, Anhui Province; запропоновано: R1-CEP 2015-090-Rev 01 Production of Rosuvastatin Calcium: CENTRIENT PHARMACEUTICALS INDIA PRIVATE LIMITED Bhai Mohan Singh Nagar District Nawanshahr India-144 533 Toansa, Punjab; Production of intermediate(s): DCM SHRIRAM INDUSTRIES LIMITED Unit Daurala Organics Sardhana Road, Meerut District India-250 221 Daurala, Uttar Pradesh; ANHUI QINGYUN PHARMACEUTICALS &amp; CHEMICAL CO., LTD 025, South of Jinchuan Road Shuangfeng Industrial Park China-231 131 Hefei, Anhui Province; CLININVENT RESERCH PRIVATE LIMITED Survey No. 173/1, 168, 173/1AA, 170/A and 170AA Gummadidala Mandal, Sangareddy District India-502 313 Anantharam Village, Telangaana).</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UA/19505/01/01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РОТАРИКС™/ROTARIX™ ВАКЦИНА ДЛЯ ПРОФІЛАКТИКИ РОТАВІРУСНОЇ ІНФЕКЦІЇ</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суспензія оральна (1,5 мл/дозу); по 1 або по 5 попередньо заповнених оральних аплікаторів або туб в картонній коробці з маркуванням українською мовою, або в коробці зі стикером українською мовою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Велика Британiя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Бельгiя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Перезатвердження АНД на МКЯ відповідно до вимог наказу № 460 від 23.07.2015. Внесення редакційних правок до тексту МКЯ.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UA/13060/01/01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САНФУР - 1500</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порошок для розчину для ін`єкцій по 1500 мг, 1 флакон з порошком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Cенс Лабораторіc Пвт.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Cенс Лабораторіc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Pr>
                <w:rFonts w:ascii="Arial" w:hAnsi="Arial" w:cs="Arial"/>
                <w:sz w:val="16"/>
                <w:szCs w:val="16"/>
              </w:rPr>
              <w:br/>
              <w:t>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з дати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UA/17158/01/02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САНФУР - 750</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порошок для розчину для ін`єкцій по 750 мг, 1 флакон з порошком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Cенс Лабораторіc Пвт.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Cенс Лабораторіc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UA/17158/01/01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СЕНТОР®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таблетки, вкриті плівковою оболонкою, по 50 мг по 10 таблеток у блістері; 1 або 3 блістери у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ВАТ "Гедеон Ріхтер"</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Угорщина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ВАТ "Гедеон Ріхтер", Угорщина</w:t>
            </w:r>
          </w:p>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"Гедеон Ріхтер Польща", Польща (контроль якості, дозвіл на випуск серії; виробництво нерозфасованого продукту, первинна упаковка, вторинна упаковка)</w:t>
            </w:r>
          </w:p>
          <w:p w:rsidR="003D03F3" w:rsidRDefault="003D03F3">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Угорщина/Польща/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w:t>
            </w:r>
            <w:r>
              <w:rPr>
                <w:rFonts w:ascii="Arial" w:hAnsi="Arial" w:cs="Arial"/>
                <w:sz w:val="16"/>
                <w:szCs w:val="16"/>
              </w:rPr>
              <w:br/>
              <w:t xml:space="preserve">Зазначення усіх дільниць виробника ТОВ «Гедеон Ріхтер Польща», Польща, задіяного у виробництві ГЛЗ з описом виконуваних функцій без змін у модулі 3 реєстраційного досьє.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UA/7042/01/01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СЕНТОР®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таблетки, вкриті плівковою оболонкою, по 100 мг по 10 таблеток у блістері; 1 або 3 блістери у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ВАТ "Гедеон Ріхтер"</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Угорщина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ВАТ "Гедеон Ріхтер", Угорщина</w:t>
            </w:r>
          </w:p>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"Гедеон Ріхтер Польща", Польща (контроль якості, дозвіл на випуск серії; виробництво нерозфасованого продукту, первинна упаковка, вторинна упаковка)</w:t>
            </w:r>
          </w:p>
          <w:p w:rsidR="003D03F3" w:rsidRDefault="003D03F3">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Угорщина/Польща/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w:t>
            </w:r>
            <w:r>
              <w:rPr>
                <w:rFonts w:ascii="Arial" w:hAnsi="Arial" w:cs="Arial"/>
                <w:sz w:val="16"/>
                <w:szCs w:val="16"/>
              </w:rPr>
              <w:br/>
              <w:t xml:space="preserve">Зазначення усіх дільниць виробника ТОВ «Гедеон Ріхтер Польща», Польща, задіяного у виробництві ГЛЗ з описом виконуваних функцій без змін у модулі 3 реєстраційного досьє.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UA/7042/01/02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СЕПТОЛЕТЕ® ТОТАЛ ЛИМОН ТА БУЗИНА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льодяники, 3 мг/1 мг; по 8 льодяників у блістері, по 1, по 2, по 3, по 4 або по 5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Словенія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виробництво "in bulk", первинна та вторинна упаковка, контроль серії): КРКА, д.д., Ново место, Словенія; контроль серії: КРКА, д.д., Ново место, Словенія; контроль та випуск серії: КРКА, д.д., Ново место, Словенія; контроль серії: НЛЗОХ (Національні лабораторія за здрав'є, околє ін храно),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w:t>
            </w:r>
          </w:p>
          <w:p w:rsidR="003D03F3" w:rsidRDefault="003D03F3">
            <w:pPr>
              <w:pStyle w:val="110"/>
              <w:tabs>
                <w:tab w:val="left" w:pos="12600"/>
              </w:tabs>
              <w:jc w:val="center"/>
              <w:rPr>
                <w:rFonts w:ascii="Arial" w:hAnsi="Arial" w:cs="Arial"/>
                <w:sz w:val="16"/>
                <w:szCs w:val="16"/>
              </w:rPr>
            </w:pPr>
            <w:r>
              <w:rPr>
                <w:rFonts w:ascii="Arial" w:hAnsi="Arial" w:cs="Arial"/>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"Фармакологічні властивості", "Побічні реакції".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UA/16726/01/01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СЕРОКВЕЛЬ XR</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пролонгованої дії, по 200 мг, по 10 таблеток у блістері;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АстраЗенека ЮК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Велика Британiя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виробник "in bulk": АстраЗенека Фармасьютикалс ЛП, США; виробник, відповідальний за пакування та випуск серії: АстраЗенека ЮК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США/Велика Британія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в текст маркування упаковки лікарського засобу, а саме: вилучення тексту маркування без застосування міжнародної системи одиниць SI та внесення редакційних правок у текст маркування із застосуванням міжнародної системи одиниць SI.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UA/2535/02/02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СЕРОКВЕЛЬ XR</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пролонгованої дії, по 300 мг, по 10 таблеток у блістері;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АстраЗенека ЮК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Велика Британiя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виробник "in bulk": АстраЗенека Фармасьютикалс ЛП, США; виробник, відповідальний за пакування та випуск серії: АстраЗенека ЮК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США/Велика Британія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в текст маркування упаковки лікарського засобу, а саме: вилучення тексту маркування без застосування міжнародної системи одиниць SI та внесення редакційних правок у текст маркування із застосуванням міжнародної системи одиниць SI.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UA/2535/02/03</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СЕРОКВЕЛЬ XR</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пролонгованої дії, по 400 мг, по 10 таблеток у блістері;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АстраЗенека ЮК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Велика Британiя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виробник "in bulk": АстраЗенека Фармасьютикалс ЛП, США; виробник, відповідальний за пакування та випуск серії: АстраЗенека ЮК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США/Велика Британія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в текст маркування упаковки лікарського засобу, а саме: вилучення тексту маркування без застосування міжнародної системи одиниць SI та внесення редакційних правок у текст маркування із застосуванням міжнародної системи одиниць SI.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UA/2535/02/04</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СЕРОКВЕЛЬ XR</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пролонгованої дії, по 50 мг, по 10 таблеток у блістері;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АстраЗенека ЮК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Велика Британiя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виробник "in bulk": АстраЗенека Фармасьютикалс ЛП, США; виробник, відповідальний за пакування та випуск серії: АстраЗенека ЮК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США/Велика Британія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в текст маркування упаковки лікарського засобу, а саме: вилучення тексту маркування без застосування міжнародної системи одиниць SI та внесення редакційних правок у текст маркування із застосуванням міжнародної системи одиниць SI.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UA/2535/02/01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СИНТОМІЦИН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супозиторії вагінальні по 0,25 г, по 5 супозиторіів у стрипі; по 2 стрипи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ПАТ "Монфарм"</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ПАТ "Монфарм"</w:t>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ПАТ "Монфарм", Україна, без зміни місця виробництва.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Совгира Сергій Сергійович. Пропонована редакція: Пастушенко Інна Вікторівна.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UA/0268/01/01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СІНУМАКС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спрей назальний, дозований 0,05%; по 10 г у флаконі з розпилювачем; по 1 флакону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"ВАЛАРТІН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"Мікрофарм"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(інші зміни) вноситься перерахунок допоміжної речовини Бензалконію хлориду на 100 % речовину, з відповідними змінами в розділ «Склад» МКЯ ЛЗ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UA/17382/01/01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СКАЙРІЗІ</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розчин для ін'єкцій по 150 мг/1 мл; 1 попередньо наповнений скляний шприц, вмонтований у автоінжектор; по одному автоінжектору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ЕббВі Біофармасьютікалз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Швейцарія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ЕббВі Біорісерч Сентер Інк, США (тестування); ЕббВі Біотекнолоджі ЛТД, США (виробництво лікарського засобу, тестування, первинне пакування); Еббві Дойчленд ГмбХ і Ко. КГ, Німеччина (вторинне пакування, тестування, випуск серії); Чарльз Рівер Лабораторіз Джермані ГмбХ, Німеччина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США/Німеччина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Новий сертифікат відповідності ЕР, а саме R1-CEP-2000-175-Rev-02 для компоненту "Бичачий пептон" , який використовується в процесі ферментації генетицину.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Новий сертифікат відповідності ЕР, а саме R1-CEP-2001-174-Rev-05 для компоненту "Екстракт яловичини", який використовується в процесі бродіння генетицину.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UA/17970/01/02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СКІНОРЕН®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гель 15 %, по 5 г або по 30 г у тубі; по 1 тубі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ЛЕО Фарма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Данiя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ЛЕО Фарма Мануфактурінг Італі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Pr>
                <w:rFonts w:ascii="Arial" w:hAnsi="Arial" w:cs="Arial"/>
                <w:sz w:val="16"/>
                <w:szCs w:val="16"/>
              </w:rPr>
              <w:br/>
              <w:t>Діюча редакція: Berit Nautrup Andersen. Пропонована редакція: Кіра Хаммершоі / Kira Hammershoi. Зміна контактних даних уповноваженої особи заявника, відповідальної за фармаконагляд.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UA/1074/01/01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СОЛПАДЕЇН МІГРАСТОП</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по 10 таблеток у блістері; по 1 або 2 блістери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ГСК Консьюмер Хелскер САРЛ</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Швейцарія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Фамар Італія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sz w:val="16"/>
                <w:szCs w:val="16"/>
              </w:rPr>
              <w:br/>
              <w:t xml:space="preserve">Діюча редакція: Dr. Jens-Ulrich Stegmann, MD. Пропонована редакція: John Poustie.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Pr>
                <w:rFonts w:ascii="Arial" w:hAnsi="Arial" w:cs="Arial"/>
                <w:sz w:val="16"/>
                <w:szCs w:val="16"/>
              </w:rPr>
              <w:br/>
              <w:t>Діюча редакція: Лапчинська Інна Ігорівна / Lapchynska Inna Igorivna. Пропонована редакція: Кириліва Галина Георгіївна / Kyryliva Galyna Georgiivna.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UA/9438/01/01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СОМАВЕРТ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ліофілізат для розчину для ін'єкцій по 10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Пфайзер Ейч. Сі. 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США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 Пфайзер Менюфекчуринг Бельгія НВ, Бельгія; Контроль якості лікарського засобу: Пфайзер Ірленд Фармасеутикалс,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Ірландiя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w:t>
            </w:r>
          </w:p>
          <w:p w:rsidR="003D03F3" w:rsidRDefault="003D03F3">
            <w:pPr>
              <w:pStyle w:val="110"/>
              <w:tabs>
                <w:tab w:val="left" w:pos="12600"/>
              </w:tabs>
              <w:jc w:val="center"/>
              <w:rPr>
                <w:rFonts w:ascii="Arial" w:hAnsi="Arial" w:cs="Arial"/>
                <w:sz w:val="16"/>
                <w:szCs w:val="16"/>
              </w:rPr>
            </w:pPr>
            <w:r>
              <w:rPr>
                <w:rFonts w:ascii="Arial" w:hAnsi="Arial" w:cs="Arial"/>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матеріалів реєстраційного досьє.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UA/17108/01/01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СОМАВЕРТ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ліофілізат для розчину для ін'єкцій по 15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Пфайзер Ейч. Сі. 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США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 Пфайзер Менюфекчуринг Бельгія НВ, Бельгія; Контроль якості лікарського засобу: Пфайзер Ірленд Фармасеутикалс,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Ірландiя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w:t>
            </w:r>
          </w:p>
          <w:p w:rsidR="003D03F3" w:rsidRDefault="003D03F3">
            <w:pPr>
              <w:pStyle w:val="110"/>
              <w:tabs>
                <w:tab w:val="left" w:pos="12600"/>
              </w:tabs>
              <w:jc w:val="center"/>
              <w:rPr>
                <w:rFonts w:ascii="Arial" w:hAnsi="Arial" w:cs="Arial"/>
                <w:sz w:val="16"/>
                <w:szCs w:val="16"/>
              </w:rPr>
            </w:pPr>
            <w:r>
              <w:rPr>
                <w:rFonts w:ascii="Arial" w:hAnsi="Arial" w:cs="Arial"/>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матеріалів реєстраційного досьє.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UA/17108/01/02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СОМАВЕРТ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ліофілізат для розчину для ін'єкцій по 20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Пфайзер Ейч. Сі. 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США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 Пфайзер Менюфекчуринг Бельгія НВ, Бельгія; Контроль якості лікарського засобу: Пфайзер Ірленд Фармасеутикалс,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Ірландiя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w:t>
            </w:r>
          </w:p>
          <w:p w:rsidR="003D03F3" w:rsidRDefault="003D03F3">
            <w:pPr>
              <w:pStyle w:val="110"/>
              <w:tabs>
                <w:tab w:val="left" w:pos="12600"/>
              </w:tabs>
              <w:jc w:val="center"/>
              <w:rPr>
                <w:rFonts w:ascii="Arial" w:hAnsi="Arial" w:cs="Arial"/>
                <w:sz w:val="16"/>
                <w:szCs w:val="16"/>
              </w:rPr>
            </w:pPr>
            <w:r>
              <w:rPr>
                <w:rFonts w:ascii="Arial" w:hAnsi="Arial" w:cs="Arial"/>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матеріалів реєстраційного досьє.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UA/17108/01/03</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СОМАВЕРТ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ліофілізат для розчину для ін'єкцій по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Пфайзер Ейч. Сі. 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США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 Пфайзер Менюфекчуринг Бельгія НВ, Бельгія; Контроль якості лікарського засобу: Пфайзер Ірленд Фармасеутикалс,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Ірландiя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w:t>
            </w:r>
          </w:p>
          <w:p w:rsidR="003D03F3" w:rsidRDefault="003D03F3">
            <w:pPr>
              <w:pStyle w:val="110"/>
              <w:tabs>
                <w:tab w:val="left" w:pos="12600"/>
              </w:tabs>
              <w:jc w:val="center"/>
              <w:rPr>
                <w:rFonts w:ascii="Arial" w:hAnsi="Arial" w:cs="Arial"/>
                <w:sz w:val="16"/>
                <w:szCs w:val="16"/>
              </w:rPr>
            </w:pPr>
            <w:r>
              <w:rPr>
                <w:rFonts w:ascii="Arial" w:hAnsi="Arial" w:cs="Arial"/>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матеріалів реєстраційного досьє.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UA/17108/01/04</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СОРБІФЕР ДУРУЛЕС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оболонкою, з модифікованим вивільненням, 320 мг/60 мг по 30 або 50 таблеток у скляному флаконі; по 1 флакону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ЗАТ Фармацевтичний завод ЕГІС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Угорщина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Pr>
                <w:rFonts w:ascii="Arial" w:hAnsi="Arial" w:cs="Arial"/>
                <w:sz w:val="16"/>
                <w:szCs w:val="16"/>
              </w:rPr>
              <w:br/>
              <w:t xml:space="preserve">подання оновленого Сертифікату відповідності Європейській фармакопеї № R1-CEP 2004-019-Rev 05 (затверджено: № R1-CEP 2004-019-Rev 04) для діючої речовини аскорбінової кислоти від вже затвердженого виробника CSPC WEISHENG PHARMACEUTICAL (SHIJIAZHUANG) CO., LTD., Китай, та, як наслідок, зміни в методиці випробування за показником «Residual solvens» (GC), ЄФ 2.2.28, а саме доповнення новими умовами режиму поділу потоку газової хроматографії у додатку СЕР. Та, як наслідок, виробник ГЛЗ розробив in-house методику (Н0002-014).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UA/0498/01/01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СУНІТИНІБ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капсули тверді по 25 мг, по 7 капсул у блістері; по 4 блістери у кртонній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Зентіва,к.с.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Чеська Республiка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виробництво "in bulk", первинне та вторинне пакування, тестування, випуск серії: РЕМЕДІКА ЛТД, Кіпр; виробництво "in bulk", первинне та вторинне пакування, тестування, випуск серії: Фармакеа Преміум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Кіпр/Мальта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Зміни були запропоновані з метою приведення розділу "Упаковка" для дозування 50 мг у РП та МКЯ ЛЗ до вимог пакування ЛЗ виробника ГЛЗ. При цьому загальна кількість капсул в упаковці залишається без змін. Зміни внесені в інструкцію для медичного застосування лікарського засобу у розділ "Упаковка".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UA/18466/01/02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СУНІТИНІБ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капсули тверді по 50 мг, по 4 капсули у блістері, по 7 блістерів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Зентіва,к.с.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Чеська Республiка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виробництво "in bulk", первинне та вторинне пакування, тестування, випуск серії: РЕМЕДІКА ЛТД, Кіпр; виробництво "in bulk", первинне та вторинне пакування, тестування, випуск серії: Фармакеа Преміум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Кіпр/Мальта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Зміни були запропоновані з метою приведення розділу "Упаковка" для дозування 50 мг у РП та МКЯ ЛЗ до вимог пакування ЛЗ виробника ГЛЗ. При цьому загальна кількість капсул в упаковці залишається без змін. Зміни внесені в інструкцію для медичного застосування лікарського засобу у розділ "Упаковка".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UA/18466/01/03</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СУНІТИНІБ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капсули тверді по 12,5 мг, по 7 капсул у блістері; по 4 блістери у кртонній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Зентіва,к.с.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Чеська Республiка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виробництво "in bulk", первинне та вторинне пакування, тестування, випуск серії: РЕМЕДІКА ЛТД, Кіпр; виробництво "in bulk", первинне та вторинне пакування, тестування, випуск серії: Фармакеа Преміум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Кіпр/Мальта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Зміни були запропоновані з метою приведення розділу "Упаковка" для дозування 50 мг у РП та МКЯ ЛЗ до вимог пакування ЛЗ виробника ГЛЗ. При цьому загальна кількість капсул в упаковці залишається без змін. Зміни внесені в інструкцію для медичного застосування лікарського засобу у розділ "Упаковка".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UA/18466/01/01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СУПРАСТИН®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розчин для ін'єкцій, 20 мг/мл, по 1 мл в ампулі; по 5 ампул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ЗАТ Фармацевтичний завод ЕГІС</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Угорщина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Pr>
                <w:rFonts w:ascii="Arial" w:hAnsi="Arial" w:cs="Arial"/>
                <w:sz w:val="16"/>
                <w:szCs w:val="16"/>
              </w:rPr>
              <w:br/>
              <w:t xml:space="preserve">Зміни вносяться у зв’язку із додаванням альтернативної дільниці для здійснення мікробіологічного контролю до вже затвердженого виробника відповідального за контроль якості. Затверджено: Site of batch control (except microbiology testing): Egis Pharmaceuticals PLC 1165, Budapest, Bokenyfoldi ut. 118-120, Hungary Запропоновано: Site of batch control (including microbiology testing): Egis Pharmaceuticals PLC 1165, Budapest, Bokenyfoldi ut. 118-120, Hungary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UA/0322/01/01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ТАНІЗ ЕРАС®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пролонгованої дії по 0,4 мг по 10 таблеток у блістері; по 3 або 9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Словенія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первинне та вторинне пакування, контроль серії (хімічні/фізичні та мікробіологічні випробування) та випуск серії:</w:t>
            </w:r>
            <w:r>
              <w:rPr>
                <w:rFonts w:ascii="Arial" w:hAnsi="Arial" w:cs="Arial"/>
                <w:sz w:val="16"/>
                <w:szCs w:val="16"/>
              </w:rPr>
              <w:br/>
              <w:t>КРКА, д.д., Ново место, Словенія;</w:t>
            </w:r>
            <w:r>
              <w:rPr>
                <w:rFonts w:ascii="Arial" w:hAnsi="Arial" w:cs="Arial"/>
                <w:sz w:val="16"/>
                <w:szCs w:val="16"/>
              </w:rPr>
              <w:br/>
              <w:t>виробництво "in bulk", первинне та вторинне пакування, контроль серії (хімічні/фізичні та мікробіологічні випробування):</w:t>
            </w:r>
            <w:r>
              <w:rPr>
                <w:rFonts w:ascii="Arial" w:hAnsi="Arial" w:cs="Arial"/>
                <w:sz w:val="16"/>
                <w:szCs w:val="16"/>
              </w:rPr>
              <w:br/>
              <w:t>Сінтон Іспанія С.Л., Іспанiя;</w:t>
            </w:r>
            <w:r>
              <w:rPr>
                <w:rFonts w:ascii="Arial" w:hAnsi="Arial" w:cs="Arial"/>
                <w:sz w:val="16"/>
                <w:szCs w:val="16"/>
              </w:rPr>
              <w:br/>
              <w:t>контроль серії (хімічні/фізичні випробування):</w:t>
            </w:r>
            <w:r>
              <w:rPr>
                <w:rFonts w:ascii="Arial" w:hAnsi="Arial" w:cs="Arial"/>
                <w:sz w:val="16"/>
                <w:szCs w:val="16"/>
              </w:rPr>
              <w:br/>
              <w:t>КРКА, д.д., Ново место, Словенія;</w:t>
            </w:r>
            <w:r>
              <w:rPr>
                <w:rFonts w:ascii="Arial" w:hAnsi="Arial" w:cs="Arial"/>
                <w:sz w:val="16"/>
                <w:szCs w:val="16"/>
              </w:rPr>
              <w:br/>
              <w:t>контроль серії (хімічні/фізичні випробування):</w:t>
            </w:r>
            <w:r>
              <w:rPr>
                <w:rFonts w:ascii="Arial" w:hAnsi="Arial" w:cs="Arial"/>
                <w:sz w:val="16"/>
                <w:szCs w:val="16"/>
              </w:rPr>
              <w:br/>
              <w:t>Квінта-Аналітіка с.р.о, Чеська Республiка;</w:t>
            </w:r>
            <w:r>
              <w:rPr>
                <w:rFonts w:ascii="Arial" w:hAnsi="Arial" w:cs="Arial"/>
                <w:sz w:val="16"/>
                <w:szCs w:val="16"/>
              </w:rPr>
              <w:br/>
              <w:t>контроль серії (мікробіологічні випробування):</w:t>
            </w:r>
            <w:r>
              <w:rPr>
                <w:rFonts w:ascii="Arial" w:hAnsi="Arial" w:cs="Arial"/>
                <w:sz w:val="16"/>
                <w:szCs w:val="16"/>
              </w:rPr>
              <w:br/>
              <w:t>Лабор ЛС СЕ &amp; Ко. КГ, Німеччина;</w:t>
            </w:r>
            <w:r>
              <w:rPr>
                <w:rFonts w:ascii="Arial" w:hAnsi="Arial" w:cs="Arial"/>
                <w:sz w:val="16"/>
                <w:szCs w:val="16"/>
              </w:rPr>
              <w:br/>
              <w:t>контроль серії (мікробіологічні випробування):</w:t>
            </w:r>
            <w:r>
              <w:rPr>
                <w:rFonts w:ascii="Arial" w:hAnsi="Arial" w:cs="Arial"/>
                <w:sz w:val="16"/>
                <w:szCs w:val="16"/>
              </w:rPr>
              <w:br/>
              <w:t>ІТЕСТ плюс с.р.о., Чеська Республiка;</w:t>
            </w:r>
            <w:r>
              <w:rPr>
                <w:rFonts w:ascii="Arial" w:hAnsi="Arial" w:cs="Arial"/>
                <w:sz w:val="16"/>
                <w:szCs w:val="16"/>
              </w:rPr>
              <w:br/>
              <w:t>виробництво "in bulk", контроль серії (хімічні/фізичні випробування):</w:t>
            </w:r>
            <w:r>
              <w:rPr>
                <w:rFonts w:ascii="Arial" w:hAnsi="Arial" w:cs="Arial"/>
                <w:sz w:val="16"/>
                <w:szCs w:val="16"/>
              </w:rPr>
              <w:br/>
              <w:t>Роттендорф Фарма ГмбХ, Німеччина;</w:t>
            </w:r>
            <w:r>
              <w:rPr>
                <w:rFonts w:ascii="Arial" w:hAnsi="Arial" w:cs="Arial"/>
                <w:sz w:val="16"/>
                <w:szCs w:val="16"/>
              </w:rPr>
              <w:br/>
              <w:t>первинне та вторинне пакування, випуск серії:</w:t>
            </w:r>
            <w:r>
              <w:rPr>
                <w:rFonts w:ascii="Arial" w:hAnsi="Arial" w:cs="Arial"/>
                <w:sz w:val="16"/>
                <w:szCs w:val="16"/>
              </w:rPr>
              <w:br/>
              <w:t>ТАД Фарма ГмбХ, Німеччина;</w:t>
            </w:r>
            <w:r>
              <w:rPr>
                <w:rFonts w:ascii="Arial" w:hAnsi="Arial" w:cs="Arial"/>
                <w:sz w:val="16"/>
                <w:szCs w:val="16"/>
              </w:rPr>
              <w:br/>
              <w:t>контроль серії (хімічні/фізичні випробування):</w:t>
            </w:r>
            <w:r>
              <w:rPr>
                <w:rFonts w:ascii="Arial" w:hAnsi="Arial" w:cs="Arial"/>
                <w:sz w:val="16"/>
                <w:szCs w:val="16"/>
              </w:rPr>
              <w:br/>
              <w:t>ТАД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Словенія/Іспанiя/Чеська Республiка/Німеччина</w:t>
            </w:r>
          </w:p>
          <w:p w:rsidR="003D03F3" w:rsidRDefault="003D03F3">
            <w:pPr>
              <w:pStyle w:val="110"/>
              <w:tabs>
                <w:tab w:val="left" w:pos="12600"/>
              </w:tabs>
              <w:jc w:val="center"/>
              <w:rPr>
                <w:rFonts w:ascii="Arial" w:hAnsi="Arial" w:cs="Arial"/>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Адміністративна зміна вилучення виробничих ділянок ГЛЗ: Роттендорф Фарма ГмбХ (Ам Флеігендаль 3, 59320 Еннігерлох, Німеччина), що відповідає за первинне та вторинне пакування. Залишаються альтернативні виробники, що виконуються такі ж функції: Synthon Hispania S.L., Spain; TAD Pharma GmbH, Germany; Krka, d.d., Slovenia. А також вилучення виробника Сінтон БВ (Мікровег 22, 6545 СМ Ніймеген, Нідерланди), що відповідає за контроль серії (хімічні/фізичні випробування). Залишаються альтернативні виробники, що виконуються таку ж функцію: TAD Pharma GmbH, Germany; Krka, d.d., Novo mesto, Slovenia; Rottendorf Pharma GmbH, Germany (Ostenfelder Strasse 51-61, 59320 Ennigerloh); Quinta-Analytica s.r.o., Czech Republic. Зміни І типу - Адміністративні зміни. Зміна назви лікарського засобу - Зміни внесені щодо назви лікарського засобу. Затверджено: Таніз Ерас (Tanyz Eras®) Запропоновано: Таніз Ерас® (Tanyz Eras®) Введення змін протягом 6-ти місяців після затвердження Зміни І типу - Зміни щодо безпеки/ефективності та фармаконагляду (інші зміни) (В. (х) ІА)</w:t>
            </w:r>
            <w:r>
              <w:rPr>
                <w:rFonts w:ascii="Arial" w:hAnsi="Arial" w:cs="Arial"/>
                <w:sz w:val="16"/>
                <w:szCs w:val="16"/>
              </w:rPr>
              <w:br/>
              <w:t>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UA/17109/01/01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ТАНТУМ РОЗА®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розчин вагінальний 0,1 % по 140 мл у флаконі, оснащеному канюлею з кришечкою для закриття; по 5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Азіенде Кіміке Ріуніте Анжеліні Франческо А.К.Р.А.Ф.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Італiя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Азіенде Кіміке Ріуніте Анжеліні Франческо А.К.Р.А.Ф.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упаковки лікарського засобу, зокрема доповнення п.6 ІНШЕ інформацією про наявність штрих-коду лікарського засобу.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UA/4012/02/01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ТЕБАНТИН®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капсули по 300 мг, по 10 капсул у блістері, по 5 або 10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Угорщина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ВАТ "Гедеон Ріхтер"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"Спосіб застосування та дози" (уточнення інформації), "Побічні реакції" відповідно до інформації щодо медичного застосування референтного лікарського засобу (Neurontin 300 mg hard capsule).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UA/3421/01/02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капсули по 5 мг, по 5 або 20 капсул у флаконі, по 1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spacing w:after="240"/>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UA/13562/01/01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капсули по 20 мг, по 5 або 20 капсул у флаконі, по 1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UA/13562/01/02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капсули по 100 мг, по 5 або 20 капсул у флаконі, по 1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Італя/Німеччина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UA/13562/01/03</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капсули по 140 мг, по 5 капсул у флаконі; по 1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UA/13562/01/04</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капсули по 180 мг, по 5 капсул у флаконі; по 1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UA/13562/01/05</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капсули по 250 мг, по 5 капсул у флаконі; по 1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UA/13562/01/06</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ТЕНОТЕН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таблетки; по 20 таблеток у блістері; по 1 або 2 блістери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"Матеріа Медика-Україна"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ЗАТ Сантоніка</w:t>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Литва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UA/4206/01/01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ТЕТРАКСИМ®/TETRAXIM ВАКЦИНА ДЛЯ ПРОФІЛАКТИКИ ДИФТЕРІЇ, ПРАВЦЯ, КАШЛЮКУ (АЦЕЛЮЛЯРНИЙ КОМПОНЕНТ) ТА ПОЛІОМІЄЛІТУ АДСОРБОВАНА, ІНАКТИВОВАНА,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суспензія для ін’єкцій по 1 попередньо заповненому шприцу по 0,5 мл (1 доза) з прикріпленою голкою (або 2-ма окремими голками), що містить суспензію для ін’єкцій, в картонній коробці з маркуванням українською або англійською, або іншими іноземними мовами;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з маркуванням українською або англійською, або іншими іноземними мовами</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Санофі Пастер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Францiя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повний цикл виробництва, контроль якості, вторинне пакування, випуск серії: Санофі Пастер, Франція; вторинне пакування, випуск серії: Санофі-Авентіс Прайвіт Ко. Лтд., Платформа логістики та дистрибуції у м. Будапешт,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Франція/Угорщина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до специфікації вихідної речовини «натрію лактат» тестів «Assay» та «Bacterial endotoxin», а також видалення тесту «Barium». Термін введення змін - червень 2024 року;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Заміна in-house стандартного зразка дифтерійного антитоксину (серія S3190), що застосовується для визначення титру методом флокуляції у процесі виробництва, при випуску та дослідженні стабільності діючої речовини Purified Diphtheria Toxoid, на стандартний зразок від зовнішнього постачальника (серія 14AD19004). Термін введення змін - червень 2025 року.</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UA/13069/01/01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ТИГОФАСТ-120</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по 120 мг; по 10 таблеток у блістері; по 1 або 3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Ананта Медікеар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Велика Британiя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Артура Фармасьютікалз Пвт. Лтд., Індія; Фламінго Фармасьютикалс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"Побічні реакції" відповідно до оновленої інформації з безпеки діючої речовини фексофенадину гідрохлориду згідно з рекомендаціями PRAC. Термін введення змін протягом 3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UA/2730/01/01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ТИГОФАСТ-180</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по 180 мг; по 10 таблеток у блістері; по 1 або 3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Ананта Медікеар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Велика Британiя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Артура Фармасьютікалз Пвт. Лтд., Індія; Фламінго Фармасьютикалс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"Побічні реакції" відповідно до оновленої інформації з безпеки діючої речовини фексофенадину гідрохлориду згідно з рекомендаціями PRAC. Термін введення змін протягом 3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UA/2730/01/02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ТИЗЕРЦИН®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таблетки, вкриті плівковою оболонкою, по 25 мг по 50 таблеток у флаконі; по 1 флакону в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ЗАТ Фармацевтичний завод ЕГІС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Угорщина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для АФІ левомепромазину малеату СЕР R1-CEP 2016-215-Rev 00 (попередня версія СЕР R0-CEP 2016-215-Rev 01) від вже затвердженого виробника Egis Pharmaceuticals PLC, Hungary</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UA/0175/01/01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ТИЗИН® БІО</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спрей назальний, розчин 0,1 %, по 10 мл у флаконі з дозатором для розпилення, що містить срібну спіраль та захисним ковпачком; по 1 флакону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МакНіл Продактс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Англія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Фамар Хелс Кеар Сервісиз Мадрид, С.А.У.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упаковки лікарського засобу у п. 3. «НОМЕР СЕРІЇ ЛІКАРСЬКОГО ЗАСОБУ» та п. 4. «ДАТА ЗАКІНЧЕННЯ ТЕРМІНУ ПРИДАТНОСТІ».</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UA/14228/01/01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ТИЗИН® БІО</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спрей назальний, розчин 0,1 %; по 10 мл у флаконі з дозатором для розпилення, що містить срібну спіраль та захисним ковпачком; по 1 флакону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МакНіл Продактс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Англія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Фамар Хелс Кеар Сервісиз Мадрид, С.А.У.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Pr>
                <w:rFonts w:ascii="Arial" w:hAnsi="Arial" w:cs="Arial"/>
                <w:sz w:val="16"/>
                <w:szCs w:val="16"/>
              </w:rPr>
              <w:br/>
              <w:t xml:space="preserve">Діюча редакція: Агнешка Мейчер-Данн / Agnieszka Majcher-Dann. Пропонована редакція: Агнешка Шимхель / Agnieszka Szymchel. </w:t>
            </w:r>
            <w:r>
              <w:rPr>
                <w:rFonts w:ascii="Arial" w:hAnsi="Arial" w:cs="Arial"/>
                <w:sz w:val="16"/>
                <w:szCs w:val="16"/>
              </w:rPr>
              <w:br/>
              <w:t xml:space="preserve">Зміна контактних даних уповноваженої особи заявника, відповідальної за фармаконагляд.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w:t>
            </w:r>
            <w:r>
              <w:rPr>
                <w:rFonts w:ascii="Arial" w:hAnsi="Arial" w:cs="Arial"/>
                <w:sz w:val="16"/>
                <w:szCs w:val="16"/>
              </w:rPr>
              <w:br/>
              <w:t xml:space="preserve">Арнаутова Юлія Леонідівна / Arnautova Yuliya Leonidivna. Пропонована редакція: Нагорна Катерина Іванівна / Nahorna Kateryna Ivanivna. Зміна контактних даних контактної особи заявника, відповідальної за фармаконагляд в Україні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UA/14228/01/01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ТИЗИН® КСИЛО</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краплі назальні, розчин 0,05 %; по 10 мл у флаконі; по 1 флакону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МакНіл Продактс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Англія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ДЕЛЬФАРМ ОРЛЕАН</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Pr>
                <w:rFonts w:ascii="Arial" w:hAnsi="Arial" w:cs="Arial"/>
                <w:sz w:val="16"/>
                <w:szCs w:val="16"/>
              </w:rPr>
              <w:br/>
              <w:t xml:space="preserve">Діюча редакція: Агнешка Мейчер-Данн / Agnieszka Majcher-Dann. Пропонована редакція: Агнешка Шимхель / Agnieszka Szymchel. Зміна контактних даних уповноваженої особи заявника, відповідальної за фармаконагляд.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Арнаутова Юлія Леонідівна / Arnautova Yuliya Leonidivna. Пропонована редакція: Нагорна Катерина Іванівна / Nahorna Kateryna Ivanivna. Зміна контактних даних контактної особи заявника, відповідальної за фармаконагляд в Україні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UA/4817/01/01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ТИЗИН® КСИЛО</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краплі назальні, розчин 0,1 %; по 10 мл у флаконі; по 1 флакону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МакНіл Продактс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Англія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ДЕЛЬФАРМ ОРЛЕАН</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Pr>
                <w:rFonts w:ascii="Arial" w:hAnsi="Arial" w:cs="Arial"/>
                <w:sz w:val="16"/>
                <w:szCs w:val="16"/>
              </w:rPr>
              <w:br/>
              <w:t xml:space="preserve">Діюча редакція: Агнешка Мейчер-Данн / Agnieszka Majcher-Dann. Пропонована редакція: Агнешка Шимхель / Agnieszka Szymchel. Зміна контактних даних уповноваженої особи заявника, відповідальної за фармаконагляд.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Арнаутова Юлія Леонідівна / Arnautova Yuliya Leonidivna. Пропонована редакція: Нагорна Катерина Іванівна / Nahorna Kateryna Ivanivna. Зміна контактних даних контактної особи заявника, відповідальної за фармаконагляд в Україні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UA/4817/01/02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ТИЗИН® КСИЛО</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спрей назальний, розчин 0,05 %; по 10 мл у флаконі; по 1 флакону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МакНіл Продактс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Англія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ДЕЛЬФАРМ ОРЛЕАН</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Pr>
                <w:rFonts w:ascii="Arial" w:hAnsi="Arial" w:cs="Arial"/>
                <w:sz w:val="16"/>
                <w:szCs w:val="16"/>
              </w:rPr>
              <w:br/>
              <w:t>Діюча редакція: Агнешка Мейчер-Данн / Agnieszka Majcher-Dann. Пропонована редакція: Агнешка Шимхель / Agnieszka Szymchel. Зміна контактних даних уповноваженої особи заявника, відповідальної за фармаконагляд.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Арнаутова Юлія Леонідівна / Arnautova Yuliya Leonidivna. Пропонована редакція: Нагорна Катерина Іванівна / Nahorna Kateryna Ivanivna.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UA/8179/01/01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ТИЗИН® КСИЛО</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розчин 0,1 %; по 10 мл у флаконі; по 1 флакону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МакНіл Продактс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Англія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ДЕЛЬФАРМ ОРЛЕАН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Pr>
                <w:rFonts w:ascii="Arial" w:hAnsi="Arial" w:cs="Arial"/>
                <w:sz w:val="16"/>
                <w:szCs w:val="16"/>
              </w:rPr>
              <w:br/>
              <w:t>Діюча редакція: Агнешка Мейчер-Данн / Agnieszka Majcher-Dann. Пропонована редакція: Агнешка Шимхель / Agnieszka Szymchel. Зміна контактних даних уповноваженої особи заявника, відповідальної за фармаконагляд.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Арнаутова Юлія Леонідівна / Arnautova Yuliya Leonidivna. Пропонована редакція: Нагорна Катерина Іванівна / Nahorna Kateryna Ivanivna.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UA/8179/01/02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ТИРОГЕН® 0,9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lang w:val="ru-RU"/>
              </w:rPr>
            </w:pPr>
            <w:r>
              <w:rPr>
                <w:rFonts w:ascii="Arial" w:hAnsi="Arial" w:cs="Arial"/>
                <w:sz w:val="16"/>
                <w:szCs w:val="16"/>
                <w:lang w:val="ru-RU"/>
              </w:rPr>
              <w:t>порошок для приготування розчину (0,9 мг/мл) для ін'єкцій по 1,1 мг; 2 флакони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lang w:val="ru-RU"/>
              </w:rPr>
            </w:pPr>
            <w:r>
              <w:rPr>
                <w:rFonts w:ascii="Arial" w:hAnsi="Arial" w:cs="Arial"/>
                <w:sz w:val="16"/>
                <w:szCs w:val="16"/>
                <w:lang w:val="ru-RU"/>
              </w:rPr>
              <w:t>Джензайм Юроп Б.В.</w:t>
            </w:r>
            <w:r>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Нiдерланди</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виробництво кінцевого продукту (fill/finish), контроль серії, первинна та вторинна упаковка, дозвіл на випуск серії: </w:t>
            </w:r>
            <w:r>
              <w:rPr>
                <w:rFonts w:ascii="Arial" w:hAnsi="Arial" w:cs="Arial"/>
                <w:sz w:val="16"/>
                <w:szCs w:val="16"/>
              </w:rPr>
              <w:br/>
              <w:t>Джензайм Iрланд Лімітед, Ірландія;</w:t>
            </w:r>
            <w:r>
              <w:rPr>
                <w:rFonts w:ascii="Arial" w:hAnsi="Arial" w:cs="Arial"/>
                <w:sz w:val="16"/>
                <w:szCs w:val="16"/>
              </w:rPr>
              <w:br/>
              <w:t>виробництво нерозфасованої продукції:</w:t>
            </w:r>
            <w:r>
              <w:rPr>
                <w:rFonts w:ascii="Arial" w:hAnsi="Arial" w:cs="Arial"/>
                <w:sz w:val="16"/>
                <w:szCs w:val="16"/>
              </w:rPr>
              <w:br/>
              <w:t>Джензайм Корпорейшн, США</w:t>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Ірландія/США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внесення зміни до матеріалів реєстраційного досьє (розділів 3.2.S.2.1. та 3.2.Р.3.1. Виробник(и)), а саме зміна адреси виробничої дільниці Genzyme Corporation, United States, відповідальної за виробництво, тестування зформульованої нерозфасованої активної субстанції, зберігання клітинних банків, контроль якості в процесі виробництва, випробування стабільності зформульованої нерозфасованої активної субстанції (FBDS) та ГЛЗ, без зміни місця виробництва;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внесення зміни до розділу 3.2.Р.3.1. Виробник(и), а саме: зміна назви виробничої дільниці, відповідальної за тестування стерильності ГЛЗ, без зміни місця виробництва. Внесення незначних редакційних правок до матеріалів реєстраційного досьє, а саме: В назві дільниці для ГЛЗ, Genzyme Ireland Ltd, Ireland, абревіатура Ltd. замінено на Limited.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Genzyme Limited, United Kingdom, що відповідає за вторинну упаковку, дозвіл на випуск серії ГЛЗ. Затверджена виробнича дільниця, що залишилась – Genzyme Ireland Limited, Ireland – виконує ті самі функції, що вилучена. Зміни внесено в інструкцію для медичного застосування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(вилучення виробничої дільниці).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UA/9743/01/01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ТІАМЕКС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розчин для ін`єкцій, 50 мг/мл по 2 мл в ампулі; по 5 ампул у блістері; по 2 блістери в пачці; по 5 мл в ампулі; по 5 ампул у блістері; по 1 блістеру в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Приватне акціонерне товариство "Лекхім-Харків"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Адміністративна зміна вилучення виробника діючої речовини ТОВ "Біон", Російська Федерація. Залишається альтернативний виробник діючої речовини Товариство з обмеженою відповідальністю "ФАРМХІМ",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UA/16935/01/01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ТІВАРГІН-Н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розчин для інфузій, 42 мг/мл по 100 мл у флаконі, по 1 флакону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"ФАРМАСЕЛ"</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контроль, випуск серії: ТОВ “ФАРМАСЕЛ”, Україна; нерозфасований продукт, первинна упаковка, вторинна упаковка, контроль:</w:t>
            </w:r>
            <w:r>
              <w:rPr>
                <w:rFonts w:ascii="Arial" w:hAnsi="Arial" w:cs="Arial"/>
                <w:sz w:val="16"/>
                <w:szCs w:val="16"/>
              </w:rPr>
              <w:br/>
              <w:t>ВІОСЕР С.А. ПАРЕНТЕРАЛ СОЛЮШНС ІНДАСТРІ,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Греція/Україна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Pr>
                <w:rFonts w:ascii="Arial" w:hAnsi="Arial" w:cs="Arial"/>
                <w:sz w:val="16"/>
                <w:szCs w:val="16"/>
              </w:rPr>
              <w:br/>
              <w:t>Діюча редакція: Супрун Едуард Володимирович. Пропонована редакція: Богач Тетяна Олександрівна.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UA/19033/01/01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ТОМОГЕКСОЛ®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розчин для ін’єкцій, 300 мг йоду/мл; по 20 мл в ампулі, по 5 ампул у пачці; по 20 мл або 50 мл, або 100 мл, або 200 мл, або 500 мл у флаконі, по 1 флакону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w:t>
            </w:r>
            <w:r>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"Діти" (уточнення інформації), "Побічні реакції" згідно з інформацією щодо медичного застосування референтного лікарського засобу (ОМНІПАК, розчин для ін’єкцій).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UA/7853/01/02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ТОМОГЕКСОЛ®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розчин для ін’єкцій, 350 мг йоду/мл: по 20 мл в ампулі, по 5 ампул у пачці; по 20 мл або 50 мл, або 100 мл, або 200 мл, або 500 мл у флаконі, по 1 флакону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w:t>
            </w:r>
            <w:r>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"Діти" (уточнення інформації), "Побічні реакції" згідно з інформацією щодо медичного застосування референтного лікарського засобу (ОМНІПАК, розчин для ін’єкцій).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UA/7853/01/03</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ТОМОГЕКСОЛ®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розчин для ін’єкцій, 240 мг йоду/мл: по 20 мл в ампулі, по 5 ампул у пачці; по 20 мл або 50 мл, або 100 мл у флаконі, по 1 флакону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w:t>
            </w:r>
            <w:r>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"Діти" (уточнення інформації), "Побічні реакції" згідно з інформацією щодо медичного застосування референтного лікарського засобу (ОМНІПАК, розчин для ін’єкцій).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UA/7853/01/01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ТРАЙКОР® 145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по 145 мг; по 10 таблеток у блістері; по 2 або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Абботт Лабораторіз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Виробництво in bulk: Ірландські Лабораторії Фурньє Лімітед, Ірландія; пакування, випуск та контроль серій: Астреа Фонтен, Франція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Ірландія/Франція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 R1-CEP 2001-314-Rev 02 (попередня версія R1-CEP 2001-314-Rev 01) для діючої речовини фенофібрату від вже затвердженого виробника SYNKEM SAS, France, та, як наслідок, зміна назви виробника з «SYNKEM SAS» на «Corden Pharma Chenove», без зміни місця провадження виробничої діяльності.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w:t>
            </w:r>
            <w:r>
              <w:rPr>
                <w:rFonts w:ascii="Arial" w:hAnsi="Arial" w:cs="Arial"/>
                <w:sz w:val="16"/>
                <w:szCs w:val="16"/>
              </w:rPr>
              <w:br/>
              <w:t xml:space="preserve">Вилучення сертифікату відповідності Європейській фармакопеї CEP R1-CEP 1998-128-Rev 06 для діючої речовини фенофібрат для виробника COPRIMA SA, Spain (виробнича дільниця MOEHS IBERICA SL), включаючи вилучення раніше затвердженої дільниці MICRON Technologies Ltd, England відповідальної за процес мікронізації та аналітичне тестування.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UA/7921/01/01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ТРОКСЕВАЗИН®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гель 2 % по 40 г у мембранній алюмінієвій або мембранній ламінатній тубі, по 1 тубі в картонній пачці; по 20 г або по 100 г у мембранній ламінатній тубі, по 1 тубі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Балканфарма-Троян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Болгарія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"Застосування у період вагітності або годування груддю", "Побічні реакції" відповідно до інформації з безпеки діючої речовини. Введення змін протягом 3-х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UA/3368/01/01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ТРУКСАЛ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по 50 мг; по 50 таблеток у контейнері; по 1 контейнеру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Лундбек Експорт А/С</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Данiя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виробництво нерозфасованого продукту, первинне та вторинне пакування, випуск серій: Х. Лундбек А/С, Данія; випробування за показником "мікробіологічна чистота": Еурофінс Біофарма Продакт Тестінг Денмарк А/С,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Данiя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Внесення змін до р.3.2.S.2.3 Контроль матеріалів (Dry gaseous Hydrogen Chloride), а саме - заміна показників якості: "Хлористий водень", "Хлор (Cl2)" та "Вода" на показник «Чистота» (CoA) з межею </w:t>
            </w:r>
            <w:r>
              <w:rPr>
                <w:rStyle w:val="csab6e0769173"/>
                <w:color w:val="auto"/>
                <w:sz w:val="16"/>
                <w:szCs w:val="16"/>
              </w:rPr>
              <w:t xml:space="preserve">≥ </w:t>
            </w:r>
            <w:r>
              <w:rPr>
                <w:rFonts w:ascii="Arial" w:hAnsi="Arial" w:cs="Arial"/>
                <w:sz w:val="16"/>
                <w:szCs w:val="16"/>
              </w:rPr>
              <w:t xml:space="preserve"> 99,8 %;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Внесення змін до р.3.2.S.2.3 Контроль матеріалів (Dry gaseous Hydrogen Chloride), а саме-вилучення незначного показника якості: "Хлористий водень", "Хлор (Cl2)" та "Вода" вилучено та замінено на тест "Чистота". Видалено застарілі випробування, а також вилучено специфікації "інших матеріалів", які не є критичними для процесу. Крім того, внесення редакційних змін в 3.2.S.2.3 для тих змін, які не класифікуються як модифікації;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Постачальників вихідного матеріалу 2-хлортіоксантон, Blue Circle Organics та Nagase, було вилучено з комерційних причин. Виробник, що залишився виконує ті ж самі функції що і вилучений;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постачальника вихідної сировини 2-хлортіоксантон, без зміни місця виробництва Затверджено Suven Life Sciences Limited Serene Chambers Road 7 500034 Hyderabad Andhra Pradesh India Запропоновано Suven Pharmaceuticals Limited Dasaigudem, Suryapet-508 213, Suryapet Dist, Telangana, India;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Внесення змін до р.3.2.S.2.3 Контроль матеріалів (3-Dimethylaminopropyl chloride HCl (65%)w/w), а саме- доповнення специфікації показником Чистота (ГХ) (власне виробництво або від постачальника) 3-Dimethylaminopropyl chloride з межею не менше 99 % та доповнення специфікації показником Чистота (ГХ) (власної розробки або від постачальника) на домішку Біс-диметиламінопропан з обмеженням 0,5 %;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Внесення змін до р.3.2.S.2.3 Контроль матеріалів. Вихідний матеріал: 2-хлортіоксантон: Додається аналіз Кількісне визначення (ВЕРХ) з межею 97 - 103%. для вихідного матеріалу 3-Диметиламінопропілхлорид HCl (65%) w/w: Щільність / показник заломлення або NIR включено як ідентифікаційний тест. Тест для аналізу Кількісне визначення (титрування або NIR) з межею 63 - 67% w/w, цей тест також забезпечує перевірку ідентифікації матеріалу;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р.3.2.S.2.3 Контроль матеріалів, а саме- для вихідного матеріалу 2-хлортіоксантон метод Ідентифікації ВЕРХ замінить поточний метод ідентифікації (температура плавлення і ТШХ) і поточний метод ТШХ для визначення домішок. Межі для домішок залишаються незмінними</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UA/2208/01/02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ТРУКСАЛ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по 25 мг; по 100 таблеток у контейнері; по 1 контейнеру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Лундбек Експорт А/С</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Данiя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виробництво нерозфасованого продукту, первинне та вторинне пакування, випуск серій: Х. Лундбек А/С, Данія; випробування за показником "мікробіологічна чистота": Еурофінс Біофарма Продакт Тестінг Денмарк А/С,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Данiя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Внесення змін до р.3.2.S.2.3 Контроль матеріалів (Dry gaseous Hydrogen Chloride), а саме - заміна показників якості: "Хлористий водень", "Хлор (Cl2)" та "Вода" на показник «Чистота» (CoA) з межею </w:t>
            </w:r>
            <w:r>
              <w:rPr>
                <w:rStyle w:val="csab6e0769173"/>
                <w:color w:val="auto"/>
                <w:sz w:val="16"/>
                <w:szCs w:val="16"/>
              </w:rPr>
              <w:t xml:space="preserve">≥ </w:t>
            </w:r>
            <w:r>
              <w:rPr>
                <w:rFonts w:ascii="Arial" w:hAnsi="Arial" w:cs="Arial"/>
                <w:sz w:val="16"/>
                <w:szCs w:val="16"/>
              </w:rPr>
              <w:t>99,8 %;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Внесення змін до р.3.2.S.2.3 Контроль матеріалів (Dry gaseous Hydrogen Chloride), а саме-вилучення незначного показника якості: "Хлористий водень", "Хлор (Cl2)" та "Вода" вилучено та замінено на тест "Чистота". Видалено застарілі випробування, а також вилучено специфікації "інших матеріалів", які не є критичними для процесу. Крім того, внесення редакційних змін в 3.2.S.2.3 для тих змін, які не класифікуються як модифікації;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Постачальників вихідного матеріалу 2-хлортіоксантон, Blue Circle Organics та Nagase, було вилучено з комерційних причин. Виробник, що залишився виконує ті ж самі функції що і вилучений;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постачальника вихідної сировини 2-хлортіоксантон, без зміни місця виробництва Затверджено Suven Life Sciences Limited Serene Chambers Road 7 500034 Hyderabad Andhra Pradesh India Запропоновано Suven Pharmaceuticals Limited Dasaigudem, Suryapet-508 213, Suryapet Dist, Telangana, India;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Внесення змін до р.3.2.S.2.3 Контроль матеріалів (3-Dimethylaminopropyl chloride HCl (65%)w/w), а саме- доповнення специфікації показником Чистота (ГХ) (власне виробництво або від постачальника) 3-Dimethylaminopropyl chloride з межею не менше 99 % та доповнення специфікації показником Чистота (ГХ) (власної розробки або від постачальника) на домішку Біс-диметиламінопропан з обмеженням 0,5 %;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Внесення змін до р.3.2.S.2.3 Контроль матеріалів. Вихідний матеріал: 2-хлортіоксантон: Додається аналіз Кількісне визначення (ВЕРХ) з межею 97 - 103%. для вихідного матеріалу 3-Диметиламінопропілхлорид HCl (65%) w/w: Щільність / показник заломлення або NIR включено як ідентифікаційний тест. Тест для аналізу Кількісне визначення (титрування або NIR) з межею 63 - 67% w/w, цей тест також забезпечує перевірку ідентифікації матеріалу;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р.3.2.S.2.3 Контроль матеріалів, а саме- для вихідного матеріалу 2-хлортіоксантон метод Ідентифікації ВЕРХ замінить поточний метод ідентифікації (температура плавлення і ТШХ) і поточний метод ТШХ для визначення домішок. Межі для домішок залишаються незмінними</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UA/2208/01/01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ТУСАВІТ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сироп по 125 г або по 250 г у пляшці скляній або пластиковій; по 1 пляшці з мірною чашечкою, з кришечкою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Фармацеутіше фабрік Монтавіт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Австрія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Австрія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w:t>
            </w:r>
          </w:p>
          <w:p w:rsidR="003D03F3" w:rsidRDefault="003D03F3">
            <w:pPr>
              <w:pStyle w:val="110"/>
              <w:tabs>
                <w:tab w:val="left" w:pos="12600"/>
              </w:tabs>
              <w:jc w:val="center"/>
              <w:rPr>
                <w:rFonts w:ascii="Arial" w:hAnsi="Arial" w:cs="Arial"/>
                <w:sz w:val="16"/>
                <w:szCs w:val="16"/>
              </w:rPr>
            </w:pPr>
            <w:r>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оновлення затвердженої методики випробування ГЛЗ за показником «Вміст: Екстракт чебрецю (тимол); Екстракт подорожника, (актеозид)» (Ph. Eur. 2.2.29);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приведення випробування ГЛЗ за показником «Вміст» у відповідності до оригінальних матеріалів виробника, а саме доповнення типовими хроматограмами, актуалізовано опис методу «ВЕРХ-відбитки»;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приведення тексту опису методу випробування ГЛЗ за показником «Зовнішній вигляд» у відповідності до оригінальних матеріалів виробника. Критерії прийнятності залишаються без змін;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приведення тексту методу випробування ГЛЗ за показником «рН» (Ph.Eur. 2.2.3) у відповідності до оригінальних матеріалів виробника;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приведення тексту опису методу випробування ГЛЗ за показником «Відносна густина» (Ph.Eur. 2.2.5) у відповідності до оригінальних матеріалів виробника;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приведення тексту опису методу випробування ГЛЗ за показником «Вміст етанолу» (Ph.Eur. 2.9.10) у відповідності до оригінальних матеріалів виробника;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приведення опису методу випробування ГЛЗ за показником «Ідентифікація» (Ph. Eur. 2.2.29) у відповідності до оригінальних матеріалів виробника;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приведення тексту опису методу випробування ГЛЗ за показником «Вміст консерванту: натрію бензоату» (Ph.Eur. 2.2.29) у відповідності до оригінальних матеріалів виробника.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UA/7788/01/01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УБІСТЕЗИН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розчин для ін'єкцій по 1,7 мл у картриджі; по 50 картриджів у металевій банці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3М Дойчланд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3М Дойчланд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фармаконагляду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UA/10196/01/01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УМКАЛОР®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сироп; по 100 мл або по 200 мл у флаконі з мірним ковпачком; по 1 флакону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Др. Вільмар Швабе ГмбХ і Ко. КГ</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Виробництво продукції in bulk, первинне та вторинне пакування, контроль якості та випуск серій:</w:t>
            </w:r>
            <w:r>
              <w:rPr>
                <w:rFonts w:ascii="Arial" w:hAnsi="Arial" w:cs="Arial"/>
                <w:sz w:val="16"/>
                <w:szCs w:val="16"/>
              </w:rPr>
              <w:br/>
              <w:t xml:space="preserve">Др. Вільмар Швабе ГмбХ і Ко. КГ, Німеччина; </w:t>
            </w:r>
            <w:r>
              <w:rPr>
                <w:rFonts w:ascii="Arial" w:hAnsi="Arial" w:cs="Arial"/>
                <w:sz w:val="16"/>
                <w:szCs w:val="16"/>
              </w:rPr>
              <w:br/>
              <w:t>Первинне та вторинне пакування:</w:t>
            </w:r>
            <w:r>
              <w:rPr>
                <w:rFonts w:ascii="Arial" w:hAnsi="Arial" w:cs="Arial"/>
                <w:sz w:val="16"/>
                <w:szCs w:val="16"/>
              </w:rPr>
              <w:br/>
              <w:t xml:space="preserve">В. Шпітцнер Арцнайміттельфабрік ГмбХ, Німеччина </w:t>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Адміністративна зміна назви виробника, відповідального за первинне та вторинне пакування. Зміна обумовлена організаційними змінами в групі компаній Др. Швабе. Виробнича дільниця, адреса, та всі виробничі операції залишаються незмінними</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UA/6691/02/01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УПСАРИН УПСА 500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таблетки шипучі по 500 мг по 4 таблетки в стрипі; по 4 стрипи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УПСА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Францiя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Lilit Khatchikian, MD, MS. Пропонована редакція: El Mahdi Benchekroun, MD. Зміна контактних даних уповноваженої особи заявника, відповідальної за здійснення фармаконагляду.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UA/2308/01/01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УПСАРИН УПСА З ВІТАМІНОМ 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шипучі; по 10 таблеток у тубі; по 1 або 2 туби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УПСА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Францiя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spacing w:after="240"/>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Lilit Khatchikian, MD, MS. Пропонована редакція: El Mahdi Benchekroun, MD. Зміна контактних даних уповноваженої особи заявника, відповідальної за здійснення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UA/7598/01/01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УСПОКОЙ</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по 20 таблеток у блістері; по 1 блістеру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"Матеріа Медика-Україна"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ЗАТ Сантоніка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Литва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UA/7857/01/01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УФАЛАЗА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по 20 таблеток у блістері; по 1 або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"Матеріа Медика-Україна"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ЗАТ Сантоніка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Литва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UA/18563/01/01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ФАРЛІНЕКС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спрей оромукозний, розчин, по 30 мл у флаконі; по 1 флакону з насосом-розпилювачем та аплікатором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Босналек д.д.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Боснiя i Герцеговина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Боснiя i Герцеговина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у методиці визначення за показником «Супровідні домішки» для діючої речовини хлоргексидину диглюконату обумовлено приведенням у відповідність до вимог монографії ЄФ.</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UA/17111/01/01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ФАРМАКСОН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розчин для ін'єкцій, 250 мг/мл по 2 мл або по 4 мл в ампулі; по 5 ампул в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"ФАРМАСЕЛ"</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контроль, випуск серії: ТОВ «ФАРМАСЕЛ», Україна; вторинна упаковка, контроль: ХОЛОПАК Ферпакунгстехнік ГмбХ, Німеччина; виробництво нерозфасованої продукції, первинна та вторинна упаковка, контроль: ХОЛОПАК Ферпакунгстехнік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Pr>
                <w:rFonts w:ascii="Arial" w:hAnsi="Arial" w:cs="Arial"/>
                <w:sz w:val="16"/>
                <w:szCs w:val="16"/>
              </w:rPr>
              <w:br/>
              <w:t>Діюча редакція: Супрун Едуард Володимирович. Пропонована редакція: Богач Тетяна Олександрівна. Зміна номера мастер-файла системи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UA/13932/01/01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ФЕНІСТИЛ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краплі оральні, 1 мг/мл; по 20 мл у флаконі з крапельницею;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ГСК Консьюмер Хелскер САРЛ</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Швейцарія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ГСК Консьюмер Хелскер САРЛ</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sz w:val="16"/>
                <w:szCs w:val="16"/>
              </w:rPr>
              <w:br/>
              <w:t xml:space="preserve">Діюча редакція: Dr. Jens-Ulrich Stegmann, MD. Пропонована редакція: John Poustie.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Pr>
                <w:rFonts w:ascii="Arial" w:hAnsi="Arial" w:cs="Arial"/>
                <w:sz w:val="16"/>
                <w:szCs w:val="16"/>
              </w:rPr>
              <w:br/>
              <w:t>Діюча редакція: Лапчинська Інна Ігорівна / Lapchynska Inna Igorivna. Пропонована редакція: Кириліва Галина Георгіївна / Kyryliva Galyna Georgiivna.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UA/9377/01/01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ФЕНІСТИЛ 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гель 0,1 %; по 30 г у тубі; по 1 тубі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ГСК Консьюмер Хелскер САРЛ</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Швейцарія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виробництво за повним циклом: ГСК Консьюмер Хелскер САРЛ</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Швейцарія  </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Pr>
                <w:rFonts w:ascii="Arial" w:hAnsi="Arial" w:cs="Arial"/>
                <w:sz w:val="16"/>
                <w:szCs w:val="16"/>
              </w:rPr>
              <w:br/>
              <w:t xml:space="preserve">Діюча редакція: Dr. Jens-Ulrich Stegmann, MD. Пропонована редакція: John Poustie.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Pr>
                <w:rFonts w:ascii="Arial" w:hAnsi="Arial" w:cs="Arial"/>
                <w:sz w:val="16"/>
                <w:szCs w:val="16"/>
              </w:rPr>
              <w:br/>
              <w:t xml:space="preserve">Діюча редакція: Лапчинська Інна Ігорівна / Lapchynska Inna Igorivna. Пропонована редакція: Кириліва Галина Георгіївна / Kyryliva Galyna Georgiivna.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UA/0894/01/01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ФЕНІСТИЛ ЕМУЛЬСІЯ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емульсія нашкірна 0,1 %; по 8 мл у флаконі з кульковим аплікатором; по 1 флакону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ГСК Консьюмер Хелскер САРЛ</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Швейцарія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ГСК Консьюмер Хелскер САРЛ</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Pr>
                <w:rFonts w:ascii="Arial" w:hAnsi="Arial" w:cs="Arial"/>
                <w:sz w:val="16"/>
                <w:szCs w:val="16"/>
              </w:rPr>
              <w:br/>
              <w:t>Діюча редакція: Dr. Jens-Ulrich Stegmann, MD. Пропонована редакція: John Poustie.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w:t>
            </w:r>
            <w:r>
              <w:rPr>
                <w:rFonts w:ascii="Arial" w:hAnsi="Arial" w:cs="Arial"/>
                <w:sz w:val="16"/>
                <w:szCs w:val="16"/>
              </w:rPr>
              <w:br/>
              <w:t xml:space="preserve">Діюча редакція: Лапчинська Інна Ігорівна / Lapchynska Inna Igorivna. Пропонована редакція: Кириліва Галина Георгіївна / Kyryliva Galyna Georgiivna.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UA/13867/01/01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ФЕРВЕКС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порошок для орального розчину 8 саше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УПСА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Францiя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Lilit Khatchikian, MD, MS. Пропонована редакція: El Mahdi Benchekroun, MD. Зміна контактних даних уповноваженої особи заявника, відповідальної за здійснення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UA/7600/01/01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ФЕРВЕКС ДЛЯ ДОРОСЛИХ</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порошок для орального розчину 8 саше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УПСА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Францiя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Lilit Khatchikian, MD, MS. Пропонована редакція: El Mahdi Benchekroun, MD. </w:t>
            </w:r>
            <w:r>
              <w:rPr>
                <w:rFonts w:ascii="Arial" w:hAnsi="Arial" w:cs="Arial"/>
                <w:sz w:val="16"/>
                <w:szCs w:val="16"/>
              </w:rPr>
              <w:br/>
              <w:t xml:space="preserve">Зміна контактних даних уповноваженої особи заявника, відповідальної за здійснення фармаконагляду.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UA/7741/01/01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ФЕРВЕКС ДЛЯ ДОРОСЛИХ БЕЗ ЦУКРУ</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порошок для орального розчину по 8 саше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УПСА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Францiя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Lilit Khatchikian, MD, MS. Пропонована редакція: El Mahdi Benchekroun, MD. Зміна контактних даних уповноваженої особи заявника, відповідальної за здійснення фармаконагляду.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UA/5441/01/01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ФЕРВЕКС ДЛЯ ДОРОСЛИХ З МАЛИНОВИМ СМАКОМ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порошок для орального розчину 8 саше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УПСА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Францiя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Lilit Khatchikian, MD, MS. Пропонована редакція: El Mahdi Benchekroun, MD. Зміна контактних даних уповноваженої особи заявника, відповідальної за здійснення фармаконагляду.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UA/3128/01/01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ФЛОКСАЛ®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мазь очна 0,3 % по 3 г мазі у ламінованій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«БАУШ ХЕЛС»</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Др. Герхард Манн Хем.-фарм. Фабрик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оновлення специфікації АФІ та методів контролю АФІ офлоксацин обох виробників Daiichi та Quimica Sintetica обумовлено приведенням до вимог оновленої монографії ЄФ.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2000-134-Rev 05 (затверджено: R1-CEP 2000-134-Rev 04) для АФІ офлоксацину для вже затвердженого виробника Quimica Sintetica S.A.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2000-134-Rev 06 для АФІ офлоксацину від вже затвердженого виробника Quimica Sintetica S.A.</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UA/8528/02/01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ФЛУІМУЦИЛ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розчин для ін'єкцій, 100 мг/мл по 3 мл в ампулі; по 5 ампул у пластиковому піддоні в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Замбон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Італiя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технічна помилка (згідно наказу МОЗ від 23.07.2015 № 460). Технічну помилку виправлено в інструкції для медичного застосування лікарського засобу в тексті заголовку та в розділі "Особливості застосування", а саме виправлено граматичні помилки. Затверджено: «…ІНСТРУЦІЯ....на натрій-контрольованої дієті». Запропоновано: «...ІНСТРУКЦІЯ…на натрій-контрольованій дієті». Зазначене виправлення відповідає архівним матеріалам реєстраційного досьє.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UA/8504/01/01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ФЛУІМУЦИЛ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розчин для ін'єкцій, 100 мг/мл по 3 мл в ампулі; по 5 ампул у пластиковому піддоні в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Замбон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Італiя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технічна помилка (згідно наказу МОЗ від 23.07.2015 № 460). Виправлено технічну помилку у тексті маркування вторинної упаковки лікарського засобу: Затверджено: 3. ПЕРЕЛІК ДОПОМІЖНИХ РЕЧОВИН допоміжні речовині: натрію гідроксид, динатрію едетат, вода для ін’єкцій. Запропоновано: 3. ПЕРЕЛІК ДОПОМІЖНИХ РЕЧОВИН допоміжні речовини: натрію гідроксид, динатрію едетат, вода для ін’єкцій. Зазначене виправлення відповідає матеріалам реєстраційного досьє.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UA/8504/01/01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ФЛУМАЗЕНІЛ ФАРМАСЕЛЕКТ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 xml:space="preserve">розчин для ін`єкцій, 0,1 мг/мл по 5 мл в ампулі, по 5 або 10 ампул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Фармаселект Інтернешнл Бетелігангз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Австрія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Квізда Фармадистрибьюшн ГмбХ , Австрія (вторинне пакування); Фарма Пак Хангері Гіоцергіарто Корлатолт Фелелосегу Таршашаг (Фарма Пак Хангері Кфт.)/Фарма Пак Хангері Лтд., Угорщина (вторинне пакування); Фармаселект Інтернешнл Бетелігангз ГмбХ, Австрія (виробник, який відповідає за випуск серії); ЦЕНЕКСІ, Францiя (випуск продукції in bulk, первинне та вторинне пакування,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Австрія/Угорщина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2003-237 - Rev 03 та R1-CEP 2003-237 - Rev 06 (затверджено: R1-CEP 2003-237 - Rev 02) для АФІ флумазенілу від вже затвердженого виробника Wavelength Enterprises LTD, Ізраїль.</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UA/18091/01/01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ФЛУРБІПРОФЕН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порошок (субстанція) у мішках подвійних поліетиленових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Хай-Гро Кемікалз Фармтек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 CEP 2017-129-Rev 04 (затверджено: R0- CEP 2017-129-Rev 03) для АФІ Флурбіпрофен від вже затвердженого виробника HY-GRO CHEMICALS PHARMTEK PRIVATE LIMITED, Індія</w:t>
            </w:r>
            <w:r>
              <w:rPr>
                <w:rFonts w:ascii="Arial" w:hAnsi="Arial" w:cs="Arial"/>
                <w:sz w:val="16"/>
                <w:szCs w:val="16"/>
              </w:rPr>
              <w:br/>
              <w:t>Як наслідок, відбулися зміни в специфікації та методах контролю за показниками: «Залишкові кількості органічних розчинників» - (Видаляються органічні розчинники: N,N – диметилформамід та метанол. Для контролю залишено розчинник бензол з нормуванням - не більше 2 ppm) відповідно до вимог СЕР; Специфікацію та методи контролю АФІ за показником «Супровідні домішки» приведено у відповідність до вимог монографії Flurbiprofen ЕР</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UA/18987/01/01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ФЛУЦИНАР® N</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мазь, по 15 г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"БАУШ ХЕЛС"</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Фармзавод Єльфа A.Т.</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незначна зміна в методі випробування ГЛЗ за показником «Ідентифікація флуоцинолону ацетоніду» (Ph.Eur. 2.2.27) - вилучено уточнення щодо температури реактиву. В методі «Кількісне визначення флуоцинолону ацетоніду» (Ph.Eur. 2.2.29) - зміна обладнання, умов хроматографування, приготування розчинів, параметрів придатності хроматографічної системи, розрахункової формули.</w:t>
            </w:r>
            <w:r>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незначна зміна в методі випробування ГЛЗ за показником «Ідентифікація неоміцину сульфату» ( Ph.Eur. 2.2.27) та «Кількісне визначення неоміцину сульфату» (Ph.Eur.2.7.2).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w:t>
            </w:r>
            <w:r>
              <w:rPr>
                <w:rFonts w:ascii="Arial" w:hAnsi="Arial" w:cs="Arial"/>
                <w:sz w:val="16"/>
                <w:szCs w:val="16"/>
              </w:rPr>
              <w:br/>
              <w:t>зміни в методах випробування ГЛЗ за показником «Супутні домішки флуоцинолону ацетоніду» (Ph.Eur.2.2.29) та «Супутні домішки неоміцину сульфату» (Ph.Eur.2.2.29).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внесення змін в специфікацію ГЛЗ за показником «Супутні домішки флуоцинолону ацетоніду», а саме додавання домішок B та D. Розширення вимог специфікації за показником «Сума домішок» на термін придатності</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UA/2879/01/01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ФОРАТЕК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аерозоль (суспензія) для інгаляцій, 12 мкг/дозу, по 120 доз в алюмінієвому контейнері; по 1 алюмінієвому контейнеру з дозуючим клапаном, пластиковим розпилювачем та захисним ковпачком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Ципла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Ципла Лтд. (Юніт ІІ)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лікарського засобу: Діюча редакція: Частота подання РОЗБ – 3 роки; Кінцева дата для включення даних до РОЗБ – 31.05.2023 р.; </w:t>
            </w:r>
            <w:r>
              <w:rPr>
                <w:rFonts w:ascii="Arial" w:hAnsi="Arial" w:cs="Arial"/>
                <w:sz w:val="16"/>
                <w:szCs w:val="16"/>
              </w:rPr>
              <w:br/>
              <w:t xml:space="preserve">Дата подання – 29.08.2023 р. Пропонована редакція: Частота подання РОЗБ – 5 років; Кінцева дата для включення даних до РОЗБ – 31.05.2025 р.; Дата подання – 29.08.2025 р. 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UA/16649/01/01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ФРІ-АЛ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по 5 мг по 10 таблеток у блістері, по 1 або по 2, або по 3, або по 9 блістерів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"Ксантіс Фарма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Кіпр</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Санека Фармасьютікалз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Словацька Республіка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уточнення умов відпуску та рекламування в наказі МОЗ України № 879 від 11.05.2023 в процесі внесення змін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4 роки. Запропоновано: Термін придатності: 5 років. Введення змін протягом 6-ти місяців після затвердження). Редакція в наказі - за рецептом; не підлягає. Вірна редакція - без рецепта; підлягає.</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UA/16683/01/01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ФУРАСОЛ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обполіскувач, порошок 0,1 г/пакетик, по 1 г препарату у пакетику, по 5 або 15 пакетиків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 "Олайнфарм"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Латвiя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Латвiя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Pr>
                <w:rFonts w:ascii="Arial" w:hAnsi="Arial" w:cs="Arial"/>
                <w:sz w:val="16"/>
                <w:szCs w:val="16"/>
              </w:rPr>
              <w:br/>
              <w:t>Діюча редакція: Прискока Андрій. Пропонована редакція: Савченко Дмитро Сергійович.Зміна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UA/1627/01/01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ФУРОСЕМІД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розчин для ін’єкцій, 10 мг/мл по 2 мл в ампулі, по 10 ампул в пачці; по 2 мл в ампулі, по 10 ампул у блістері, по 1 блістеру в пачці; по 2 мл в ампулі, по 5 ампул у блістері, по 2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Товариство з обмеженою відповідальністю "Фармацевтична компанія "Здоров'я"</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контроль якості, випуск серії:</w:t>
            </w:r>
            <w:r>
              <w:rPr>
                <w:rFonts w:ascii="Arial" w:hAnsi="Arial" w:cs="Arial"/>
                <w:sz w:val="16"/>
                <w:szCs w:val="16"/>
              </w:rPr>
              <w:br/>
              <w:t>Товариство з обмеженою відповідальністю "Дослідний завод " ГНЦЛС"</w:t>
            </w:r>
            <w:r>
              <w:rPr>
                <w:rFonts w:ascii="Arial" w:hAnsi="Arial" w:cs="Arial"/>
                <w:sz w:val="16"/>
                <w:szCs w:val="16"/>
              </w:rPr>
              <w:br/>
              <w:t xml:space="preserve">Україна; </w:t>
            </w:r>
            <w:r>
              <w:rPr>
                <w:rFonts w:ascii="Arial" w:hAnsi="Arial" w:cs="Arial"/>
                <w:sz w:val="16"/>
                <w:szCs w:val="16"/>
              </w:rPr>
              <w:br/>
              <w:t>всі стадії виробництва, контроль якості, випуск серії:</w:t>
            </w:r>
            <w:r>
              <w:rPr>
                <w:rFonts w:ascii="Arial" w:hAnsi="Arial" w:cs="Arial"/>
                <w:sz w:val="16"/>
                <w:szCs w:val="16"/>
              </w:rPr>
              <w:br/>
              <w:t>Товариство з обмеженою відповідальністю "Фармацевтична компанія "Здоров'я"</w:t>
            </w:r>
            <w:r>
              <w:rPr>
                <w:rFonts w:ascii="Arial" w:hAnsi="Arial" w:cs="Arial"/>
                <w:sz w:val="16"/>
                <w:szCs w:val="16"/>
              </w:rPr>
              <w:br/>
              <w:t xml:space="preserve">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w:t>
            </w:r>
            <w:r>
              <w:rPr>
                <w:rFonts w:ascii="Arial" w:hAnsi="Arial" w:cs="Arial"/>
                <w:sz w:val="16"/>
                <w:szCs w:val="16"/>
              </w:rPr>
              <w:br/>
              <w:t xml:space="preserve">Запропоновано: Термін придатності: 3 роки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UA/5153/01/01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ХЕЛПЕКС® АНТИКОЛД НЕО</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порошок для орального розчину з лимонним смаком; по 4 г порошку в саше; по 10 саше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"Мові Хелс"</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виробництво за повним циклом: Алпекс Фарма СА, Швейцарія; первинне та вторинне пакування: Ламп Сан Просперо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Швейцарія/Італія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для АФІ фенілефрину гідрохлориду R1-CEP 2003-179-Rev 04 (попередня версія R1-CEP 2003-179-Rev 03) від вже затвердженого виробника Malladi Drugs &amp; Pharmaceuticals Limited Unit-3, India, у зв’язку із зміною назви району в адресі, а саме Vellore district змінено на Ranipet District, а також із внесенням незначних редакційних правок в адресі власника СЕР та виробничої дільниці АФІ.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UA/15354/01/01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ХЕЛПЕКС® АНТИКОЛД НЕО</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порошок для орального розчину з малиновим смаком по 4 г порошку в саше; по 10 саше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"Мові Хелс"</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виробництво за повним циклом: Алпекс Фарма СА, Швейцарія; первинне та вторинне пакування: Ламп Сан Просперо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Швейцарія/Італія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для АФІ фенілефрину гідрохлориду R1-CEP 2003-179-Rev 04 (попередня версія R1-CEP 2003-179-Rev 03) від вже затвердженого виробника Malladi Drugs &amp; Pharmaceuticals Limited Unit-3, India, у зв’язку із зміною назви району в адресі, а саме Vellore district змінено на Ranipet District, а також із внесенням незначних редакційних правок в адресі власника СЕР та виробничої дільниці АФІ.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UA/15355/01/01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ЦЕТЛО®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in bulk: по 1000 таблеток у поліетиленових пакетах</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ОРГАНОСИН ЛАЙФСАЄНСИЗ (ЕФ ЗЕТ І)</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ОАЕ</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Евертоджен Лайф Саєнсиз  Лімітед</w:t>
            </w:r>
            <w:r>
              <w:rPr>
                <w:rFonts w:ascii="Arial" w:hAnsi="Arial" w:cs="Arial"/>
                <w:sz w:val="16"/>
                <w:szCs w:val="16"/>
              </w:rPr>
              <w:br/>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spacing w:after="240"/>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2 роки, запропоновано: 3 роки).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UA/15639/01/01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ЦЕТЛО®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по 10 таблеток у блістері; по 1 блістеру у картонній коробці; по 10 таблеток у блістері; по 2 блістери у картонній коробці;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ОРГАНОСИН ЛАЙФСАЄНСИЗ (ЕФ ЗЕТ І)</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ОАЕ</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Евертоджен Лайф Саєнсиз  Лімітед</w:t>
            </w:r>
            <w:r>
              <w:rPr>
                <w:rFonts w:ascii="Arial" w:hAnsi="Arial" w:cs="Arial"/>
                <w:sz w:val="16"/>
                <w:szCs w:val="16"/>
              </w:rPr>
              <w:br/>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2 роки, запропоновано: 3 роки).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UA/15638/01/01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ЦЕФЕПІМ</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порошок для розчину для ін'єкцій по 1000 мг, in bulk: по 50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ААР ФАРМА ФЗ-ЛЛС</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Об'єднанi Арабськi Емiрати</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Сенс Лабораторіс Пвт. Лтд.</w:t>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w:t>
            </w:r>
          </w:p>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стосується всіх інших лікарських форм сукупного (комплексного) виробничого процесу). </w:t>
            </w:r>
            <w:r>
              <w:rPr>
                <w:rFonts w:ascii="Arial" w:hAnsi="Arial" w:cs="Arial"/>
                <w:sz w:val="16"/>
                <w:szCs w:val="16"/>
              </w:rPr>
              <w:br/>
              <w:t>Збільшення розміру серії, Затверджено: 10 кг (5040 флаконів) Запропоновано: 70 кг (35282 флакона).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UA/18354/01/01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ЦЕФЕПІМ</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порошок для розчину для ін'єкцій по 1000 мг, по 1 флакону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ААР ФАРМА ФЗ-ЛЛС</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Об'єднанi Арабськi Емiрати</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Сенс Лабораторіс Пвт. Лтд.</w:t>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w:t>
            </w:r>
          </w:p>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стосується всіх інших лікарських форм сукупного (комплексного) виробничого процесу). </w:t>
            </w:r>
            <w:r>
              <w:rPr>
                <w:rFonts w:ascii="Arial" w:hAnsi="Arial" w:cs="Arial"/>
                <w:sz w:val="16"/>
                <w:szCs w:val="16"/>
              </w:rPr>
              <w:br/>
              <w:t>Збільшення розміру серії, Затверджено: 10 кг (5040 флаконів) Запропоновано: 70 кг (35282 флакона).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UA/18353/01/01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ЦЕФМА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вкриті плівковою оболонкою, по 200 мг, по 10 таблеток у блістері, по 1 або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Словенія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Сандоз ГмбХ-Виробнича дільниця Антиінфекційні ГЛЗ та Хімічні Операції Кундль (АІХО ГЛЗ Кундль)</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Австрія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w:t>
            </w:r>
          </w:p>
          <w:p w:rsidR="003D03F3" w:rsidRDefault="003D03F3">
            <w:pPr>
              <w:pStyle w:val="110"/>
              <w:tabs>
                <w:tab w:val="left" w:pos="12600"/>
              </w:tabs>
              <w:jc w:val="center"/>
              <w:rPr>
                <w:rFonts w:ascii="Arial" w:hAnsi="Arial" w:cs="Arial"/>
                <w:sz w:val="16"/>
                <w:szCs w:val="16"/>
              </w:rPr>
            </w:pPr>
            <w:r>
              <w:rPr>
                <w:rFonts w:ascii="Arial" w:hAnsi="Arial" w:cs="Arial"/>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змін до виробничого процесу ЛЗ, зокрема: додано змішування на етапі 3 та етапі 9. Змішування на етапі 3 додано до виробничого процесу у зв'язку із збільшенням розміру серії для забезпечення однорідної суміші, оскільки суміш АФІ буде розділена на дві грануляційні підсерії. Після подрібнення гранул було включено змішування на етапі 9, щоб забезпечити однорідне змішування гранул двох підсерій. Незначні зміни у виробничому процесі у зв'язку з впровадженням нового еквівалентного обладнання на етапі 7. Сушка, на етапі 8. Просіювання, на етапі 16. Покриття оболонкою. Редакційні правки в р. 3.2.Р.8.1. Підсумок та висновок щодо стабільності: приведення показників контролю протоколу дослідження стабільності до затвердженої специфікації ЛЗ;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ЛЗ - 580 000 одиниць</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UA/14864/01/02</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ЦЕФТАЗИДИМ ЮРІЯ-ФАРМ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порошок для розчину для ін'єкцій по 1000 мг; по 1 або по 10 флаконів з порошком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"Юрія-Фарм"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ТОВ "Юрія-Фарм", Україна (пакування із форми in bulk НСПС Хебей Хуамін Фармасьютікал Компані Лімітед,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уточнення реєстраційної процедури в наказі МОЗ України № 498 від 16.03.2023 - Зміни I типу: Зміни з якості. Готовий лікарський засіб. Контроль готового лікарського засобу (інші зміни) - викладлення тексту МКЯ українською мовою.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зміна критеріїв прийнятності за показником «Опис», відповідно до вимог USP. Зміни внесені в розділ "Лікарська форма. Основні фізико-хімічні властивості" в інструкцію для медичного застосування лікарського засобу.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додавання до специфікації ГЛЗ показника якості «Відновлений розчин: Повнота розчинення та прозорість, видимі частки», у відповідності до вимог USP. 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затверджених методах випробування за показниками «Опис», «Втрата в масі при висушуванні», «Вміст натрію карбонату», «Кількісне визначення», «Однорідність дозованих одиниць».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приведення вимог специфікації ГЛЗ за показником «Кількісне визначення» у відповідність до вимог монографії USP на лікарський засіб.</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UA/18147/01/01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ЦЕФУААР 0.750Г</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порошок для розчину для ін'єкцій по 750 мг, по 1 або 10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ААР ФАРМА ФЗ-ЛЛС</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Об'єднанi Арабськi Емiрати</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Зейсс Фармас’ютікелс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Pr>
                <w:rFonts w:ascii="Arial" w:hAnsi="Arial" w:cs="Arial"/>
                <w:sz w:val="16"/>
                <w:szCs w:val="16"/>
              </w:rPr>
              <w:br/>
              <w:t xml:space="preserve">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UA/17539/01/01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ЦЕФУААР 1.5 Г</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порошок для розчину для ін`єкцій по 1500 мг; по 1 або 10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ААР Фарма ФЗ-ЛЛС</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Об'єднанi Арабськi Емiрати</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Зейсс Фармас’ютікелс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Pr>
                <w:rFonts w:ascii="Arial" w:hAnsi="Arial" w:cs="Arial"/>
                <w:sz w:val="16"/>
                <w:szCs w:val="16"/>
              </w:rPr>
              <w:br/>
              <w:t>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p w:rsidR="003D03F3" w:rsidRDefault="003D03F3">
            <w:pPr>
              <w:pStyle w:val="110"/>
              <w:tabs>
                <w:tab w:val="left" w:pos="12600"/>
              </w:tabs>
              <w:jc w:val="center"/>
              <w:rPr>
                <w:rFonts w:ascii="Arial" w:hAnsi="Arial" w:cs="Arial"/>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UA/17487/01/01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ЦЕФУРОКСИМ     1.5 Г</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порошок для розчину для ін`єкцій по 1500 мг</w:t>
            </w:r>
            <w:r>
              <w:rPr>
                <w:rFonts w:ascii="Arial" w:hAnsi="Arial" w:cs="Arial"/>
                <w:sz w:val="16"/>
                <w:szCs w:val="16"/>
              </w:rPr>
              <w:br/>
              <w:t>1 або 10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ААР ФАРМА ФЗ-ЛЛС</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Об'єднанi Арабськi Емiрати</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Зейсс Фармас’ютікелс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Pr>
                <w:rFonts w:ascii="Arial" w:hAnsi="Arial" w:cs="Arial"/>
                <w:sz w:val="16"/>
                <w:szCs w:val="16"/>
              </w:rPr>
              <w:br/>
              <w:t>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UA/17488/01/01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ЦЕФУРОКСИМ 750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порошок для розчину для ін`єкцій по 750 мг по 1 або 10 флаконів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ААР ФАРМА ФЗ-ЛЛС</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Об'єднанi Арабськi Емiрати</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Зейсс Фармас’ютікелc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Pr>
                <w:rFonts w:ascii="Arial" w:hAnsi="Arial" w:cs="Arial"/>
                <w:sz w:val="16"/>
                <w:szCs w:val="16"/>
              </w:rPr>
              <w:br/>
              <w:t>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pStyle w:val="110"/>
              <w:tabs>
                <w:tab w:val="left" w:pos="12600"/>
              </w:tabs>
              <w:jc w:val="center"/>
              <w:rPr>
                <w:rFonts w:ascii="Arial" w:hAnsi="Arial" w:cs="Arial"/>
                <w:i/>
                <w:sz w:val="16"/>
                <w:szCs w:val="16"/>
                <w:lang w:val="ru-RU"/>
              </w:rPr>
            </w:pPr>
            <w:r>
              <w:rPr>
                <w:rFonts w:ascii="Arial" w:hAnsi="Arial" w:cs="Arial"/>
                <w:i/>
                <w:sz w:val="16"/>
                <w:szCs w:val="16"/>
                <w:lang w:val="ru-RU"/>
              </w:rPr>
              <w:t>Не</w:t>
            </w:r>
          </w:p>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UA/17542/01/01</w:t>
            </w:r>
          </w:p>
        </w:tc>
      </w:tr>
      <w:tr w:rsidR="003D03F3" w:rsidTr="00E420B5">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3D03F3" w:rsidRDefault="003D03F3" w:rsidP="003D03F3">
            <w:pPr>
              <w:pStyle w:val="110"/>
              <w:numPr>
                <w:ilvl w:val="0"/>
                <w:numId w:val="7"/>
              </w:numPr>
              <w:tabs>
                <w:tab w:val="left" w:pos="12600"/>
              </w:tabs>
              <w:rPr>
                <w:rFonts w:ascii="Arial" w:hAnsi="Arial" w:cs="Arial"/>
                <w:b/>
                <w:sz w:val="18"/>
                <w:szCs w:val="18"/>
              </w:rPr>
            </w:pPr>
          </w:p>
        </w:tc>
        <w:tc>
          <w:tcPr>
            <w:tcW w:w="1278" w:type="dxa"/>
            <w:tcBorders>
              <w:top w:val="single" w:sz="4" w:space="0" w:color="auto"/>
              <w:left w:val="single" w:sz="4" w:space="0" w:color="000000"/>
              <w:bottom w:val="single" w:sz="4" w:space="0" w:color="auto"/>
              <w:right w:val="single" w:sz="4" w:space="0" w:color="auto"/>
            </w:tcBorders>
            <w:shd w:val="clear" w:color="auto" w:fill="FFFFFF"/>
            <w:hideMark/>
          </w:tcPr>
          <w:p w:rsidR="003D03F3" w:rsidRDefault="003D03F3">
            <w:pPr>
              <w:pStyle w:val="110"/>
              <w:tabs>
                <w:tab w:val="left" w:pos="12600"/>
              </w:tabs>
              <w:rPr>
                <w:rFonts w:ascii="Arial" w:hAnsi="Arial" w:cs="Arial"/>
                <w:b/>
                <w:i/>
                <w:sz w:val="16"/>
                <w:szCs w:val="16"/>
              </w:rPr>
            </w:pPr>
            <w:r>
              <w:rPr>
                <w:rFonts w:ascii="Arial" w:hAnsi="Arial" w:cs="Arial"/>
                <w:b/>
                <w:sz w:val="16"/>
                <w:szCs w:val="16"/>
              </w:rPr>
              <w:t>ЦИТРАМОН В</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rPr>
                <w:rFonts w:ascii="Arial" w:hAnsi="Arial" w:cs="Arial"/>
                <w:sz w:val="16"/>
                <w:szCs w:val="16"/>
              </w:rPr>
            </w:pPr>
            <w:r>
              <w:rPr>
                <w:rFonts w:ascii="Arial" w:hAnsi="Arial" w:cs="Arial"/>
                <w:sz w:val="16"/>
                <w:szCs w:val="16"/>
              </w:rPr>
              <w:t>таблетки; по 6 або 10 таблеток у стрипах; по 6 або 10 таблеток у блістерах; по 6 таблеток у стрипі; по 2 або 10 стрипів у пачці з картону; по 10 таблеток у стрипі; по 2 або 10 стрипів у пачці з картону; по 6 таблеток у блістері; по 2 або 10 блістерів у пачці з картону; по 10 таблеток у блістері; по 2 або 10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ПАТ «Монфарм» </w:t>
            </w:r>
            <w:r>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 xml:space="preserve">ПАТ «Монфарм» </w:t>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ПАТ "Монфарм", Україна, без зміни місця виробництва.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Совгира Сергій Сергійович. Пропонована редакція: Пастушенко Інна Вікторівна.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b/>
                <w:i/>
                <w:sz w:val="16"/>
                <w:szCs w:val="16"/>
              </w:rPr>
            </w:pPr>
            <w:r>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03F3" w:rsidRDefault="003D03F3">
            <w:pPr>
              <w:jc w:val="center"/>
              <w:rPr>
                <w:rFonts w:ascii="Arial" w:hAnsi="Arial" w:cs="Arial"/>
                <w:i/>
                <w:sz w:val="16"/>
                <w:szCs w:val="16"/>
              </w:rPr>
            </w:pPr>
            <w:r>
              <w:rPr>
                <w:rFonts w:ascii="Arial" w:hAnsi="Arial" w:cs="Arial"/>
                <w:i/>
                <w:sz w:val="16"/>
                <w:szCs w:val="16"/>
              </w:rPr>
              <w:t>підлягає</w:t>
            </w:r>
          </w:p>
          <w:p w:rsidR="003D03F3" w:rsidRDefault="003D03F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3D03F3" w:rsidRDefault="003D03F3">
            <w:pPr>
              <w:pStyle w:val="110"/>
              <w:tabs>
                <w:tab w:val="left" w:pos="12600"/>
              </w:tabs>
              <w:jc w:val="center"/>
              <w:rPr>
                <w:rFonts w:ascii="Arial" w:hAnsi="Arial" w:cs="Arial"/>
                <w:sz w:val="16"/>
                <w:szCs w:val="16"/>
              </w:rPr>
            </w:pPr>
            <w:r>
              <w:rPr>
                <w:rFonts w:ascii="Arial" w:hAnsi="Arial" w:cs="Arial"/>
                <w:sz w:val="16"/>
                <w:szCs w:val="16"/>
              </w:rPr>
              <w:t>UA/7359/01/01</w:t>
            </w:r>
          </w:p>
        </w:tc>
      </w:tr>
    </w:tbl>
    <w:p w:rsidR="003D03F3" w:rsidRDefault="003D03F3" w:rsidP="003D03F3">
      <w:pPr>
        <w:rPr>
          <w:rFonts w:eastAsia="Times New Roman"/>
          <w:sz w:val="24"/>
          <w:szCs w:val="24"/>
        </w:rPr>
      </w:pPr>
    </w:p>
    <w:p w:rsidR="003D03F3" w:rsidRDefault="003D03F3" w:rsidP="003D03F3">
      <w:pPr>
        <w:ind w:right="20"/>
        <w:rPr>
          <w:rFonts w:ascii="Arial" w:hAnsi="Arial" w:cs="Arial"/>
          <w:b/>
          <w:i/>
          <w:sz w:val="18"/>
          <w:szCs w:val="18"/>
        </w:rPr>
      </w:pPr>
    </w:p>
    <w:p w:rsidR="003D03F3" w:rsidRDefault="003D03F3" w:rsidP="003D03F3">
      <w:pPr>
        <w:ind w:right="20"/>
        <w:rPr>
          <w:rFonts w:ascii="Arial" w:hAnsi="Arial" w:cs="Arial"/>
          <w:b/>
          <w:i/>
          <w:sz w:val="18"/>
          <w:szCs w:val="18"/>
        </w:rPr>
      </w:pPr>
      <w:r>
        <w:rPr>
          <w:rFonts w:ascii="Arial" w:hAnsi="Arial" w:cs="Arial"/>
          <w:b/>
          <w:i/>
          <w:sz w:val="18"/>
          <w:szCs w:val="18"/>
        </w:rPr>
        <w:t>*у разі внесення змін до інструкції про медичне застосування</w:t>
      </w:r>
    </w:p>
    <w:p w:rsidR="003D03F3" w:rsidRDefault="003D03F3" w:rsidP="003D03F3">
      <w:pPr>
        <w:ind w:right="20"/>
        <w:rPr>
          <w:rFonts w:ascii="Arial" w:hAnsi="Arial" w:cs="Arial"/>
          <w:b/>
          <w:i/>
          <w:sz w:val="18"/>
          <w:szCs w:val="18"/>
        </w:rPr>
      </w:pPr>
    </w:p>
    <w:p w:rsidR="003D03F3" w:rsidRDefault="003D03F3" w:rsidP="003D03F3">
      <w:pPr>
        <w:ind w:right="20"/>
        <w:rPr>
          <w:rStyle w:val="cs7864ebcf1"/>
          <w:color w:val="auto"/>
        </w:rPr>
      </w:pPr>
    </w:p>
    <w:tbl>
      <w:tblPr>
        <w:tblW w:w="0" w:type="auto"/>
        <w:tblLook w:val="04A0" w:firstRow="1" w:lastRow="0" w:firstColumn="1" w:lastColumn="0" w:noHBand="0" w:noVBand="1"/>
      </w:tblPr>
      <w:tblGrid>
        <w:gridCol w:w="7421"/>
        <w:gridCol w:w="7422"/>
      </w:tblGrid>
      <w:tr w:rsidR="003D03F3" w:rsidTr="003D03F3">
        <w:tc>
          <w:tcPr>
            <w:tcW w:w="7421" w:type="dxa"/>
            <w:hideMark/>
          </w:tcPr>
          <w:p w:rsidR="003D03F3" w:rsidRDefault="003D03F3">
            <w:pPr>
              <w:rPr>
                <w:rStyle w:val="cs95e872d03"/>
                <w:rFonts w:ascii="Arial" w:hAnsi="Arial" w:cs="Arial"/>
                <w:sz w:val="28"/>
                <w:szCs w:val="28"/>
              </w:rPr>
            </w:pPr>
            <w:r>
              <w:rPr>
                <w:rStyle w:val="cs7a65ad241"/>
                <w:color w:val="auto"/>
                <w:sz w:val="28"/>
                <w:szCs w:val="28"/>
              </w:rPr>
              <w:t xml:space="preserve">Начальник </w:t>
            </w:r>
          </w:p>
          <w:p w:rsidR="003D03F3" w:rsidRDefault="003D03F3">
            <w:pPr>
              <w:ind w:right="20"/>
              <w:rPr>
                <w:rStyle w:val="cs7864ebcf1"/>
                <w:b w:val="0"/>
                <w:color w:val="auto"/>
                <w:sz w:val="28"/>
                <w:szCs w:val="28"/>
              </w:rPr>
            </w:pPr>
            <w:r>
              <w:rPr>
                <w:rStyle w:val="cs7a65ad241"/>
                <w:color w:val="auto"/>
                <w:sz w:val="28"/>
                <w:szCs w:val="28"/>
              </w:rPr>
              <w:t>Фармацевтичного управління</w:t>
            </w:r>
          </w:p>
        </w:tc>
        <w:tc>
          <w:tcPr>
            <w:tcW w:w="7422" w:type="dxa"/>
          </w:tcPr>
          <w:p w:rsidR="003D03F3" w:rsidRDefault="003D03F3">
            <w:pPr>
              <w:pStyle w:val="cs95e872d0"/>
              <w:rPr>
                <w:rStyle w:val="cs7864ebcf1"/>
                <w:color w:val="auto"/>
                <w:sz w:val="28"/>
                <w:szCs w:val="28"/>
              </w:rPr>
            </w:pPr>
          </w:p>
          <w:p w:rsidR="003D03F3" w:rsidRDefault="003D03F3">
            <w:pPr>
              <w:pStyle w:val="cs95e872d0"/>
              <w:jc w:val="right"/>
              <w:rPr>
                <w:rStyle w:val="cs7864ebcf1"/>
                <w:color w:val="auto"/>
                <w:sz w:val="28"/>
                <w:szCs w:val="28"/>
              </w:rPr>
            </w:pPr>
            <w:r>
              <w:rPr>
                <w:rStyle w:val="cs7a65ad241"/>
                <w:color w:val="auto"/>
              </w:rPr>
              <w:t>Тарас ЛЯСКОВСЬКИЙ</w:t>
            </w:r>
          </w:p>
        </w:tc>
      </w:tr>
      <w:tr w:rsidR="003D03F3" w:rsidTr="003D03F3">
        <w:tc>
          <w:tcPr>
            <w:tcW w:w="7421" w:type="dxa"/>
          </w:tcPr>
          <w:p w:rsidR="003D03F3" w:rsidRDefault="003D03F3">
            <w:pPr>
              <w:ind w:right="20"/>
              <w:rPr>
                <w:rStyle w:val="cs7864ebcf1"/>
                <w:b w:val="0"/>
                <w:color w:val="auto"/>
                <w:sz w:val="28"/>
                <w:szCs w:val="28"/>
              </w:rPr>
            </w:pPr>
          </w:p>
        </w:tc>
        <w:tc>
          <w:tcPr>
            <w:tcW w:w="7422" w:type="dxa"/>
          </w:tcPr>
          <w:p w:rsidR="003D03F3" w:rsidRDefault="003D03F3">
            <w:pPr>
              <w:pStyle w:val="cs95e872d0"/>
              <w:jc w:val="right"/>
              <w:rPr>
                <w:rStyle w:val="cs7864ebcf1"/>
                <w:color w:val="auto"/>
                <w:sz w:val="28"/>
                <w:szCs w:val="28"/>
              </w:rPr>
            </w:pPr>
          </w:p>
        </w:tc>
      </w:tr>
    </w:tbl>
    <w:p w:rsidR="003D03F3" w:rsidRDefault="003D03F3" w:rsidP="003D03F3">
      <w:pPr>
        <w:pStyle w:val="11"/>
        <w:jc w:val="both"/>
        <w:rPr>
          <w:rFonts w:ascii="Arial" w:hAnsi="Arial" w:cs="Arial"/>
        </w:rPr>
      </w:pPr>
    </w:p>
    <w:p w:rsidR="003D03F3" w:rsidRDefault="003D03F3" w:rsidP="003D03F3">
      <w:pPr>
        <w:pStyle w:val="11"/>
        <w:jc w:val="both"/>
        <w:rPr>
          <w:rFonts w:ascii="Arial" w:hAnsi="Arial" w:cs="Arial"/>
          <w:b/>
          <w:sz w:val="22"/>
          <w:szCs w:val="22"/>
        </w:rPr>
      </w:pPr>
      <w:r>
        <w:rPr>
          <w:b/>
          <w:sz w:val="28"/>
          <w:szCs w:val="28"/>
        </w:rPr>
        <w:br w:type="page"/>
      </w:r>
    </w:p>
    <w:tbl>
      <w:tblPr>
        <w:tblW w:w="3825" w:type="dxa"/>
        <w:tblInd w:w="11448" w:type="dxa"/>
        <w:tblLayout w:type="fixed"/>
        <w:tblLook w:val="04A0" w:firstRow="1" w:lastRow="0" w:firstColumn="1" w:lastColumn="0" w:noHBand="0" w:noVBand="1"/>
      </w:tblPr>
      <w:tblGrid>
        <w:gridCol w:w="3825"/>
      </w:tblGrid>
      <w:tr w:rsidR="003D03F3" w:rsidTr="003D03F3">
        <w:tc>
          <w:tcPr>
            <w:tcW w:w="3825" w:type="dxa"/>
            <w:hideMark/>
          </w:tcPr>
          <w:p w:rsidR="003D03F3" w:rsidRDefault="003D03F3">
            <w:pPr>
              <w:pStyle w:val="4"/>
              <w:tabs>
                <w:tab w:val="left" w:pos="12600"/>
              </w:tabs>
              <w:jc w:val="both"/>
              <w:rPr>
                <w:sz w:val="18"/>
                <w:szCs w:val="18"/>
              </w:rPr>
            </w:pPr>
            <w:r>
              <w:rPr>
                <w:sz w:val="18"/>
                <w:szCs w:val="18"/>
              </w:rPr>
              <w:t>Додаток 4</w:t>
            </w:r>
          </w:p>
          <w:p w:rsidR="003D03F3" w:rsidRDefault="003D03F3">
            <w:pPr>
              <w:pStyle w:val="4"/>
              <w:tabs>
                <w:tab w:val="left" w:pos="12600"/>
              </w:tabs>
              <w:jc w:val="both"/>
              <w:rPr>
                <w:sz w:val="18"/>
                <w:szCs w:val="18"/>
              </w:rPr>
            </w:pPr>
            <w:r>
              <w:rPr>
                <w:sz w:val="18"/>
                <w:szCs w:val="18"/>
              </w:rPr>
              <w:t>до наказу Міністерства охорони</w:t>
            </w:r>
          </w:p>
          <w:p w:rsidR="003D03F3" w:rsidRDefault="003D03F3">
            <w:pPr>
              <w:pStyle w:val="4"/>
              <w:tabs>
                <w:tab w:val="left" w:pos="12600"/>
              </w:tabs>
              <w:jc w:val="both"/>
              <w:rPr>
                <w:sz w:val="18"/>
                <w:szCs w:val="18"/>
              </w:rPr>
            </w:pPr>
            <w:r>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3D03F3" w:rsidRDefault="003D03F3">
            <w:pPr>
              <w:tabs>
                <w:tab w:val="left" w:pos="12600"/>
              </w:tabs>
              <w:jc w:val="both"/>
              <w:rPr>
                <w:rFonts w:ascii="Arial" w:hAnsi="Arial" w:cs="Arial"/>
                <w:b/>
                <w:sz w:val="18"/>
                <w:szCs w:val="18"/>
              </w:rPr>
            </w:pPr>
            <w:r>
              <w:rPr>
                <w:b/>
                <w:bCs/>
                <w:iCs/>
                <w:sz w:val="18"/>
                <w:szCs w:val="18"/>
                <w:u w:val="single"/>
              </w:rPr>
              <w:t>від 08 червня 2023 року № 1037</w:t>
            </w:r>
          </w:p>
        </w:tc>
      </w:tr>
    </w:tbl>
    <w:p w:rsidR="003D03F3" w:rsidRDefault="003D03F3" w:rsidP="003D03F3">
      <w:pPr>
        <w:jc w:val="center"/>
        <w:rPr>
          <w:rFonts w:eastAsia="Times New Roman"/>
          <w:b/>
          <w:sz w:val="28"/>
          <w:szCs w:val="28"/>
        </w:rPr>
      </w:pPr>
      <w:r>
        <w:rPr>
          <w:b/>
          <w:sz w:val="28"/>
          <w:szCs w:val="28"/>
        </w:rPr>
        <w:t>ПЕРЕЛІК</w:t>
      </w:r>
    </w:p>
    <w:p w:rsidR="003D03F3" w:rsidRDefault="003D03F3" w:rsidP="003D03F3">
      <w:pPr>
        <w:jc w:val="center"/>
        <w:rPr>
          <w:b/>
          <w:sz w:val="28"/>
          <w:szCs w:val="28"/>
        </w:rPr>
      </w:pPr>
      <w:r>
        <w:rPr>
          <w:b/>
          <w:sz w:val="28"/>
          <w:szCs w:val="28"/>
        </w:rPr>
        <w:t>ЛІКАРСЬКИХ ЗАСОБІВ, ЯКИМ ВІДМОВЛЕНО В ДЕРЖАВНІЙ РЕЄСТРАЦІЇ, ПЕРЕРЕЄСТРАЦІЇ ТА ВНЕСЕННІ ЗМІН ДО РЕЄСТРАЦІЙНИХ МАТЕРІАЛІВ</w:t>
      </w:r>
    </w:p>
    <w:p w:rsidR="003D03F3" w:rsidRDefault="003D03F3" w:rsidP="003D03F3">
      <w:pPr>
        <w:jc w:val="center"/>
        <w:rPr>
          <w:rFonts w:ascii="Arial" w:hAnsi="Arial" w:cs="Arial"/>
          <w:sz w:val="24"/>
          <w:szCs w:val="24"/>
        </w:rPr>
      </w:pPr>
    </w:p>
    <w:tbl>
      <w:tblPr>
        <w:tblW w:w="1545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5"/>
        <w:gridCol w:w="1276"/>
        <w:gridCol w:w="1417"/>
        <w:gridCol w:w="992"/>
        <w:gridCol w:w="1134"/>
        <w:gridCol w:w="1842"/>
        <w:gridCol w:w="1135"/>
        <w:gridCol w:w="1134"/>
        <w:gridCol w:w="6095"/>
      </w:tblGrid>
      <w:tr w:rsidR="003D03F3" w:rsidTr="003D03F3">
        <w:trPr>
          <w:tblHeader/>
        </w:trPr>
        <w:tc>
          <w:tcPr>
            <w:tcW w:w="426" w:type="dxa"/>
            <w:tcBorders>
              <w:top w:val="single" w:sz="4" w:space="0" w:color="auto"/>
              <w:left w:val="single" w:sz="4" w:space="0" w:color="auto"/>
              <w:bottom w:val="single" w:sz="4" w:space="0" w:color="auto"/>
              <w:right w:val="single" w:sz="4" w:space="0" w:color="auto"/>
            </w:tcBorders>
            <w:shd w:val="pct10" w:color="auto" w:fill="auto"/>
            <w:hideMark/>
          </w:tcPr>
          <w:p w:rsidR="003D03F3" w:rsidRDefault="003D03F3">
            <w:pPr>
              <w:jc w:val="center"/>
              <w:rPr>
                <w:rFonts w:ascii="Arial" w:hAnsi="Arial" w:cs="Arial"/>
                <w:b/>
                <w:i/>
                <w:sz w:val="16"/>
                <w:szCs w:val="16"/>
                <w:lang w:eastAsia="en-US"/>
              </w:rPr>
            </w:pPr>
            <w:r>
              <w:rPr>
                <w:rFonts w:ascii="Arial" w:hAnsi="Arial" w:cs="Arial"/>
                <w:b/>
                <w:i/>
                <w:sz w:val="16"/>
                <w:szCs w:val="16"/>
                <w:lang w:eastAsia="en-US"/>
              </w:rPr>
              <w:t>№ п/п</w:t>
            </w:r>
          </w:p>
        </w:tc>
        <w:tc>
          <w:tcPr>
            <w:tcW w:w="1276" w:type="dxa"/>
            <w:tcBorders>
              <w:top w:val="single" w:sz="4" w:space="0" w:color="auto"/>
              <w:left w:val="single" w:sz="4" w:space="0" w:color="auto"/>
              <w:bottom w:val="single" w:sz="4" w:space="0" w:color="auto"/>
              <w:right w:val="single" w:sz="6" w:space="0" w:color="auto"/>
            </w:tcBorders>
            <w:shd w:val="pct10" w:color="auto" w:fill="auto"/>
            <w:hideMark/>
          </w:tcPr>
          <w:p w:rsidR="003D03F3" w:rsidRDefault="003D03F3">
            <w:pPr>
              <w:jc w:val="center"/>
              <w:rPr>
                <w:rFonts w:ascii="Arial" w:hAnsi="Arial" w:cs="Arial"/>
                <w:b/>
                <w:i/>
                <w:sz w:val="16"/>
                <w:szCs w:val="16"/>
                <w:lang w:eastAsia="en-US"/>
              </w:rPr>
            </w:pPr>
            <w:r>
              <w:rPr>
                <w:rFonts w:ascii="Arial" w:hAnsi="Arial" w:cs="Arial"/>
                <w:b/>
                <w:i/>
                <w:sz w:val="16"/>
                <w:szCs w:val="16"/>
                <w:lang w:eastAsia="en-US"/>
              </w:rPr>
              <w:t>Назва лікарського засобу</w:t>
            </w:r>
          </w:p>
        </w:tc>
        <w:tc>
          <w:tcPr>
            <w:tcW w:w="1417" w:type="dxa"/>
            <w:tcBorders>
              <w:top w:val="single" w:sz="4" w:space="0" w:color="auto"/>
              <w:left w:val="single" w:sz="6" w:space="0" w:color="auto"/>
              <w:bottom w:val="single" w:sz="4" w:space="0" w:color="auto"/>
              <w:right w:val="single" w:sz="6" w:space="0" w:color="auto"/>
            </w:tcBorders>
            <w:shd w:val="pct10" w:color="auto" w:fill="auto"/>
            <w:hideMark/>
          </w:tcPr>
          <w:p w:rsidR="003D03F3" w:rsidRDefault="003D03F3">
            <w:pPr>
              <w:jc w:val="center"/>
              <w:rPr>
                <w:rFonts w:ascii="Arial" w:hAnsi="Arial" w:cs="Arial"/>
                <w:b/>
                <w:i/>
                <w:sz w:val="16"/>
                <w:szCs w:val="16"/>
                <w:lang w:eastAsia="en-US"/>
              </w:rPr>
            </w:pPr>
            <w:r>
              <w:rPr>
                <w:rFonts w:ascii="Arial" w:hAnsi="Arial" w:cs="Arial"/>
                <w:b/>
                <w:i/>
                <w:sz w:val="16"/>
                <w:szCs w:val="16"/>
                <w:lang w:eastAsia="en-US"/>
              </w:rPr>
              <w:t>Форма випуску</w:t>
            </w:r>
          </w:p>
        </w:tc>
        <w:tc>
          <w:tcPr>
            <w:tcW w:w="992" w:type="dxa"/>
            <w:tcBorders>
              <w:top w:val="single" w:sz="4" w:space="0" w:color="auto"/>
              <w:left w:val="single" w:sz="6" w:space="0" w:color="auto"/>
              <w:bottom w:val="single" w:sz="4" w:space="0" w:color="auto"/>
              <w:right w:val="single" w:sz="6" w:space="0" w:color="auto"/>
            </w:tcBorders>
            <w:shd w:val="pct10" w:color="auto" w:fill="auto"/>
            <w:hideMark/>
          </w:tcPr>
          <w:p w:rsidR="003D03F3" w:rsidRDefault="003D03F3">
            <w:pPr>
              <w:jc w:val="center"/>
              <w:rPr>
                <w:rFonts w:ascii="Arial" w:hAnsi="Arial" w:cs="Arial"/>
                <w:b/>
                <w:i/>
                <w:sz w:val="16"/>
                <w:szCs w:val="16"/>
                <w:lang w:eastAsia="en-US"/>
              </w:rPr>
            </w:pPr>
            <w:r>
              <w:rPr>
                <w:rFonts w:ascii="Arial" w:hAnsi="Arial" w:cs="Arial"/>
                <w:b/>
                <w:i/>
                <w:sz w:val="16"/>
                <w:szCs w:val="16"/>
                <w:lang w:eastAsia="en-US"/>
              </w:rPr>
              <w:t>Заявник</w:t>
            </w:r>
          </w:p>
        </w:tc>
        <w:tc>
          <w:tcPr>
            <w:tcW w:w="1134" w:type="dxa"/>
            <w:tcBorders>
              <w:top w:val="single" w:sz="4" w:space="0" w:color="auto"/>
              <w:left w:val="single" w:sz="6" w:space="0" w:color="auto"/>
              <w:bottom w:val="single" w:sz="4" w:space="0" w:color="auto"/>
              <w:right w:val="single" w:sz="6" w:space="0" w:color="auto"/>
            </w:tcBorders>
            <w:shd w:val="pct10" w:color="auto" w:fill="auto"/>
            <w:hideMark/>
          </w:tcPr>
          <w:p w:rsidR="003D03F3" w:rsidRDefault="003D03F3">
            <w:pPr>
              <w:jc w:val="center"/>
              <w:rPr>
                <w:rFonts w:ascii="Arial" w:hAnsi="Arial" w:cs="Arial"/>
                <w:b/>
                <w:i/>
                <w:sz w:val="16"/>
                <w:szCs w:val="16"/>
                <w:lang w:eastAsia="en-US"/>
              </w:rPr>
            </w:pPr>
            <w:r>
              <w:rPr>
                <w:rFonts w:ascii="Arial" w:hAnsi="Arial" w:cs="Arial"/>
                <w:b/>
                <w:i/>
                <w:sz w:val="16"/>
                <w:szCs w:val="16"/>
                <w:lang w:eastAsia="en-US"/>
              </w:rPr>
              <w:t>Країна</w:t>
            </w:r>
          </w:p>
        </w:tc>
        <w:tc>
          <w:tcPr>
            <w:tcW w:w="1842" w:type="dxa"/>
            <w:tcBorders>
              <w:top w:val="single" w:sz="4" w:space="0" w:color="auto"/>
              <w:left w:val="single" w:sz="6" w:space="0" w:color="auto"/>
              <w:bottom w:val="single" w:sz="4" w:space="0" w:color="auto"/>
              <w:right w:val="single" w:sz="6" w:space="0" w:color="auto"/>
            </w:tcBorders>
            <w:shd w:val="pct10" w:color="auto" w:fill="auto"/>
            <w:hideMark/>
          </w:tcPr>
          <w:p w:rsidR="003D03F3" w:rsidRDefault="003D03F3">
            <w:pPr>
              <w:jc w:val="center"/>
              <w:rPr>
                <w:rFonts w:ascii="Arial" w:hAnsi="Arial" w:cs="Arial"/>
                <w:b/>
                <w:i/>
                <w:sz w:val="16"/>
                <w:szCs w:val="16"/>
                <w:lang w:eastAsia="en-US"/>
              </w:rPr>
            </w:pPr>
            <w:r>
              <w:rPr>
                <w:rFonts w:ascii="Arial" w:hAnsi="Arial" w:cs="Arial"/>
                <w:b/>
                <w:i/>
                <w:sz w:val="16"/>
                <w:szCs w:val="16"/>
                <w:lang w:eastAsia="en-US"/>
              </w:rPr>
              <w:t>Виробник</w:t>
            </w:r>
          </w:p>
        </w:tc>
        <w:tc>
          <w:tcPr>
            <w:tcW w:w="1135" w:type="dxa"/>
            <w:tcBorders>
              <w:top w:val="single" w:sz="4" w:space="0" w:color="auto"/>
              <w:left w:val="single" w:sz="6" w:space="0" w:color="auto"/>
              <w:bottom w:val="single" w:sz="4" w:space="0" w:color="auto"/>
              <w:right w:val="single" w:sz="6" w:space="0" w:color="auto"/>
            </w:tcBorders>
            <w:shd w:val="pct10" w:color="auto" w:fill="auto"/>
            <w:hideMark/>
          </w:tcPr>
          <w:p w:rsidR="003D03F3" w:rsidRDefault="003D03F3">
            <w:pPr>
              <w:jc w:val="center"/>
              <w:rPr>
                <w:rFonts w:ascii="Arial" w:hAnsi="Arial" w:cs="Arial"/>
                <w:b/>
                <w:i/>
                <w:sz w:val="16"/>
                <w:szCs w:val="16"/>
                <w:lang w:eastAsia="en-US"/>
              </w:rPr>
            </w:pPr>
            <w:r>
              <w:rPr>
                <w:rFonts w:ascii="Arial" w:hAnsi="Arial" w:cs="Arial"/>
                <w:b/>
                <w:i/>
                <w:sz w:val="16"/>
                <w:szCs w:val="16"/>
                <w:lang w:eastAsia="en-US"/>
              </w:rPr>
              <w:t>Країна</w:t>
            </w:r>
          </w:p>
        </w:tc>
        <w:tc>
          <w:tcPr>
            <w:tcW w:w="1134" w:type="dxa"/>
            <w:tcBorders>
              <w:top w:val="single" w:sz="4" w:space="0" w:color="auto"/>
              <w:left w:val="single" w:sz="6" w:space="0" w:color="auto"/>
              <w:bottom w:val="single" w:sz="4" w:space="0" w:color="auto"/>
              <w:right w:val="single" w:sz="6" w:space="0" w:color="auto"/>
            </w:tcBorders>
            <w:shd w:val="pct10" w:color="auto" w:fill="auto"/>
            <w:hideMark/>
          </w:tcPr>
          <w:p w:rsidR="003D03F3" w:rsidRDefault="003D03F3">
            <w:pPr>
              <w:jc w:val="center"/>
              <w:rPr>
                <w:rFonts w:ascii="Arial" w:hAnsi="Arial" w:cs="Arial"/>
                <w:b/>
                <w:i/>
                <w:sz w:val="16"/>
                <w:szCs w:val="16"/>
                <w:lang w:eastAsia="en-US"/>
              </w:rPr>
            </w:pPr>
            <w:r>
              <w:rPr>
                <w:rFonts w:ascii="Arial" w:hAnsi="Arial" w:cs="Arial"/>
                <w:b/>
                <w:i/>
                <w:sz w:val="16"/>
                <w:szCs w:val="16"/>
                <w:lang w:eastAsia="en-US"/>
              </w:rPr>
              <w:t>Підстава</w:t>
            </w:r>
          </w:p>
        </w:tc>
        <w:tc>
          <w:tcPr>
            <w:tcW w:w="6095" w:type="dxa"/>
            <w:tcBorders>
              <w:top w:val="single" w:sz="4" w:space="0" w:color="auto"/>
              <w:left w:val="single" w:sz="6" w:space="0" w:color="auto"/>
              <w:bottom w:val="single" w:sz="4" w:space="0" w:color="auto"/>
              <w:right w:val="single" w:sz="6" w:space="0" w:color="auto"/>
            </w:tcBorders>
            <w:shd w:val="pct10" w:color="auto" w:fill="auto"/>
            <w:hideMark/>
          </w:tcPr>
          <w:p w:rsidR="003D03F3" w:rsidRDefault="003D03F3">
            <w:pPr>
              <w:jc w:val="center"/>
              <w:rPr>
                <w:rFonts w:ascii="Arial" w:hAnsi="Arial" w:cs="Arial"/>
                <w:b/>
                <w:i/>
                <w:sz w:val="16"/>
                <w:szCs w:val="16"/>
                <w:lang w:eastAsia="en-US"/>
              </w:rPr>
            </w:pPr>
            <w:r>
              <w:rPr>
                <w:rFonts w:ascii="Arial" w:hAnsi="Arial" w:cs="Arial"/>
                <w:b/>
                <w:i/>
                <w:sz w:val="16"/>
                <w:szCs w:val="16"/>
                <w:lang w:eastAsia="en-US"/>
              </w:rPr>
              <w:t>Процедура</w:t>
            </w:r>
          </w:p>
        </w:tc>
      </w:tr>
      <w:tr w:rsidR="003D03F3" w:rsidTr="003D03F3">
        <w:trPr>
          <w:trHeight w:val="557"/>
        </w:trPr>
        <w:tc>
          <w:tcPr>
            <w:tcW w:w="426" w:type="dxa"/>
            <w:tcBorders>
              <w:top w:val="single" w:sz="4" w:space="0" w:color="auto"/>
              <w:left w:val="single" w:sz="4" w:space="0" w:color="auto"/>
              <w:bottom w:val="single" w:sz="4" w:space="0" w:color="auto"/>
              <w:right w:val="single" w:sz="4" w:space="0" w:color="auto"/>
            </w:tcBorders>
          </w:tcPr>
          <w:p w:rsidR="003D03F3" w:rsidRDefault="003D03F3" w:rsidP="003D03F3">
            <w:pPr>
              <w:numPr>
                <w:ilvl w:val="0"/>
                <w:numId w:val="8"/>
              </w:numPr>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3D03F3" w:rsidRDefault="003D03F3">
            <w:pPr>
              <w:jc w:val="both"/>
              <w:rPr>
                <w:rFonts w:ascii="Arial" w:hAnsi="Arial" w:cs="Arial"/>
                <w:b/>
                <w:sz w:val="16"/>
                <w:szCs w:val="16"/>
                <w:lang w:eastAsia="en-US"/>
              </w:rPr>
            </w:pPr>
            <w:r>
              <w:rPr>
                <w:rFonts w:ascii="Arial" w:hAnsi="Arial" w:cs="Arial"/>
                <w:b/>
                <w:sz w:val="16"/>
                <w:szCs w:val="16"/>
                <w:lang w:eastAsia="en-US"/>
              </w:rPr>
              <w:t xml:space="preserve">КІОВІГ </w:t>
            </w:r>
          </w:p>
        </w:tc>
        <w:tc>
          <w:tcPr>
            <w:tcW w:w="1417" w:type="dxa"/>
            <w:tcBorders>
              <w:top w:val="single" w:sz="4" w:space="0" w:color="auto"/>
              <w:left w:val="single" w:sz="4" w:space="0" w:color="auto"/>
              <w:bottom w:val="single" w:sz="4" w:space="0" w:color="auto"/>
              <w:right w:val="single" w:sz="4" w:space="0" w:color="auto"/>
            </w:tcBorders>
          </w:tcPr>
          <w:p w:rsidR="003D03F3" w:rsidRDefault="003D03F3">
            <w:pPr>
              <w:rPr>
                <w:rFonts w:ascii="Arial" w:hAnsi="Arial" w:cs="Arial"/>
                <w:sz w:val="16"/>
                <w:szCs w:val="16"/>
                <w:lang w:eastAsia="en-US"/>
              </w:rPr>
            </w:pPr>
            <w:r>
              <w:rPr>
                <w:rFonts w:ascii="Arial" w:hAnsi="Arial" w:cs="Arial"/>
                <w:sz w:val="16"/>
                <w:szCs w:val="16"/>
                <w:lang w:eastAsia="en-US"/>
              </w:rPr>
              <w:t xml:space="preserve">розчин для інфузій 100 мг/мл по 10 мл (1 г/10 мл), по 25 мл (2,5 г/25 мл), 50 мл (5 г/50 мл), 100 мл (10 г/100 мл), 200 мл (20 г/200 мл), 300 мл (30 г/300 мл) у флаконі; по 1 флакону в коробці з маркуванням українською мовою </w:t>
            </w:r>
          </w:p>
          <w:p w:rsidR="003D03F3" w:rsidRDefault="003D03F3">
            <w:pPr>
              <w:rPr>
                <w:rFonts w:ascii="Arial" w:hAnsi="Arial" w:cs="Arial"/>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3D03F3" w:rsidRDefault="003D03F3">
            <w:pPr>
              <w:jc w:val="center"/>
              <w:rPr>
                <w:rFonts w:ascii="Arial" w:hAnsi="Arial" w:cs="Arial"/>
                <w:sz w:val="16"/>
                <w:szCs w:val="16"/>
                <w:lang w:eastAsia="en-US"/>
              </w:rPr>
            </w:pPr>
            <w:r>
              <w:rPr>
                <w:rFonts w:ascii="Arial" w:hAnsi="Arial" w:cs="Arial"/>
                <w:sz w:val="16"/>
                <w:szCs w:val="16"/>
                <w:lang w:eastAsia="en-US"/>
              </w:rPr>
              <w:t>Бакстер АГ</w:t>
            </w:r>
          </w:p>
        </w:tc>
        <w:tc>
          <w:tcPr>
            <w:tcW w:w="1134" w:type="dxa"/>
            <w:tcBorders>
              <w:top w:val="single" w:sz="4" w:space="0" w:color="auto"/>
              <w:left w:val="single" w:sz="4" w:space="0" w:color="auto"/>
              <w:bottom w:val="single" w:sz="4" w:space="0" w:color="auto"/>
              <w:right w:val="single" w:sz="4" w:space="0" w:color="auto"/>
            </w:tcBorders>
          </w:tcPr>
          <w:p w:rsidR="003D03F3" w:rsidRDefault="003D03F3">
            <w:pPr>
              <w:jc w:val="center"/>
              <w:rPr>
                <w:rFonts w:ascii="Arial" w:hAnsi="Arial" w:cs="Arial"/>
                <w:sz w:val="16"/>
                <w:szCs w:val="16"/>
                <w:lang w:eastAsia="en-US"/>
              </w:rPr>
            </w:pPr>
            <w:r>
              <w:rPr>
                <w:rFonts w:ascii="Arial" w:hAnsi="Arial" w:cs="Arial"/>
                <w:sz w:val="16"/>
                <w:szCs w:val="16"/>
                <w:lang w:eastAsia="en-US"/>
              </w:rPr>
              <w:t>Австрія</w:t>
            </w:r>
          </w:p>
          <w:p w:rsidR="003D03F3" w:rsidRDefault="003D03F3">
            <w:pPr>
              <w:jc w:val="center"/>
              <w:rPr>
                <w:rFonts w:ascii="Arial" w:hAnsi="Arial" w:cs="Arial"/>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3D03F3" w:rsidRDefault="003D03F3">
            <w:pPr>
              <w:pStyle w:val="135"/>
              <w:ind w:firstLine="0"/>
              <w:jc w:val="center"/>
              <w:rPr>
                <w:rFonts w:cs="Arial"/>
                <w:b w:val="0"/>
                <w:iCs/>
                <w:sz w:val="16"/>
                <w:szCs w:val="16"/>
                <w:lang w:eastAsia="en-US"/>
              </w:rPr>
            </w:pPr>
            <w:r>
              <w:rPr>
                <w:rFonts w:cs="Arial"/>
                <w:b w:val="0"/>
              </w:rPr>
              <w:t>Баксалта Белджіум Мануфектурінг СА, Бельгiя (виробництво, первинне та вторинне пакування, контроль якості ГЛЗ, випуск серії); Бакстер АГ, Австрія (контроль якості ГЛЗ)</w:t>
            </w:r>
          </w:p>
        </w:tc>
        <w:tc>
          <w:tcPr>
            <w:tcW w:w="1135" w:type="dxa"/>
            <w:tcBorders>
              <w:top w:val="single" w:sz="4" w:space="0" w:color="auto"/>
              <w:left w:val="single" w:sz="4" w:space="0" w:color="auto"/>
              <w:bottom w:val="single" w:sz="4" w:space="0" w:color="auto"/>
              <w:right w:val="single" w:sz="4" w:space="0" w:color="auto"/>
            </w:tcBorders>
            <w:hideMark/>
          </w:tcPr>
          <w:p w:rsidR="003D03F3" w:rsidRDefault="003D03F3">
            <w:pPr>
              <w:pStyle w:val="af"/>
              <w:spacing w:after="0"/>
              <w:ind w:left="0"/>
              <w:jc w:val="center"/>
              <w:rPr>
                <w:rFonts w:ascii="Arial" w:hAnsi="Arial" w:cs="Arial"/>
                <w:sz w:val="16"/>
                <w:szCs w:val="16"/>
                <w:lang w:eastAsia="en-US"/>
              </w:rPr>
            </w:pPr>
            <w:r>
              <w:rPr>
                <w:rFonts w:ascii="Arial" w:hAnsi="Arial" w:cs="Arial"/>
                <w:sz w:val="16"/>
                <w:szCs w:val="16"/>
                <w:lang w:eastAsia="en-US"/>
              </w:rPr>
              <w:t>Бельг</w:t>
            </w:r>
            <w:r>
              <w:rPr>
                <w:rFonts w:ascii="Arial" w:hAnsi="Arial" w:cs="Arial"/>
                <w:sz w:val="16"/>
                <w:szCs w:val="16"/>
                <w:lang w:val="en-US" w:eastAsia="en-US"/>
              </w:rPr>
              <w:t>i</w:t>
            </w:r>
            <w:r>
              <w:rPr>
                <w:rFonts w:ascii="Arial" w:hAnsi="Arial" w:cs="Arial"/>
                <w:sz w:val="16"/>
                <w:szCs w:val="16"/>
                <w:lang w:eastAsia="en-US"/>
              </w:rPr>
              <w:t>я</w:t>
            </w:r>
          </w:p>
        </w:tc>
        <w:tc>
          <w:tcPr>
            <w:tcW w:w="1134" w:type="dxa"/>
            <w:tcBorders>
              <w:top w:val="single" w:sz="4" w:space="0" w:color="auto"/>
              <w:left w:val="single" w:sz="4" w:space="0" w:color="auto"/>
              <w:bottom w:val="single" w:sz="4" w:space="0" w:color="auto"/>
              <w:right w:val="single" w:sz="4" w:space="0" w:color="auto"/>
            </w:tcBorders>
            <w:hideMark/>
          </w:tcPr>
          <w:p w:rsidR="003D03F3" w:rsidRDefault="003D03F3">
            <w:pPr>
              <w:pStyle w:val="135"/>
              <w:ind w:firstLine="0"/>
              <w:jc w:val="left"/>
              <w:rPr>
                <w:rFonts w:cs="Arial"/>
                <w:b w:val="0"/>
                <w:iCs/>
                <w:sz w:val="16"/>
                <w:szCs w:val="16"/>
                <w:lang w:val="en-US" w:eastAsia="en-US"/>
              </w:rPr>
            </w:pPr>
            <w:r>
              <w:rPr>
                <w:rFonts w:cs="Arial"/>
                <w:b w:val="0"/>
                <w:iCs/>
                <w:sz w:val="16"/>
                <w:szCs w:val="16"/>
                <w:lang w:eastAsia="en-US"/>
              </w:rPr>
              <w:t xml:space="preserve">засідання </w:t>
            </w:r>
            <w:r>
              <w:rPr>
                <w:rFonts w:cs="Arial"/>
                <w:b w:val="0"/>
                <w:iCs/>
                <w:sz w:val="16"/>
                <w:szCs w:val="16"/>
                <w:lang w:val="en-US" w:eastAsia="en-US"/>
              </w:rPr>
              <w:t>НТР № 13 від 06.04.2023</w:t>
            </w:r>
          </w:p>
        </w:tc>
        <w:tc>
          <w:tcPr>
            <w:tcW w:w="6095" w:type="dxa"/>
            <w:tcBorders>
              <w:top w:val="single" w:sz="4" w:space="0" w:color="auto"/>
              <w:left w:val="single" w:sz="4" w:space="0" w:color="auto"/>
              <w:bottom w:val="single" w:sz="4" w:space="0" w:color="auto"/>
              <w:right w:val="single" w:sz="4" w:space="0" w:color="auto"/>
            </w:tcBorders>
            <w:hideMark/>
          </w:tcPr>
          <w:p w:rsidR="003D03F3" w:rsidRDefault="003D03F3">
            <w:pPr>
              <w:pStyle w:val="af"/>
              <w:spacing w:after="0"/>
              <w:ind w:left="0"/>
              <w:jc w:val="both"/>
              <w:rPr>
                <w:rFonts w:ascii="Arial" w:hAnsi="Arial" w:cs="Arial"/>
                <w:b/>
                <w:sz w:val="16"/>
                <w:szCs w:val="16"/>
                <w:lang w:eastAsia="en-US"/>
              </w:rPr>
            </w:pPr>
            <w:r>
              <w:rPr>
                <w:rFonts w:ascii="Arial" w:hAnsi="Arial" w:cs="Arial"/>
                <w:b/>
                <w:sz w:val="16"/>
                <w:szCs w:val="16"/>
                <w:lang w:val="uk-UA" w:eastAsia="en-US"/>
              </w:rPr>
              <w:t>Відмовити у</w:t>
            </w:r>
            <w:r w:rsidRPr="003D03F3">
              <w:rPr>
                <w:rFonts w:ascii="Arial" w:hAnsi="Arial" w:cs="Arial"/>
                <w:b/>
                <w:sz w:val="16"/>
                <w:szCs w:val="16"/>
                <w:lang w:val="en-US" w:eastAsia="en-US"/>
              </w:rPr>
              <w:t xml:space="preserve"> </w:t>
            </w:r>
            <w:r>
              <w:rPr>
                <w:rFonts w:ascii="Arial" w:hAnsi="Arial" w:cs="Arial"/>
                <w:b/>
                <w:sz w:val="16"/>
                <w:szCs w:val="16"/>
                <w:lang w:eastAsia="en-US"/>
              </w:rPr>
              <w:t>затвердженн</w:t>
            </w:r>
            <w:r>
              <w:rPr>
                <w:rFonts w:ascii="Arial" w:hAnsi="Arial" w:cs="Arial"/>
                <w:b/>
                <w:sz w:val="16"/>
                <w:szCs w:val="16"/>
                <w:lang w:val="uk-UA" w:eastAsia="en-US"/>
              </w:rPr>
              <w:t>і</w:t>
            </w:r>
            <w:r>
              <w:rPr>
                <w:rFonts w:ascii="Arial" w:hAnsi="Arial" w:cs="Arial"/>
                <w:b/>
                <w:sz w:val="16"/>
                <w:szCs w:val="16"/>
                <w:lang w:val="en-US" w:eastAsia="en-US"/>
              </w:rPr>
              <w:t xml:space="preserve"> </w:t>
            </w:r>
            <w:r>
              <w:rPr>
                <w:rFonts w:ascii="Arial" w:hAnsi="Arial" w:cs="Arial"/>
                <w:b/>
                <w:sz w:val="16"/>
                <w:szCs w:val="16"/>
                <w:lang w:val="uk-UA" w:eastAsia="en-US"/>
              </w:rPr>
              <w:t xml:space="preserve"> - </w:t>
            </w:r>
            <w:r>
              <w:rPr>
                <w:rFonts w:ascii="Arial" w:hAnsi="Arial" w:cs="Arial"/>
                <w:b/>
                <w:sz w:val="16"/>
                <w:szCs w:val="16"/>
                <w:lang w:eastAsia="en-US"/>
              </w:rPr>
              <w:t>внесення</w:t>
            </w:r>
            <w:r>
              <w:rPr>
                <w:rFonts w:ascii="Arial" w:hAnsi="Arial" w:cs="Arial"/>
                <w:b/>
                <w:sz w:val="16"/>
                <w:szCs w:val="16"/>
                <w:lang w:val="en-US" w:eastAsia="en-US"/>
              </w:rPr>
              <w:t xml:space="preserve"> </w:t>
            </w:r>
            <w:r>
              <w:rPr>
                <w:rFonts w:ascii="Arial" w:hAnsi="Arial" w:cs="Arial"/>
                <w:b/>
                <w:sz w:val="16"/>
                <w:szCs w:val="16"/>
                <w:lang w:eastAsia="en-US"/>
              </w:rPr>
              <w:t>змін</w:t>
            </w:r>
            <w:r>
              <w:rPr>
                <w:rFonts w:ascii="Arial" w:hAnsi="Arial" w:cs="Arial"/>
                <w:b/>
                <w:sz w:val="16"/>
                <w:szCs w:val="16"/>
                <w:lang w:val="uk-UA" w:eastAsia="en-US"/>
              </w:rPr>
              <w:t xml:space="preserve"> </w:t>
            </w:r>
            <w:r>
              <w:rPr>
                <w:rFonts w:ascii="Arial" w:hAnsi="Arial" w:cs="Arial"/>
                <w:b/>
                <w:sz w:val="16"/>
                <w:szCs w:val="16"/>
                <w:lang w:eastAsia="en-US"/>
              </w:rPr>
              <w:t>уточнення</w:t>
            </w:r>
            <w:r>
              <w:rPr>
                <w:rFonts w:ascii="Arial" w:hAnsi="Arial" w:cs="Arial"/>
                <w:b/>
                <w:sz w:val="16"/>
                <w:szCs w:val="16"/>
                <w:lang w:val="en-US" w:eastAsia="en-US"/>
              </w:rPr>
              <w:t xml:space="preserve"> </w:t>
            </w:r>
            <w:r>
              <w:rPr>
                <w:rFonts w:ascii="Arial" w:hAnsi="Arial" w:cs="Arial"/>
                <w:b/>
                <w:sz w:val="16"/>
                <w:szCs w:val="16"/>
                <w:lang w:eastAsia="en-US"/>
              </w:rPr>
              <w:t>написання</w:t>
            </w:r>
            <w:r>
              <w:rPr>
                <w:rFonts w:ascii="Arial" w:hAnsi="Arial" w:cs="Arial"/>
                <w:b/>
                <w:sz w:val="16"/>
                <w:szCs w:val="16"/>
                <w:lang w:val="en-US" w:eastAsia="en-US"/>
              </w:rPr>
              <w:t xml:space="preserve"> </w:t>
            </w:r>
            <w:r>
              <w:rPr>
                <w:rFonts w:ascii="Arial" w:hAnsi="Arial" w:cs="Arial"/>
                <w:b/>
                <w:sz w:val="16"/>
                <w:szCs w:val="16"/>
                <w:lang w:eastAsia="en-US"/>
              </w:rPr>
              <w:t>виробників</w:t>
            </w:r>
            <w:r>
              <w:rPr>
                <w:rFonts w:ascii="Arial" w:hAnsi="Arial" w:cs="Arial"/>
                <w:b/>
                <w:sz w:val="16"/>
                <w:szCs w:val="16"/>
                <w:lang w:val="en-US" w:eastAsia="en-US"/>
              </w:rPr>
              <w:t xml:space="preserve"> </w:t>
            </w:r>
            <w:r>
              <w:rPr>
                <w:rFonts w:ascii="Arial" w:hAnsi="Arial" w:cs="Arial"/>
                <w:b/>
                <w:sz w:val="16"/>
                <w:szCs w:val="16"/>
                <w:lang w:eastAsia="en-US"/>
              </w:rPr>
              <w:t>в</w:t>
            </w:r>
            <w:r>
              <w:rPr>
                <w:rFonts w:ascii="Arial" w:hAnsi="Arial" w:cs="Arial"/>
                <w:b/>
                <w:sz w:val="16"/>
                <w:szCs w:val="16"/>
                <w:lang w:val="en-US" w:eastAsia="en-US"/>
              </w:rPr>
              <w:t xml:space="preserve"> </w:t>
            </w:r>
            <w:r>
              <w:rPr>
                <w:rFonts w:ascii="Arial" w:hAnsi="Arial" w:cs="Arial"/>
                <w:b/>
                <w:sz w:val="16"/>
                <w:szCs w:val="16"/>
                <w:lang w:eastAsia="en-US"/>
              </w:rPr>
              <w:t>наказі</w:t>
            </w:r>
            <w:r>
              <w:rPr>
                <w:rFonts w:ascii="Arial" w:hAnsi="Arial" w:cs="Arial"/>
                <w:b/>
                <w:sz w:val="16"/>
                <w:szCs w:val="16"/>
                <w:lang w:val="en-US" w:eastAsia="en-US"/>
              </w:rPr>
              <w:t xml:space="preserve"> № 773 </w:t>
            </w:r>
            <w:r>
              <w:rPr>
                <w:rFonts w:ascii="Arial" w:hAnsi="Arial" w:cs="Arial"/>
                <w:b/>
                <w:sz w:val="16"/>
                <w:szCs w:val="16"/>
                <w:lang w:eastAsia="en-US"/>
              </w:rPr>
              <w:t>від</w:t>
            </w:r>
            <w:r>
              <w:rPr>
                <w:rFonts w:ascii="Arial" w:hAnsi="Arial" w:cs="Arial"/>
                <w:b/>
                <w:sz w:val="16"/>
                <w:szCs w:val="16"/>
                <w:lang w:val="en-US" w:eastAsia="en-US"/>
              </w:rPr>
              <w:t xml:space="preserve"> 25.04.2023 </w:t>
            </w:r>
            <w:r>
              <w:rPr>
                <w:rFonts w:ascii="Arial" w:hAnsi="Arial" w:cs="Arial"/>
                <w:b/>
                <w:sz w:val="16"/>
                <w:szCs w:val="16"/>
                <w:lang w:eastAsia="en-US"/>
              </w:rPr>
              <w:t>внесення</w:t>
            </w:r>
            <w:r>
              <w:rPr>
                <w:rFonts w:ascii="Arial" w:hAnsi="Arial" w:cs="Arial"/>
                <w:b/>
                <w:sz w:val="16"/>
                <w:szCs w:val="16"/>
                <w:lang w:val="en-US" w:eastAsia="en-US"/>
              </w:rPr>
              <w:t xml:space="preserve"> </w:t>
            </w:r>
            <w:r>
              <w:rPr>
                <w:rFonts w:ascii="Arial" w:hAnsi="Arial" w:cs="Arial"/>
                <w:b/>
                <w:sz w:val="16"/>
                <w:szCs w:val="16"/>
                <w:lang w:eastAsia="en-US"/>
              </w:rPr>
              <w:t>змін</w:t>
            </w:r>
            <w:r>
              <w:rPr>
                <w:rFonts w:ascii="Arial" w:hAnsi="Arial" w:cs="Arial"/>
                <w:b/>
                <w:sz w:val="16"/>
                <w:szCs w:val="16"/>
                <w:lang w:val="en-US" w:eastAsia="en-US"/>
              </w:rPr>
              <w:t xml:space="preserve"> </w:t>
            </w:r>
            <w:r>
              <w:rPr>
                <w:rFonts w:ascii="Arial" w:hAnsi="Arial" w:cs="Arial"/>
                <w:sz w:val="16"/>
                <w:szCs w:val="16"/>
                <w:lang w:val="en-US" w:eastAsia="en-US"/>
              </w:rPr>
              <w:t xml:space="preserve">- </w:t>
            </w:r>
            <w:r>
              <w:rPr>
                <w:rFonts w:ascii="Arial" w:hAnsi="Arial" w:cs="Arial"/>
                <w:sz w:val="16"/>
                <w:szCs w:val="16"/>
                <w:lang w:eastAsia="en-US"/>
              </w:rPr>
              <w:t>у</w:t>
            </w:r>
            <w:r>
              <w:rPr>
                <w:rFonts w:ascii="Arial" w:hAnsi="Arial" w:cs="Arial"/>
                <w:sz w:val="16"/>
                <w:szCs w:val="16"/>
                <w:lang w:val="en-US" w:eastAsia="en-US"/>
              </w:rPr>
              <w:t xml:space="preserve"> </w:t>
            </w:r>
            <w:r>
              <w:rPr>
                <w:rFonts w:ascii="Arial" w:hAnsi="Arial" w:cs="Arial"/>
                <w:sz w:val="16"/>
                <w:szCs w:val="16"/>
                <w:lang w:eastAsia="en-US"/>
              </w:rPr>
              <w:t>зв</w:t>
            </w:r>
            <w:r>
              <w:rPr>
                <w:rFonts w:ascii="Arial" w:hAnsi="Arial" w:cs="Arial"/>
                <w:sz w:val="16"/>
                <w:szCs w:val="16"/>
                <w:lang w:val="en-US" w:eastAsia="en-US"/>
              </w:rPr>
              <w:t>'</w:t>
            </w:r>
            <w:r>
              <w:rPr>
                <w:rFonts w:ascii="Arial" w:hAnsi="Arial" w:cs="Arial"/>
                <w:sz w:val="16"/>
                <w:szCs w:val="16"/>
                <w:lang w:eastAsia="en-US"/>
              </w:rPr>
              <w:t>язку</w:t>
            </w:r>
            <w:r>
              <w:rPr>
                <w:rFonts w:ascii="Arial" w:hAnsi="Arial" w:cs="Arial"/>
                <w:sz w:val="16"/>
                <w:szCs w:val="16"/>
                <w:lang w:val="en-US" w:eastAsia="en-US"/>
              </w:rPr>
              <w:t xml:space="preserve"> </w:t>
            </w:r>
            <w:r>
              <w:rPr>
                <w:rFonts w:ascii="Arial" w:hAnsi="Arial" w:cs="Arial"/>
                <w:sz w:val="16"/>
                <w:szCs w:val="16"/>
                <w:lang w:eastAsia="en-US"/>
              </w:rPr>
              <w:t>із</w:t>
            </w:r>
            <w:r>
              <w:rPr>
                <w:rFonts w:ascii="Arial" w:hAnsi="Arial" w:cs="Arial"/>
                <w:sz w:val="16"/>
                <w:szCs w:val="16"/>
                <w:lang w:val="en-US" w:eastAsia="en-US"/>
              </w:rPr>
              <w:t xml:space="preserve"> </w:t>
            </w:r>
            <w:r>
              <w:rPr>
                <w:rFonts w:ascii="Arial" w:hAnsi="Arial" w:cs="Arial"/>
                <w:sz w:val="16"/>
                <w:szCs w:val="16"/>
                <w:lang w:eastAsia="en-US"/>
              </w:rPr>
              <w:t>надходженням</w:t>
            </w:r>
            <w:r>
              <w:rPr>
                <w:rFonts w:ascii="Arial" w:hAnsi="Arial" w:cs="Arial"/>
                <w:sz w:val="16"/>
                <w:szCs w:val="16"/>
                <w:lang w:val="en-US" w:eastAsia="en-US"/>
              </w:rPr>
              <w:t xml:space="preserve"> </w:t>
            </w:r>
            <w:r>
              <w:rPr>
                <w:rFonts w:ascii="Arial" w:hAnsi="Arial" w:cs="Arial"/>
                <w:sz w:val="16"/>
                <w:szCs w:val="16"/>
                <w:lang w:eastAsia="en-US"/>
              </w:rPr>
              <w:t>інформації</w:t>
            </w:r>
            <w:r>
              <w:rPr>
                <w:rFonts w:ascii="Arial" w:hAnsi="Arial" w:cs="Arial"/>
                <w:sz w:val="16"/>
                <w:szCs w:val="16"/>
                <w:lang w:val="en-US" w:eastAsia="en-US"/>
              </w:rPr>
              <w:t xml:space="preserve"> </w:t>
            </w:r>
            <w:r>
              <w:rPr>
                <w:rFonts w:ascii="Arial" w:hAnsi="Arial" w:cs="Arial"/>
                <w:sz w:val="16"/>
                <w:szCs w:val="16"/>
                <w:lang w:eastAsia="en-US"/>
              </w:rPr>
              <w:t>про</w:t>
            </w:r>
            <w:r>
              <w:rPr>
                <w:rFonts w:ascii="Arial" w:hAnsi="Arial" w:cs="Arial"/>
                <w:sz w:val="16"/>
                <w:szCs w:val="16"/>
                <w:lang w:val="en-US" w:eastAsia="en-US"/>
              </w:rPr>
              <w:t xml:space="preserve"> </w:t>
            </w:r>
            <w:r>
              <w:rPr>
                <w:rFonts w:ascii="Arial" w:hAnsi="Arial" w:cs="Arial"/>
                <w:sz w:val="16"/>
                <w:szCs w:val="16"/>
                <w:lang w:eastAsia="en-US"/>
              </w:rPr>
              <w:t>нову</w:t>
            </w:r>
            <w:r>
              <w:rPr>
                <w:rFonts w:ascii="Arial" w:hAnsi="Arial" w:cs="Arial"/>
                <w:sz w:val="16"/>
                <w:szCs w:val="16"/>
                <w:lang w:val="en-US" w:eastAsia="en-US"/>
              </w:rPr>
              <w:t xml:space="preserve"> </w:t>
            </w:r>
            <w:r>
              <w:rPr>
                <w:rFonts w:ascii="Arial" w:hAnsi="Arial" w:cs="Arial"/>
                <w:sz w:val="16"/>
                <w:szCs w:val="16"/>
                <w:lang w:eastAsia="en-US"/>
              </w:rPr>
              <w:t>контактну</w:t>
            </w:r>
            <w:r>
              <w:rPr>
                <w:rFonts w:ascii="Arial" w:hAnsi="Arial" w:cs="Arial"/>
                <w:sz w:val="16"/>
                <w:szCs w:val="16"/>
                <w:lang w:val="en-US" w:eastAsia="en-US"/>
              </w:rPr>
              <w:t xml:space="preserve"> </w:t>
            </w:r>
            <w:r>
              <w:rPr>
                <w:rFonts w:ascii="Arial" w:hAnsi="Arial" w:cs="Arial"/>
                <w:sz w:val="16"/>
                <w:szCs w:val="16"/>
                <w:lang w:eastAsia="en-US"/>
              </w:rPr>
              <w:t>особу</w:t>
            </w:r>
            <w:r>
              <w:rPr>
                <w:rFonts w:ascii="Arial" w:hAnsi="Arial" w:cs="Arial"/>
                <w:sz w:val="16"/>
                <w:szCs w:val="16"/>
                <w:lang w:val="en-US" w:eastAsia="en-US"/>
              </w:rPr>
              <w:t xml:space="preserve"> </w:t>
            </w:r>
            <w:r>
              <w:rPr>
                <w:rFonts w:ascii="Arial" w:hAnsi="Arial" w:cs="Arial"/>
                <w:sz w:val="16"/>
                <w:szCs w:val="16"/>
                <w:lang w:eastAsia="en-US"/>
              </w:rPr>
              <w:t>заявника</w:t>
            </w:r>
            <w:r>
              <w:rPr>
                <w:rFonts w:ascii="Arial" w:hAnsi="Arial" w:cs="Arial"/>
                <w:sz w:val="16"/>
                <w:szCs w:val="16"/>
                <w:lang w:val="en-US" w:eastAsia="en-US"/>
              </w:rPr>
              <w:t xml:space="preserve">, </w:t>
            </w:r>
            <w:r>
              <w:rPr>
                <w:rFonts w:ascii="Arial" w:hAnsi="Arial" w:cs="Arial"/>
                <w:sz w:val="16"/>
                <w:szCs w:val="16"/>
                <w:lang w:eastAsia="en-US"/>
              </w:rPr>
              <w:t>відповідальну</w:t>
            </w:r>
            <w:r>
              <w:rPr>
                <w:rFonts w:ascii="Arial" w:hAnsi="Arial" w:cs="Arial"/>
                <w:sz w:val="16"/>
                <w:szCs w:val="16"/>
                <w:lang w:val="en-US" w:eastAsia="en-US"/>
              </w:rPr>
              <w:t xml:space="preserve"> </w:t>
            </w:r>
            <w:r>
              <w:rPr>
                <w:rFonts w:ascii="Arial" w:hAnsi="Arial" w:cs="Arial"/>
                <w:sz w:val="16"/>
                <w:szCs w:val="16"/>
                <w:lang w:eastAsia="en-US"/>
              </w:rPr>
              <w:t>за</w:t>
            </w:r>
            <w:r>
              <w:rPr>
                <w:rFonts w:ascii="Arial" w:hAnsi="Arial" w:cs="Arial"/>
                <w:sz w:val="16"/>
                <w:szCs w:val="16"/>
                <w:lang w:val="en-US" w:eastAsia="en-US"/>
              </w:rPr>
              <w:t xml:space="preserve"> </w:t>
            </w:r>
            <w:r>
              <w:rPr>
                <w:rFonts w:ascii="Arial" w:hAnsi="Arial" w:cs="Arial"/>
                <w:sz w:val="16"/>
                <w:szCs w:val="16"/>
                <w:lang w:eastAsia="en-US"/>
              </w:rPr>
              <w:t>здійснення</w:t>
            </w:r>
            <w:r>
              <w:rPr>
                <w:rFonts w:ascii="Arial" w:hAnsi="Arial" w:cs="Arial"/>
                <w:sz w:val="16"/>
                <w:szCs w:val="16"/>
                <w:lang w:val="en-US" w:eastAsia="en-US"/>
              </w:rPr>
              <w:t xml:space="preserve"> </w:t>
            </w:r>
            <w:r>
              <w:rPr>
                <w:rFonts w:ascii="Arial" w:hAnsi="Arial" w:cs="Arial"/>
                <w:sz w:val="16"/>
                <w:szCs w:val="16"/>
                <w:lang w:eastAsia="en-US"/>
              </w:rPr>
              <w:t>фармаконагляду</w:t>
            </w:r>
            <w:r>
              <w:rPr>
                <w:rFonts w:ascii="Arial" w:hAnsi="Arial" w:cs="Arial"/>
                <w:sz w:val="16"/>
                <w:szCs w:val="16"/>
                <w:lang w:val="en-US" w:eastAsia="en-US"/>
              </w:rPr>
              <w:t xml:space="preserve"> </w:t>
            </w:r>
            <w:r>
              <w:rPr>
                <w:rFonts w:ascii="Arial" w:hAnsi="Arial" w:cs="Arial"/>
                <w:sz w:val="16"/>
                <w:szCs w:val="16"/>
                <w:lang w:eastAsia="en-US"/>
              </w:rPr>
              <w:t>в</w:t>
            </w:r>
            <w:r>
              <w:rPr>
                <w:rFonts w:ascii="Arial" w:hAnsi="Arial" w:cs="Arial"/>
                <w:sz w:val="16"/>
                <w:szCs w:val="16"/>
                <w:lang w:val="en-US" w:eastAsia="en-US"/>
              </w:rPr>
              <w:t xml:space="preserve"> </w:t>
            </w:r>
            <w:r>
              <w:rPr>
                <w:rFonts w:ascii="Arial" w:hAnsi="Arial" w:cs="Arial"/>
                <w:sz w:val="16"/>
                <w:szCs w:val="16"/>
                <w:lang w:eastAsia="en-US"/>
              </w:rPr>
              <w:t>Україні</w:t>
            </w:r>
            <w:r>
              <w:rPr>
                <w:rFonts w:ascii="Arial" w:hAnsi="Arial" w:cs="Arial"/>
                <w:sz w:val="16"/>
                <w:szCs w:val="16"/>
                <w:lang w:val="en-US" w:eastAsia="en-US"/>
              </w:rPr>
              <w:t xml:space="preserve"> (</w:t>
            </w:r>
            <w:r>
              <w:rPr>
                <w:rFonts w:ascii="Arial" w:hAnsi="Arial" w:cs="Arial"/>
                <w:sz w:val="16"/>
                <w:szCs w:val="16"/>
                <w:lang w:eastAsia="en-US"/>
              </w:rPr>
              <w:t>лист</w:t>
            </w:r>
            <w:r>
              <w:rPr>
                <w:rFonts w:ascii="Arial" w:hAnsi="Arial" w:cs="Arial"/>
                <w:sz w:val="16"/>
                <w:szCs w:val="16"/>
                <w:lang w:val="en-US" w:eastAsia="en-US"/>
              </w:rPr>
              <w:t xml:space="preserve"> </w:t>
            </w:r>
            <w:r>
              <w:rPr>
                <w:rFonts w:ascii="Arial" w:hAnsi="Arial" w:cs="Arial"/>
                <w:sz w:val="16"/>
                <w:szCs w:val="16"/>
                <w:lang w:eastAsia="en-US"/>
              </w:rPr>
              <w:t>від</w:t>
            </w:r>
            <w:r>
              <w:rPr>
                <w:rFonts w:ascii="Arial" w:hAnsi="Arial" w:cs="Arial"/>
                <w:sz w:val="16"/>
                <w:szCs w:val="16"/>
                <w:lang w:val="en-US" w:eastAsia="en-US"/>
              </w:rPr>
              <w:t xml:space="preserve"> </w:t>
            </w:r>
            <w:r>
              <w:rPr>
                <w:rFonts w:ascii="Arial" w:hAnsi="Arial" w:cs="Arial"/>
                <w:sz w:val="16"/>
                <w:szCs w:val="16"/>
                <w:lang w:eastAsia="en-US"/>
              </w:rPr>
              <w:t>заявника</w:t>
            </w:r>
            <w:r>
              <w:rPr>
                <w:rFonts w:ascii="Arial" w:hAnsi="Arial" w:cs="Arial"/>
                <w:sz w:val="16"/>
                <w:szCs w:val="16"/>
                <w:lang w:val="en-US" w:eastAsia="en-US"/>
              </w:rPr>
              <w:t xml:space="preserve"> </w:t>
            </w:r>
            <w:r>
              <w:rPr>
                <w:rFonts w:ascii="Arial" w:hAnsi="Arial" w:cs="Arial"/>
                <w:sz w:val="16"/>
                <w:szCs w:val="16"/>
                <w:lang w:eastAsia="en-US"/>
              </w:rPr>
              <w:t>Бакстер</w:t>
            </w:r>
            <w:r>
              <w:rPr>
                <w:rFonts w:ascii="Arial" w:hAnsi="Arial" w:cs="Arial"/>
                <w:sz w:val="16"/>
                <w:szCs w:val="16"/>
                <w:lang w:val="en-US" w:eastAsia="en-US"/>
              </w:rPr>
              <w:t xml:space="preserve"> </w:t>
            </w:r>
            <w:r>
              <w:rPr>
                <w:rFonts w:ascii="Arial" w:hAnsi="Arial" w:cs="Arial"/>
                <w:sz w:val="16"/>
                <w:szCs w:val="16"/>
                <w:lang w:eastAsia="en-US"/>
              </w:rPr>
              <w:t>АГ</w:t>
            </w:r>
            <w:r>
              <w:rPr>
                <w:rFonts w:ascii="Arial" w:hAnsi="Arial" w:cs="Arial"/>
                <w:sz w:val="16"/>
                <w:szCs w:val="16"/>
                <w:lang w:val="en-US" w:eastAsia="en-US"/>
              </w:rPr>
              <w:t xml:space="preserve">, </w:t>
            </w:r>
            <w:r>
              <w:rPr>
                <w:rFonts w:ascii="Arial" w:hAnsi="Arial" w:cs="Arial"/>
                <w:sz w:val="16"/>
                <w:szCs w:val="16"/>
                <w:lang w:eastAsia="en-US"/>
              </w:rPr>
              <w:t>Австрія</w:t>
            </w:r>
            <w:r>
              <w:rPr>
                <w:rFonts w:ascii="Arial" w:hAnsi="Arial" w:cs="Arial"/>
                <w:sz w:val="16"/>
                <w:szCs w:val="16"/>
                <w:lang w:val="en-US" w:eastAsia="en-US"/>
              </w:rPr>
              <w:t xml:space="preserve"> №0371 /</w:t>
            </w:r>
            <w:r>
              <w:rPr>
                <w:rFonts w:ascii="Arial" w:hAnsi="Arial" w:cs="Arial"/>
                <w:sz w:val="16"/>
                <w:szCs w:val="16"/>
                <w:lang w:eastAsia="en-US"/>
              </w:rPr>
              <w:t>МД</w:t>
            </w:r>
            <w:r>
              <w:rPr>
                <w:rFonts w:ascii="Arial" w:hAnsi="Arial" w:cs="Arial"/>
                <w:sz w:val="16"/>
                <w:szCs w:val="16"/>
                <w:lang w:val="en-US" w:eastAsia="en-US"/>
              </w:rPr>
              <w:t xml:space="preserve"> </w:t>
            </w:r>
            <w:r>
              <w:rPr>
                <w:rFonts w:ascii="Arial" w:hAnsi="Arial" w:cs="Arial"/>
                <w:sz w:val="16"/>
                <w:szCs w:val="16"/>
                <w:lang w:eastAsia="en-US"/>
              </w:rPr>
              <w:t>від</w:t>
            </w:r>
            <w:r>
              <w:rPr>
                <w:rFonts w:ascii="Arial" w:hAnsi="Arial" w:cs="Arial"/>
                <w:sz w:val="16"/>
                <w:szCs w:val="16"/>
                <w:lang w:val="en-US" w:eastAsia="en-US"/>
              </w:rPr>
              <w:t xml:space="preserve"> 27.10.2022</w:t>
            </w:r>
            <w:r>
              <w:rPr>
                <w:rFonts w:ascii="Arial" w:hAnsi="Arial" w:cs="Arial"/>
                <w:sz w:val="16"/>
                <w:szCs w:val="16"/>
                <w:lang w:eastAsia="en-US"/>
              </w:rPr>
              <w:t>р</w:t>
            </w:r>
            <w:r>
              <w:rPr>
                <w:rFonts w:ascii="Arial" w:hAnsi="Arial" w:cs="Arial"/>
                <w:sz w:val="16"/>
                <w:szCs w:val="16"/>
                <w:lang w:val="en-US" w:eastAsia="en-US"/>
              </w:rPr>
              <w:t xml:space="preserve">.). </w:t>
            </w:r>
            <w:r>
              <w:rPr>
                <w:rFonts w:ascii="Arial" w:hAnsi="Arial" w:cs="Arial"/>
                <w:sz w:val="16"/>
                <w:szCs w:val="16"/>
                <w:lang w:eastAsia="en-US"/>
              </w:rPr>
              <w:t>Зміни</w:t>
            </w:r>
            <w:r>
              <w:rPr>
                <w:rFonts w:ascii="Arial" w:hAnsi="Arial" w:cs="Arial"/>
                <w:sz w:val="16"/>
                <w:szCs w:val="16"/>
                <w:lang w:val="en-US" w:eastAsia="en-US"/>
              </w:rPr>
              <w:t xml:space="preserve"> </w:t>
            </w:r>
            <w:r>
              <w:rPr>
                <w:rFonts w:ascii="Arial" w:hAnsi="Arial" w:cs="Arial"/>
                <w:sz w:val="16"/>
                <w:szCs w:val="16"/>
                <w:lang w:eastAsia="en-US"/>
              </w:rPr>
              <w:t>І</w:t>
            </w:r>
            <w:r>
              <w:rPr>
                <w:rFonts w:ascii="Arial" w:hAnsi="Arial" w:cs="Arial"/>
                <w:sz w:val="16"/>
                <w:szCs w:val="16"/>
                <w:lang w:val="en-US" w:eastAsia="en-US"/>
              </w:rPr>
              <w:t xml:space="preserve"> </w:t>
            </w:r>
            <w:r>
              <w:rPr>
                <w:rFonts w:ascii="Arial" w:hAnsi="Arial" w:cs="Arial"/>
                <w:sz w:val="16"/>
                <w:szCs w:val="16"/>
                <w:lang w:eastAsia="en-US"/>
              </w:rPr>
              <w:t>типу</w:t>
            </w:r>
            <w:r>
              <w:rPr>
                <w:rFonts w:ascii="Arial" w:hAnsi="Arial" w:cs="Arial"/>
                <w:sz w:val="16"/>
                <w:szCs w:val="16"/>
                <w:lang w:val="en-US" w:eastAsia="en-US"/>
              </w:rPr>
              <w:t xml:space="preserve"> - </w:t>
            </w:r>
            <w:r>
              <w:rPr>
                <w:rFonts w:ascii="Arial" w:hAnsi="Arial" w:cs="Arial"/>
                <w:sz w:val="16"/>
                <w:szCs w:val="16"/>
                <w:lang w:eastAsia="en-US"/>
              </w:rPr>
              <w:t>Зміни</w:t>
            </w:r>
            <w:r>
              <w:rPr>
                <w:rFonts w:ascii="Arial" w:hAnsi="Arial" w:cs="Arial"/>
                <w:sz w:val="16"/>
                <w:szCs w:val="16"/>
                <w:lang w:val="en-US" w:eastAsia="en-US"/>
              </w:rPr>
              <w:t xml:space="preserve"> </w:t>
            </w:r>
            <w:r>
              <w:rPr>
                <w:rFonts w:ascii="Arial" w:hAnsi="Arial" w:cs="Arial"/>
                <w:sz w:val="16"/>
                <w:szCs w:val="16"/>
                <w:lang w:eastAsia="en-US"/>
              </w:rPr>
              <w:t>щодо</w:t>
            </w:r>
            <w:r>
              <w:rPr>
                <w:rFonts w:ascii="Arial" w:hAnsi="Arial" w:cs="Arial"/>
                <w:sz w:val="16"/>
                <w:szCs w:val="16"/>
                <w:lang w:val="en-US" w:eastAsia="en-US"/>
              </w:rPr>
              <w:t xml:space="preserve"> </w:t>
            </w:r>
            <w:r>
              <w:rPr>
                <w:rFonts w:ascii="Arial" w:hAnsi="Arial" w:cs="Arial"/>
                <w:sz w:val="16"/>
                <w:szCs w:val="16"/>
                <w:lang w:eastAsia="en-US"/>
              </w:rPr>
              <w:t>безпеки</w:t>
            </w:r>
            <w:r>
              <w:rPr>
                <w:rFonts w:ascii="Arial" w:hAnsi="Arial" w:cs="Arial"/>
                <w:sz w:val="16"/>
                <w:szCs w:val="16"/>
                <w:lang w:val="en-US" w:eastAsia="en-US"/>
              </w:rPr>
              <w:t>/</w:t>
            </w:r>
            <w:r>
              <w:rPr>
                <w:rFonts w:ascii="Arial" w:hAnsi="Arial" w:cs="Arial"/>
                <w:sz w:val="16"/>
                <w:szCs w:val="16"/>
                <w:lang w:eastAsia="en-US"/>
              </w:rPr>
              <w:t>ефективності</w:t>
            </w:r>
            <w:r>
              <w:rPr>
                <w:rFonts w:ascii="Arial" w:hAnsi="Arial" w:cs="Arial"/>
                <w:sz w:val="16"/>
                <w:szCs w:val="16"/>
                <w:lang w:val="en-US" w:eastAsia="en-US"/>
              </w:rPr>
              <w:t xml:space="preserve"> </w:t>
            </w:r>
            <w:r>
              <w:rPr>
                <w:rFonts w:ascii="Arial" w:hAnsi="Arial" w:cs="Arial"/>
                <w:sz w:val="16"/>
                <w:szCs w:val="16"/>
                <w:lang w:eastAsia="en-US"/>
              </w:rPr>
              <w:t>та</w:t>
            </w:r>
            <w:r>
              <w:rPr>
                <w:rFonts w:ascii="Arial" w:hAnsi="Arial" w:cs="Arial"/>
                <w:sz w:val="16"/>
                <w:szCs w:val="16"/>
                <w:lang w:val="en-US" w:eastAsia="en-US"/>
              </w:rPr>
              <w:t xml:space="preserve"> </w:t>
            </w:r>
            <w:r>
              <w:rPr>
                <w:rFonts w:ascii="Arial" w:hAnsi="Arial" w:cs="Arial"/>
                <w:sz w:val="16"/>
                <w:szCs w:val="16"/>
                <w:lang w:eastAsia="en-US"/>
              </w:rPr>
              <w:t>фармаконагляду</w:t>
            </w:r>
            <w:r>
              <w:rPr>
                <w:rFonts w:ascii="Arial" w:hAnsi="Arial" w:cs="Arial"/>
                <w:sz w:val="16"/>
                <w:szCs w:val="16"/>
                <w:lang w:val="en-US" w:eastAsia="en-US"/>
              </w:rPr>
              <w:t xml:space="preserve">. </w:t>
            </w:r>
            <w:r>
              <w:rPr>
                <w:rFonts w:ascii="Arial" w:hAnsi="Arial" w:cs="Arial"/>
                <w:sz w:val="16"/>
                <w:szCs w:val="16"/>
                <w:lang w:eastAsia="en-US"/>
              </w:rPr>
              <w:t>Введення</w:t>
            </w:r>
            <w:r>
              <w:rPr>
                <w:rFonts w:ascii="Arial" w:hAnsi="Arial" w:cs="Arial"/>
                <w:sz w:val="16"/>
                <w:szCs w:val="16"/>
                <w:lang w:val="en-US" w:eastAsia="en-US"/>
              </w:rPr>
              <w:t xml:space="preserve"> </w:t>
            </w:r>
            <w:r>
              <w:rPr>
                <w:rFonts w:ascii="Arial" w:hAnsi="Arial" w:cs="Arial"/>
                <w:sz w:val="16"/>
                <w:szCs w:val="16"/>
                <w:lang w:eastAsia="en-US"/>
              </w:rPr>
              <w:t>або</w:t>
            </w:r>
            <w:r>
              <w:rPr>
                <w:rFonts w:ascii="Arial" w:hAnsi="Arial" w:cs="Arial"/>
                <w:sz w:val="16"/>
                <w:szCs w:val="16"/>
                <w:lang w:val="en-US" w:eastAsia="en-US"/>
              </w:rPr>
              <w:t xml:space="preserve"> </w:t>
            </w:r>
            <w:r>
              <w:rPr>
                <w:rFonts w:ascii="Arial" w:hAnsi="Arial" w:cs="Arial"/>
                <w:sz w:val="16"/>
                <w:szCs w:val="16"/>
                <w:lang w:eastAsia="en-US"/>
              </w:rPr>
              <w:t>зміни</w:t>
            </w:r>
            <w:r>
              <w:rPr>
                <w:rFonts w:ascii="Arial" w:hAnsi="Arial" w:cs="Arial"/>
                <w:sz w:val="16"/>
                <w:szCs w:val="16"/>
                <w:lang w:val="en-US" w:eastAsia="en-US"/>
              </w:rPr>
              <w:t xml:space="preserve"> </w:t>
            </w:r>
            <w:r>
              <w:rPr>
                <w:rFonts w:ascii="Arial" w:hAnsi="Arial" w:cs="Arial"/>
                <w:sz w:val="16"/>
                <w:szCs w:val="16"/>
                <w:lang w:eastAsia="en-US"/>
              </w:rPr>
              <w:t>до</w:t>
            </w:r>
            <w:r>
              <w:rPr>
                <w:rFonts w:ascii="Arial" w:hAnsi="Arial" w:cs="Arial"/>
                <w:sz w:val="16"/>
                <w:szCs w:val="16"/>
                <w:lang w:val="en-US" w:eastAsia="en-US"/>
              </w:rPr>
              <w:t xml:space="preserve"> </w:t>
            </w:r>
            <w:r>
              <w:rPr>
                <w:rFonts w:ascii="Arial" w:hAnsi="Arial" w:cs="Arial"/>
                <w:sz w:val="16"/>
                <w:szCs w:val="16"/>
                <w:lang w:eastAsia="en-US"/>
              </w:rPr>
              <w:t>узагальнених</w:t>
            </w:r>
            <w:r>
              <w:rPr>
                <w:rFonts w:ascii="Arial" w:hAnsi="Arial" w:cs="Arial"/>
                <w:sz w:val="16"/>
                <w:szCs w:val="16"/>
                <w:lang w:val="en-US" w:eastAsia="en-US"/>
              </w:rPr>
              <w:t xml:space="preserve"> </w:t>
            </w:r>
            <w:r>
              <w:rPr>
                <w:rFonts w:ascii="Arial" w:hAnsi="Arial" w:cs="Arial"/>
                <w:sz w:val="16"/>
                <w:szCs w:val="16"/>
                <w:lang w:eastAsia="en-US"/>
              </w:rPr>
              <w:t>даних</w:t>
            </w:r>
            <w:r>
              <w:rPr>
                <w:rFonts w:ascii="Arial" w:hAnsi="Arial" w:cs="Arial"/>
                <w:sz w:val="16"/>
                <w:szCs w:val="16"/>
                <w:lang w:val="en-US" w:eastAsia="en-US"/>
              </w:rPr>
              <w:t xml:space="preserve"> </w:t>
            </w:r>
            <w:r>
              <w:rPr>
                <w:rFonts w:ascii="Arial" w:hAnsi="Arial" w:cs="Arial"/>
                <w:sz w:val="16"/>
                <w:szCs w:val="16"/>
                <w:lang w:eastAsia="en-US"/>
              </w:rPr>
              <w:t>про</w:t>
            </w:r>
            <w:r>
              <w:rPr>
                <w:rFonts w:ascii="Arial" w:hAnsi="Arial" w:cs="Arial"/>
                <w:sz w:val="16"/>
                <w:szCs w:val="16"/>
                <w:lang w:val="en-US" w:eastAsia="en-US"/>
              </w:rPr>
              <w:t xml:space="preserve"> </w:t>
            </w:r>
            <w:r>
              <w:rPr>
                <w:rFonts w:ascii="Arial" w:hAnsi="Arial" w:cs="Arial"/>
                <w:sz w:val="16"/>
                <w:szCs w:val="16"/>
                <w:lang w:eastAsia="en-US"/>
              </w:rPr>
              <w:t>систему</w:t>
            </w:r>
            <w:r>
              <w:rPr>
                <w:rFonts w:ascii="Arial" w:hAnsi="Arial" w:cs="Arial"/>
                <w:sz w:val="16"/>
                <w:szCs w:val="16"/>
                <w:lang w:val="en-US" w:eastAsia="en-US"/>
              </w:rPr>
              <w:t xml:space="preserve"> </w:t>
            </w:r>
            <w:r>
              <w:rPr>
                <w:rFonts w:ascii="Arial" w:hAnsi="Arial" w:cs="Arial"/>
                <w:sz w:val="16"/>
                <w:szCs w:val="16"/>
                <w:lang w:eastAsia="en-US"/>
              </w:rPr>
              <w:t>фармаконагляду</w:t>
            </w:r>
            <w:r>
              <w:rPr>
                <w:rFonts w:ascii="Arial" w:hAnsi="Arial" w:cs="Arial"/>
                <w:sz w:val="16"/>
                <w:szCs w:val="16"/>
                <w:lang w:val="en-US" w:eastAsia="en-US"/>
              </w:rPr>
              <w:t xml:space="preserve"> (</w:t>
            </w:r>
            <w:r>
              <w:rPr>
                <w:rFonts w:ascii="Arial" w:hAnsi="Arial" w:cs="Arial"/>
                <w:sz w:val="16"/>
                <w:szCs w:val="16"/>
                <w:lang w:eastAsia="en-US"/>
              </w:rPr>
              <w:t>введення</w:t>
            </w:r>
            <w:r>
              <w:rPr>
                <w:rFonts w:ascii="Arial" w:hAnsi="Arial" w:cs="Arial"/>
                <w:sz w:val="16"/>
                <w:szCs w:val="16"/>
                <w:lang w:val="en-US" w:eastAsia="en-US"/>
              </w:rPr>
              <w:t xml:space="preserve"> </w:t>
            </w:r>
            <w:r>
              <w:rPr>
                <w:rFonts w:ascii="Arial" w:hAnsi="Arial" w:cs="Arial"/>
                <w:sz w:val="16"/>
                <w:szCs w:val="16"/>
                <w:lang w:eastAsia="en-US"/>
              </w:rPr>
              <w:t>узагальнених</w:t>
            </w:r>
            <w:r>
              <w:rPr>
                <w:rFonts w:ascii="Arial" w:hAnsi="Arial" w:cs="Arial"/>
                <w:sz w:val="16"/>
                <w:szCs w:val="16"/>
                <w:lang w:val="en-US" w:eastAsia="en-US"/>
              </w:rPr>
              <w:t xml:space="preserve"> </w:t>
            </w:r>
            <w:r>
              <w:rPr>
                <w:rFonts w:ascii="Arial" w:hAnsi="Arial" w:cs="Arial"/>
                <w:sz w:val="16"/>
                <w:szCs w:val="16"/>
                <w:lang w:eastAsia="en-US"/>
              </w:rPr>
              <w:t>даних</w:t>
            </w:r>
            <w:r>
              <w:rPr>
                <w:rFonts w:ascii="Arial" w:hAnsi="Arial" w:cs="Arial"/>
                <w:sz w:val="16"/>
                <w:szCs w:val="16"/>
                <w:lang w:val="en-US" w:eastAsia="en-US"/>
              </w:rPr>
              <w:t xml:space="preserve"> </w:t>
            </w:r>
            <w:r>
              <w:rPr>
                <w:rFonts w:ascii="Arial" w:hAnsi="Arial" w:cs="Arial"/>
                <w:sz w:val="16"/>
                <w:szCs w:val="16"/>
                <w:lang w:eastAsia="en-US"/>
              </w:rPr>
              <w:t>про</w:t>
            </w:r>
            <w:r>
              <w:rPr>
                <w:rFonts w:ascii="Arial" w:hAnsi="Arial" w:cs="Arial"/>
                <w:sz w:val="16"/>
                <w:szCs w:val="16"/>
                <w:lang w:val="en-US" w:eastAsia="en-US"/>
              </w:rPr>
              <w:t xml:space="preserve"> </w:t>
            </w:r>
            <w:r>
              <w:rPr>
                <w:rFonts w:ascii="Arial" w:hAnsi="Arial" w:cs="Arial"/>
                <w:sz w:val="16"/>
                <w:szCs w:val="16"/>
                <w:lang w:eastAsia="en-US"/>
              </w:rPr>
              <w:t>систему</w:t>
            </w:r>
            <w:r>
              <w:rPr>
                <w:rFonts w:ascii="Arial" w:hAnsi="Arial" w:cs="Arial"/>
                <w:sz w:val="16"/>
                <w:szCs w:val="16"/>
                <w:lang w:val="en-US" w:eastAsia="en-US"/>
              </w:rPr>
              <w:t xml:space="preserve"> </w:t>
            </w:r>
            <w:r>
              <w:rPr>
                <w:rFonts w:ascii="Arial" w:hAnsi="Arial" w:cs="Arial"/>
                <w:sz w:val="16"/>
                <w:szCs w:val="16"/>
                <w:lang w:eastAsia="en-US"/>
              </w:rPr>
              <w:t>фармаконагляду</w:t>
            </w:r>
            <w:r>
              <w:rPr>
                <w:rFonts w:ascii="Arial" w:hAnsi="Arial" w:cs="Arial"/>
                <w:sz w:val="16"/>
                <w:szCs w:val="16"/>
                <w:lang w:val="en-US" w:eastAsia="en-US"/>
              </w:rPr>
              <w:t xml:space="preserve">, </w:t>
            </w:r>
            <w:r>
              <w:rPr>
                <w:rFonts w:ascii="Arial" w:hAnsi="Arial" w:cs="Arial"/>
                <w:sz w:val="16"/>
                <w:szCs w:val="16"/>
                <w:lang w:eastAsia="en-US"/>
              </w:rPr>
              <w:t>зміна</w:t>
            </w:r>
            <w:r>
              <w:rPr>
                <w:rFonts w:ascii="Arial" w:hAnsi="Arial" w:cs="Arial"/>
                <w:sz w:val="16"/>
                <w:szCs w:val="16"/>
                <w:lang w:val="en-US" w:eastAsia="en-US"/>
              </w:rPr>
              <w:t xml:space="preserve"> </w:t>
            </w:r>
            <w:r>
              <w:rPr>
                <w:rFonts w:ascii="Arial" w:hAnsi="Arial" w:cs="Arial"/>
                <w:sz w:val="16"/>
                <w:szCs w:val="16"/>
                <w:lang w:eastAsia="en-US"/>
              </w:rPr>
              <w:t>уповноваженої</w:t>
            </w:r>
            <w:r>
              <w:rPr>
                <w:rFonts w:ascii="Arial" w:hAnsi="Arial" w:cs="Arial"/>
                <w:sz w:val="16"/>
                <w:szCs w:val="16"/>
                <w:lang w:val="en-US" w:eastAsia="en-US"/>
              </w:rPr>
              <w:t xml:space="preserve"> </w:t>
            </w:r>
            <w:r>
              <w:rPr>
                <w:rFonts w:ascii="Arial" w:hAnsi="Arial" w:cs="Arial"/>
                <w:sz w:val="16"/>
                <w:szCs w:val="16"/>
                <w:lang w:eastAsia="en-US"/>
              </w:rPr>
              <w:t>особи</w:t>
            </w:r>
            <w:r>
              <w:rPr>
                <w:rFonts w:ascii="Arial" w:hAnsi="Arial" w:cs="Arial"/>
                <w:sz w:val="16"/>
                <w:szCs w:val="16"/>
                <w:lang w:val="en-US" w:eastAsia="en-US"/>
              </w:rPr>
              <w:t xml:space="preserve">, </w:t>
            </w:r>
            <w:r>
              <w:rPr>
                <w:rFonts w:ascii="Arial" w:hAnsi="Arial" w:cs="Arial"/>
                <w:sz w:val="16"/>
                <w:szCs w:val="16"/>
                <w:lang w:eastAsia="en-US"/>
              </w:rPr>
              <w:t>відповідальної</w:t>
            </w:r>
            <w:r>
              <w:rPr>
                <w:rFonts w:ascii="Arial" w:hAnsi="Arial" w:cs="Arial"/>
                <w:sz w:val="16"/>
                <w:szCs w:val="16"/>
                <w:lang w:val="en-US" w:eastAsia="en-US"/>
              </w:rPr>
              <w:t xml:space="preserve"> </w:t>
            </w:r>
            <w:r>
              <w:rPr>
                <w:rFonts w:ascii="Arial" w:hAnsi="Arial" w:cs="Arial"/>
                <w:sz w:val="16"/>
                <w:szCs w:val="16"/>
                <w:lang w:eastAsia="en-US"/>
              </w:rPr>
              <w:t>за</w:t>
            </w:r>
            <w:r>
              <w:rPr>
                <w:rFonts w:ascii="Arial" w:hAnsi="Arial" w:cs="Arial"/>
                <w:sz w:val="16"/>
                <w:szCs w:val="16"/>
                <w:lang w:val="en-US" w:eastAsia="en-US"/>
              </w:rPr>
              <w:t xml:space="preserve"> </w:t>
            </w:r>
            <w:r>
              <w:rPr>
                <w:rFonts w:ascii="Arial" w:hAnsi="Arial" w:cs="Arial"/>
                <w:sz w:val="16"/>
                <w:szCs w:val="16"/>
                <w:lang w:eastAsia="en-US"/>
              </w:rPr>
              <w:t>здійснення</w:t>
            </w:r>
            <w:r>
              <w:rPr>
                <w:rFonts w:ascii="Arial" w:hAnsi="Arial" w:cs="Arial"/>
                <w:sz w:val="16"/>
                <w:szCs w:val="16"/>
                <w:lang w:val="en-US" w:eastAsia="en-US"/>
              </w:rPr>
              <w:t xml:space="preserve"> </w:t>
            </w:r>
            <w:r>
              <w:rPr>
                <w:rFonts w:ascii="Arial" w:hAnsi="Arial" w:cs="Arial"/>
                <w:sz w:val="16"/>
                <w:szCs w:val="16"/>
                <w:lang w:eastAsia="en-US"/>
              </w:rPr>
              <w:t>фармаконагляду</w:t>
            </w:r>
            <w:r>
              <w:rPr>
                <w:rFonts w:ascii="Arial" w:hAnsi="Arial" w:cs="Arial"/>
                <w:sz w:val="16"/>
                <w:szCs w:val="16"/>
                <w:lang w:val="en-US" w:eastAsia="en-US"/>
              </w:rPr>
              <w:t xml:space="preserve">; </w:t>
            </w:r>
            <w:r>
              <w:rPr>
                <w:rFonts w:ascii="Arial" w:hAnsi="Arial" w:cs="Arial"/>
                <w:sz w:val="16"/>
                <w:szCs w:val="16"/>
                <w:lang w:eastAsia="en-US"/>
              </w:rPr>
              <w:t>контактної</w:t>
            </w:r>
            <w:r>
              <w:rPr>
                <w:rFonts w:ascii="Arial" w:hAnsi="Arial" w:cs="Arial"/>
                <w:sz w:val="16"/>
                <w:szCs w:val="16"/>
                <w:lang w:val="en-US" w:eastAsia="en-US"/>
              </w:rPr>
              <w:t xml:space="preserve"> </w:t>
            </w:r>
            <w:r>
              <w:rPr>
                <w:rFonts w:ascii="Arial" w:hAnsi="Arial" w:cs="Arial"/>
                <w:sz w:val="16"/>
                <w:szCs w:val="16"/>
                <w:lang w:eastAsia="en-US"/>
              </w:rPr>
              <w:t>особи</w:t>
            </w:r>
            <w:r>
              <w:rPr>
                <w:rFonts w:ascii="Arial" w:hAnsi="Arial" w:cs="Arial"/>
                <w:sz w:val="16"/>
                <w:szCs w:val="16"/>
                <w:lang w:val="en-US" w:eastAsia="en-US"/>
              </w:rPr>
              <w:t xml:space="preserve"> </w:t>
            </w:r>
            <w:r>
              <w:rPr>
                <w:rFonts w:ascii="Arial" w:hAnsi="Arial" w:cs="Arial"/>
                <w:sz w:val="16"/>
                <w:szCs w:val="16"/>
                <w:lang w:eastAsia="en-US"/>
              </w:rPr>
              <w:t>з</w:t>
            </w:r>
            <w:r>
              <w:rPr>
                <w:rFonts w:ascii="Arial" w:hAnsi="Arial" w:cs="Arial"/>
                <w:sz w:val="16"/>
                <w:szCs w:val="16"/>
                <w:lang w:val="en-US" w:eastAsia="en-US"/>
              </w:rPr>
              <w:t xml:space="preserve"> </w:t>
            </w:r>
            <w:r>
              <w:rPr>
                <w:rFonts w:ascii="Arial" w:hAnsi="Arial" w:cs="Arial"/>
                <w:sz w:val="16"/>
                <w:szCs w:val="16"/>
                <w:lang w:eastAsia="en-US"/>
              </w:rPr>
              <w:t>фармаконагляду</w:t>
            </w:r>
            <w:r>
              <w:rPr>
                <w:rFonts w:ascii="Arial" w:hAnsi="Arial" w:cs="Arial"/>
                <w:sz w:val="16"/>
                <w:szCs w:val="16"/>
                <w:lang w:val="en-US" w:eastAsia="en-US"/>
              </w:rPr>
              <w:t xml:space="preserve"> </w:t>
            </w:r>
            <w:r>
              <w:rPr>
                <w:rFonts w:ascii="Arial" w:hAnsi="Arial" w:cs="Arial"/>
                <w:sz w:val="16"/>
                <w:szCs w:val="16"/>
                <w:lang w:eastAsia="en-US"/>
              </w:rPr>
              <w:t>заявника</w:t>
            </w:r>
            <w:r>
              <w:rPr>
                <w:rFonts w:ascii="Arial" w:hAnsi="Arial" w:cs="Arial"/>
                <w:sz w:val="16"/>
                <w:szCs w:val="16"/>
                <w:lang w:val="en-US" w:eastAsia="en-US"/>
              </w:rPr>
              <w:t xml:space="preserve"> </w:t>
            </w:r>
            <w:r>
              <w:rPr>
                <w:rFonts w:ascii="Arial" w:hAnsi="Arial" w:cs="Arial"/>
                <w:sz w:val="16"/>
                <w:szCs w:val="16"/>
                <w:lang w:eastAsia="en-US"/>
              </w:rPr>
              <w:t>для</w:t>
            </w:r>
            <w:r>
              <w:rPr>
                <w:rFonts w:ascii="Arial" w:hAnsi="Arial" w:cs="Arial"/>
                <w:sz w:val="16"/>
                <w:szCs w:val="16"/>
                <w:lang w:val="en-US" w:eastAsia="en-US"/>
              </w:rPr>
              <w:t xml:space="preserve"> </w:t>
            </w:r>
            <w:r>
              <w:rPr>
                <w:rFonts w:ascii="Arial" w:hAnsi="Arial" w:cs="Arial"/>
                <w:sz w:val="16"/>
                <w:szCs w:val="16"/>
                <w:lang w:eastAsia="en-US"/>
              </w:rPr>
              <w:t>здійснення</w:t>
            </w:r>
            <w:r>
              <w:rPr>
                <w:rFonts w:ascii="Arial" w:hAnsi="Arial" w:cs="Arial"/>
                <w:sz w:val="16"/>
                <w:szCs w:val="16"/>
                <w:lang w:val="en-US" w:eastAsia="en-US"/>
              </w:rPr>
              <w:t xml:space="preserve"> </w:t>
            </w:r>
            <w:r>
              <w:rPr>
                <w:rFonts w:ascii="Arial" w:hAnsi="Arial" w:cs="Arial"/>
                <w:sz w:val="16"/>
                <w:szCs w:val="16"/>
                <w:lang w:eastAsia="en-US"/>
              </w:rPr>
              <w:t>фармаконагляду</w:t>
            </w:r>
            <w:r>
              <w:rPr>
                <w:rFonts w:ascii="Arial" w:hAnsi="Arial" w:cs="Arial"/>
                <w:sz w:val="16"/>
                <w:szCs w:val="16"/>
                <w:lang w:val="en-US" w:eastAsia="en-US"/>
              </w:rPr>
              <w:t xml:space="preserve"> </w:t>
            </w:r>
            <w:r>
              <w:rPr>
                <w:rFonts w:ascii="Arial" w:hAnsi="Arial" w:cs="Arial"/>
                <w:sz w:val="16"/>
                <w:szCs w:val="16"/>
                <w:lang w:eastAsia="en-US"/>
              </w:rPr>
              <w:t>в</w:t>
            </w:r>
            <w:r>
              <w:rPr>
                <w:rFonts w:ascii="Arial" w:hAnsi="Arial" w:cs="Arial"/>
                <w:sz w:val="16"/>
                <w:szCs w:val="16"/>
                <w:lang w:val="en-US" w:eastAsia="en-US"/>
              </w:rPr>
              <w:t xml:space="preserve"> </w:t>
            </w:r>
            <w:r>
              <w:rPr>
                <w:rFonts w:ascii="Arial" w:hAnsi="Arial" w:cs="Arial"/>
                <w:sz w:val="16"/>
                <w:szCs w:val="16"/>
                <w:lang w:eastAsia="en-US"/>
              </w:rPr>
              <w:t>Україні</w:t>
            </w:r>
            <w:r>
              <w:rPr>
                <w:rFonts w:ascii="Arial" w:hAnsi="Arial" w:cs="Arial"/>
                <w:sz w:val="16"/>
                <w:szCs w:val="16"/>
                <w:lang w:val="en-US" w:eastAsia="en-US"/>
              </w:rPr>
              <w:t xml:space="preserve">, </w:t>
            </w:r>
            <w:r>
              <w:rPr>
                <w:rFonts w:ascii="Arial" w:hAnsi="Arial" w:cs="Arial"/>
                <w:sz w:val="16"/>
                <w:szCs w:val="16"/>
                <w:lang w:eastAsia="en-US"/>
              </w:rPr>
              <w:t>якщо</w:t>
            </w:r>
            <w:r>
              <w:rPr>
                <w:rFonts w:ascii="Arial" w:hAnsi="Arial" w:cs="Arial"/>
                <w:sz w:val="16"/>
                <w:szCs w:val="16"/>
                <w:lang w:val="en-US" w:eastAsia="en-US"/>
              </w:rPr>
              <w:t xml:space="preserve"> </w:t>
            </w:r>
            <w:r>
              <w:rPr>
                <w:rFonts w:ascii="Arial" w:hAnsi="Arial" w:cs="Arial"/>
                <w:sz w:val="16"/>
                <w:szCs w:val="16"/>
                <w:lang w:eastAsia="en-US"/>
              </w:rPr>
              <w:t>вона</w:t>
            </w:r>
            <w:r>
              <w:rPr>
                <w:rFonts w:ascii="Arial" w:hAnsi="Arial" w:cs="Arial"/>
                <w:sz w:val="16"/>
                <w:szCs w:val="16"/>
                <w:lang w:val="en-US" w:eastAsia="en-US"/>
              </w:rPr>
              <w:t xml:space="preserve"> </w:t>
            </w:r>
            <w:r>
              <w:rPr>
                <w:rFonts w:ascii="Arial" w:hAnsi="Arial" w:cs="Arial"/>
                <w:sz w:val="16"/>
                <w:szCs w:val="16"/>
                <w:lang w:eastAsia="en-US"/>
              </w:rPr>
              <w:t>відмінна</w:t>
            </w:r>
            <w:r>
              <w:rPr>
                <w:rFonts w:ascii="Arial" w:hAnsi="Arial" w:cs="Arial"/>
                <w:sz w:val="16"/>
                <w:szCs w:val="16"/>
                <w:lang w:val="en-US" w:eastAsia="en-US"/>
              </w:rPr>
              <w:t xml:space="preserve"> </w:t>
            </w:r>
            <w:r>
              <w:rPr>
                <w:rFonts w:ascii="Arial" w:hAnsi="Arial" w:cs="Arial"/>
                <w:sz w:val="16"/>
                <w:szCs w:val="16"/>
                <w:lang w:eastAsia="en-US"/>
              </w:rPr>
              <w:t>від</w:t>
            </w:r>
            <w:r>
              <w:rPr>
                <w:rFonts w:ascii="Arial" w:hAnsi="Arial" w:cs="Arial"/>
                <w:sz w:val="16"/>
                <w:szCs w:val="16"/>
                <w:lang w:val="en-US" w:eastAsia="en-US"/>
              </w:rPr>
              <w:t xml:space="preserve"> </w:t>
            </w:r>
            <w:r>
              <w:rPr>
                <w:rFonts w:ascii="Arial" w:hAnsi="Arial" w:cs="Arial"/>
                <w:sz w:val="16"/>
                <w:szCs w:val="16"/>
                <w:lang w:eastAsia="en-US"/>
              </w:rPr>
              <w:t>уповноваженої</w:t>
            </w:r>
            <w:r>
              <w:rPr>
                <w:rFonts w:ascii="Arial" w:hAnsi="Arial" w:cs="Arial"/>
                <w:sz w:val="16"/>
                <w:szCs w:val="16"/>
                <w:lang w:val="en-US" w:eastAsia="en-US"/>
              </w:rPr>
              <w:t xml:space="preserve"> </w:t>
            </w:r>
            <w:r>
              <w:rPr>
                <w:rFonts w:ascii="Arial" w:hAnsi="Arial" w:cs="Arial"/>
                <w:sz w:val="16"/>
                <w:szCs w:val="16"/>
                <w:lang w:eastAsia="en-US"/>
              </w:rPr>
              <w:t>особи</w:t>
            </w:r>
            <w:r>
              <w:rPr>
                <w:rFonts w:ascii="Arial" w:hAnsi="Arial" w:cs="Arial"/>
                <w:sz w:val="16"/>
                <w:szCs w:val="16"/>
                <w:lang w:val="en-US" w:eastAsia="en-US"/>
              </w:rPr>
              <w:t xml:space="preserve">, </w:t>
            </w:r>
            <w:r>
              <w:rPr>
                <w:rFonts w:ascii="Arial" w:hAnsi="Arial" w:cs="Arial"/>
                <w:sz w:val="16"/>
                <w:szCs w:val="16"/>
                <w:lang w:eastAsia="en-US"/>
              </w:rPr>
              <w:t>відповідальної</w:t>
            </w:r>
            <w:r>
              <w:rPr>
                <w:rFonts w:ascii="Arial" w:hAnsi="Arial" w:cs="Arial"/>
                <w:sz w:val="16"/>
                <w:szCs w:val="16"/>
                <w:lang w:val="en-US" w:eastAsia="en-US"/>
              </w:rPr>
              <w:t xml:space="preserve"> </w:t>
            </w:r>
            <w:r>
              <w:rPr>
                <w:rFonts w:ascii="Arial" w:hAnsi="Arial" w:cs="Arial"/>
                <w:sz w:val="16"/>
                <w:szCs w:val="16"/>
                <w:lang w:eastAsia="en-US"/>
              </w:rPr>
              <w:t>за</w:t>
            </w:r>
            <w:r>
              <w:rPr>
                <w:rFonts w:ascii="Arial" w:hAnsi="Arial" w:cs="Arial"/>
                <w:sz w:val="16"/>
                <w:szCs w:val="16"/>
                <w:lang w:val="en-US" w:eastAsia="en-US"/>
              </w:rPr>
              <w:t xml:space="preserve"> </w:t>
            </w:r>
            <w:r>
              <w:rPr>
                <w:rFonts w:ascii="Arial" w:hAnsi="Arial" w:cs="Arial"/>
                <w:sz w:val="16"/>
                <w:szCs w:val="16"/>
                <w:lang w:eastAsia="en-US"/>
              </w:rPr>
              <w:t>здійснення</w:t>
            </w:r>
            <w:r>
              <w:rPr>
                <w:rFonts w:ascii="Arial" w:hAnsi="Arial" w:cs="Arial"/>
                <w:sz w:val="16"/>
                <w:szCs w:val="16"/>
                <w:lang w:val="en-US" w:eastAsia="en-US"/>
              </w:rPr>
              <w:t xml:space="preserve"> </w:t>
            </w:r>
            <w:r>
              <w:rPr>
                <w:rFonts w:ascii="Arial" w:hAnsi="Arial" w:cs="Arial"/>
                <w:sz w:val="16"/>
                <w:szCs w:val="16"/>
                <w:lang w:eastAsia="en-US"/>
              </w:rPr>
              <w:t>фармаконагляду</w:t>
            </w:r>
            <w:r>
              <w:rPr>
                <w:rFonts w:ascii="Arial" w:hAnsi="Arial" w:cs="Arial"/>
                <w:sz w:val="16"/>
                <w:szCs w:val="16"/>
                <w:lang w:val="en-US" w:eastAsia="en-US"/>
              </w:rPr>
              <w:t xml:space="preserve"> (</w:t>
            </w:r>
            <w:r>
              <w:rPr>
                <w:rFonts w:ascii="Arial" w:hAnsi="Arial" w:cs="Arial"/>
                <w:sz w:val="16"/>
                <w:szCs w:val="16"/>
                <w:lang w:eastAsia="en-US"/>
              </w:rPr>
              <w:t>включаючи</w:t>
            </w:r>
            <w:r>
              <w:rPr>
                <w:rFonts w:ascii="Arial" w:hAnsi="Arial" w:cs="Arial"/>
                <w:sz w:val="16"/>
                <w:szCs w:val="16"/>
                <w:lang w:val="en-US" w:eastAsia="en-US"/>
              </w:rPr>
              <w:t xml:space="preserve"> </w:t>
            </w:r>
            <w:r>
              <w:rPr>
                <w:rFonts w:ascii="Arial" w:hAnsi="Arial" w:cs="Arial"/>
                <w:sz w:val="16"/>
                <w:szCs w:val="16"/>
                <w:lang w:eastAsia="en-US"/>
              </w:rPr>
              <w:t>контактні</w:t>
            </w:r>
            <w:r>
              <w:rPr>
                <w:rFonts w:ascii="Arial" w:hAnsi="Arial" w:cs="Arial"/>
                <w:sz w:val="16"/>
                <w:szCs w:val="16"/>
                <w:lang w:val="en-US" w:eastAsia="en-US"/>
              </w:rPr>
              <w:t xml:space="preserve"> </w:t>
            </w:r>
            <w:r>
              <w:rPr>
                <w:rFonts w:ascii="Arial" w:hAnsi="Arial" w:cs="Arial"/>
                <w:sz w:val="16"/>
                <w:szCs w:val="16"/>
                <w:lang w:eastAsia="en-US"/>
              </w:rPr>
              <w:t>дані</w:t>
            </w:r>
            <w:r>
              <w:rPr>
                <w:rFonts w:ascii="Arial" w:hAnsi="Arial" w:cs="Arial"/>
                <w:sz w:val="16"/>
                <w:szCs w:val="16"/>
                <w:lang w:val="en-US" w:eastAsia="en-US"/>
              </w:rPr>
              <w:t xml:space="preserve">) </w:t>
            </w:r>
            <w:r>
              <w:rPr>
                <w:rFonts w:ascii="Arial" w:hAnsi="Arial" w:cs="Arial"/>
                <w:sz w:val="16"/>
                <w:szCs w:val="16"/>
                <w:lang w:eastAsia="en-US"/>
              </w:rPr>
              <w:t>та</w:t>
            </w:r>
            <w:r>
              <w:rPr>
                <w:rFonts w:ascii="Arial" w:hAnsi="Arial" w:cs="Arial"/>
                <w:sz w:val="16"/>
                <w:szCs w:val="16"/>
                <w:lang w:val="en-US" w:eastAsia="en-US"/>
              </w:rPr>
              <w:t>/</w:t>
            </w:r>
            <w:r>
              <w:rPr>
                <w:rFonts w:ascii="Arial" w:hAnsi="Arial" w:cs="Arial"/>
                <w:sz w:val="16"/>
                <w:szCs w:val="16"/>
                <w:lang w:eastAsia="en-US"/>
              </w:rPr>
              <w:t>або</w:t>
            </w:r>
            <w:r>
              <w:rPr>
                <w:rFonts w:ascii="Arial" w:hAnsi="Arial" w:cs="Arial"/>
                <w:sz w:val="16"/>
                <w:szCs w:val="16"/>
                <w:lang w:val="en-US" w:eastAsia="en-US"/>
              </w:rPr>
              <w:t xml:space="preserve"> </w:t>
            </w:r>
            <w:r>
              <w:rPr>
                <w:rFonts w:ascii="Arial" w:hAnsi="Arial" w:cs="Arial"/>
                <w:sz w:val="16"/>
                <w:szCs w:val="16"/>
                <w:lang w:eastAsia="en-US"/>
              </w:rPr>
              <w:t>зміни</w:t>
            </w:r>
            <w:r>
              <w:rPr>
                <w:rFonts w:ascii="Arial" w:hAnsi="Arial" w:cs="Arial"/>
                <w:sz w:val="16"/>
                <w:szCs w:val="16"/>
                <w:lang w:val="en-US" w:eastAsia="en-US"/>
              </w:rPr>
              <w:t xml:space="preserve"> </w:t>
            </w:r>
            <w:r>
              <w:rPr>
                <w:rFonts w:ascii="Arial" w:hAnsi="Arial" w:cs="Arial"/>
                <w:sz w:val="16"/>
                <w:szCs w:val="16"/>
                <w:lang w:eastAsia="en-US"/>
              </w:rPr>
              <w:t>у</w:t>
            </w:r>
            <w:r>
              <w:rPr>
                <w:rFonts w:ascii="Arial" w:hAnsi="Arial" w:cs="Arial"/>
                <w:sz w:val="16"/>
                <w:szCs w:val="16"/>
                <w:lang w:val="en-US" w:eastAsia="en-US"/>
              </w:rPr>
              <w:t xml:space="preserve"> </w:t>
            </w:r>
            <w:r>
              <w:rPr>
                <w:rFonts w:ascii="Arial" w:hAnsi="Arial" w:cs="Arial"/>
                <w:sz w:val="16"/>
                <w:szCs w:val="16"/>
                <w:lang w:eastAsia="en-US"/>
              </w:rPr>
              <w:t>розміщенні</w:t>
            </w:r>
            <w:r>
              <w:rPr>
                <w:rFonts w:ascii="Arial" w:hAnsi="Arial" w:cs="Arial"/>
                <w:sz w:val="16"/>
                <w:szCs w:val="16"/>
                <w:lang w:val="en-US" w:eastAsia="en-US"/>
              </w:rPr>
              <w:t xml:space="preserve"> </w:t>
            </w:r>
            <w:r>
              <w:rPr>
                <w:rFonts w:ascii="Arial" w:hAnsi="Arial" w:cs="Arial"/>
                <w:sz w:val="16"/>
                <w:szCs w:val="16"/>
                <w:lang w:eastAsia="en-US"/>
              </w:rPr>
              <w:t>мастер</w:t>
            </w:r>
            <w:r>
              <w:rPr>
                <w:rFonts w:ascii="Arial" w:hAnsi="Arial" w:cs="Arial"/>
                <w:sz w:val="16"/>
                <w:szCs w:val="16"/>
                <w:lang w:val="en-US" w:eastAsia="en-US"/>
              </w:rPr>
              <w:t>-</w:t>
            </w:r>
            <w:r>
              <w:rPr>
                <w:rFonts w:ascii="Arial" w:hAnsi="Arial" w:cs="Arial"/>
                <w:sz w:val="16"/>
                <w:szCs w:val="16"/>
                <w:lang w:eastAsia="en-US"/>
              </w:rPr>
              <w:t>файла</w:t>
            </w:r>
            <w:r>
              <w:rPr>
                <w:rFonts w:ascii="Arial" w:hAnsi="Arial" w:cs="Arial"/>
                <w:sz w:val="16"/>
                <w:szCs w:val="16"/>
                <w:lang w:val="en-US" w:eastAsia="en-US"/>
              </w:rPr>
              <w:t xml:space="preserve"> </w:t>
            </w:r>
            <w:r>
              <w:rPr>
                <w:rFonts w:ascii="Arial" w:hAnsi="Arial" w:cs="Arial"/>
                <w:sz w:val="16"/>
                <w:szCs w:val="16"/>
                <w:lang w:eastAsia="en-US"/>
              </w:rPr>
              <w:t>системи</w:t>
            </w:r>
            <w:r>
              <w:rPr>
                <w:rFonts w:ascii="Arial" w:hAnsi="Arial" w:cs="Arial"/>
                <w:sz w:val="16"/>
                <w:szCs w:val="16"/>
                <w:lang w:val="en-US" w:eastAsia="en-US"/>
              </w:rPr>
              <w:t xml:space="preserve"> </w:t>
            </w:r>
            <w:r>
              <w:rPr>
                <w:rFonts w:ascii="Arial" w:hAnsi="Arial" w:cs="Arial"/>
                <w:sz w:val="16"/>
                <w:szCs w:val="16"/>
                <w:lang w:eastAsia="en-US"/>
              </w:rPr>
              <w:t>фармаконагляду</w:t>
            </w:r>
            <w:r>
              <w:rPr>
                <w:rFonts w:ascii="Arial" w:hAnsi="Arial" w:cs="Arial"/>
                <w:sz w:val="16"/>
                <w:szCs w:val="16"/>
                <w:lang w:val="en-US" w:eastAsia="en-US"/>
              </w:rPr>
              <w:t>) (</w:t>
            </w:r>
            <w:r>
              <w:rPr>
                <w:rFonts w:ascii="Arial" w:hAnsi="Arial" w:cs="Arial"/>
                <w:sz w:val="16"/>
                <w:szCs w:val="16"/>
                <w:lang w:eastAsia="en-US"/>
              </w:rPr>
              <w:t>В</w:t>
            </w:r>
            <w:r>
              <w:rPr>
                <w:rFonts w:ascii="Arial" w:hAnsi="Arial" w:cs="Arial"/>
                <w:sz w:val="16"/>
                <w:szCs w:val="16"/>
                <w:lang w:val="en-US" w:eastAsia="en-US"/>
              </w:rPr>
              <w:t>.I.8. (</w:t>
            </w:r>
            <w:r>
              <w:rPr>
                <w:rFonts w:ascii="Arial" w:hAnsi="Arial" w:cs="Arial"/>
                <w:sz w:val="16"/>
                <w:szCs w:val="16"/>
                <w:lang w:eastAsia="en-US"/>
              </w:rPr>
              <w:t>а</w:t>
            </w:r>
            <w:r>
              <w:rPr>
                <w:rFonts w:ascii="Arial" w:hAnsi="Arial" w:cs="Arial"/>
                <w:sz w:val="16"/>
                <w:szCs w:val="16"/>
                <w:lang w:val="en-US" w:eastAsia="en-US"/>
              </w:rPr>
              <w:t>) IA</w:t>
            </w:r>
            <w:r>
              <w:rPr>
                <w:rFonts w:ascii="Arial" w:hAnsi="Arial" w:cs="Arial"/>
                <w:sz w:val="16"/>
                <w:szCs w:val="16"/>
                <w:lang w:eastAsia="en-US"/>
              </w:rPr>
              <w:t>нп</w:t>
            </w:r>
            <w:r>
              <w:rPr>
                <w:rFonts w:ascii="Arial" w:hAnsi="Arial" w:cs="Arial"/>
                <w:sz w:val="16"/>
                <w:szCs w:val="16"/>
                <w:lang w:val="en-US" w:eastAsia="en-US"/>
              </w:rPr>
              <w:t xml:space="preserve">); </w:t>
            </w:r>
            <w:r>
              <w:rPr>
                <w:rFonts w:ascii="Arial" w:hAnsi="Arial" w:cs="Arial"/>
                <w:sz w:val="16"/>
                <w:szCs w:val="16"/>
                <w:lang w:eastAsia="en-US"/>
              </w:rPr>
              <w:t>Зміна</w:t>
            </w:r>
            <w:r>
              <w:rPr>
                <w:rFonts w:ascii="Arial" w:hAnsi="Arial" w:cs="Arial"/>
                <w:sz w:val="16"/>
                <w:szCs w:val="16"/>
                <w:lang w:val="en-US" w:eastAsia="en-US"/>
              </w:rPr>
              <w:t xml:space="preserve"> </w:t>
            </w:r>
            <w:r>
              <w:rPr>
                <w:rFonts w:ascii="Arial" w:hAnsi="Arial" w:cs="Arial"/>
                <w:sz w:val="16"/>
                <w:szCs w:val="16"/>
                <w:lang w:eastAsia="en-US"/>
              </w:rPr>
              <w:t>уповноваженої</w:t>
            </w:r>
            <w:r>
              <w:rPr>
                <w:rFonts w:ascii="Arial" w:hAnsi="Arial" w:cs="Arial"/>
                <w:sz w:val="16"/>
                <w:szCs w:val="16"/>
                <w:lang w:val="en-US" w:eastAsia="en-US"/>
              </w:rPr>
              <w:t xml:space="preserve"> </w:t>
            </w:r>
            <w:r>
              <w:rPr>
                <w:rFonts w:ascii="Arial" w:hAnsi="Arial" w:cs="Arial"/>
                <w:sz w:val="16"/>
                <w:szCs w:val="16"/>
                <w:lang w:eastAsia="en-US"/>
              </w:rPr>
              <w:t>особи</w:t>
            </w:r>
            <w:r>
              <w:rPr>
                <w:rFonts w:ascii="Arial" w:hAnsi="Arial" w:cs="Arial"/>
                <w:sz w:val="16"/>
                <w:szCs w:val="16"/>
                <w:lang w:val="en-US" w:eastAsia="en-US"/>
              </w:rPr>
              <w:t xml:space="preserve"> </w:t>
            </w:r>
            <w:r>
              <w:rPr>
                <w:rFonts w:ascii="Arial" w:hAnsi="Arial" w:cs="Arial"/>
                <w:sz w:val="16"/>
                <w:szCs w:val="16"/>
                <w:lang w:eastAsia="en-US"/>
              </w:rPr>
              <w:t>заявника</w:t>
            </w:r>
            <w:r>
              <w:rPr>
                <w:rFonts w:ascii="Arial" w:hAnsi="Arial" w:cs="Arial"/>
                <w:sz w:val="16"/>
                <w:szCs w:val="16"/>
                <w:lang w:val="en-US" w:eastAsia="en-US"/>
              </w:rPr>
              <w:t xml:space="preserve">, </w:t>
            </w:r>
            <w:r>
              <w:rPr>
                <w:rFonts w:ascii="Arial" w:hAnsi="Arial" w:cs="Arial"/>
                <w:sz w:val="16"/>
                <w:szCs w:val="16"/>
                <w:lang w:eastAsia="en-US"/>
              </w:rPr>
              <w:t>відповідальної</w:t>
            </w:r>
            <w:r>
              <w:rPr>
                <w:rFonts w:ascii="Arial" w:hAnsi="Arial" w:cs="Arial"/>
                <w:sz w:val="16"/>
                <w:szCs w:val="16"/>
                <w:lang w:val="en-US" w:eastAsia="en-US"/>
              </w:rPr>
              <w:t xml:space="preserve"> </w:t>
            </w:r>
            <w:r>
              <w:rPr>
                <w:rFonts w:ascii="Arial" w:hAnsi="Arial" w:cs="Arial"/>
                <w:sz w:val="16"/>
                <w:szCs w:val="16"/>
                <w:lang w:eastAsia="en-US"/>
              </w:rPr>
              <w:t>за</w:t>
            </w:r>
            <w:r>
              <w:rPr>
                <w:rFonts w:ascii="Arial" w:hAnsi="Arial" w:cs="Arial"/>
                <w:sz w:val="16"/>
                <w:szCs w:val="16"/>
                <w:lang w:val="en-US" w:eastAsia="en-US"/>
              </w:rPr>
              <w:t xml:space="preserve"> </w:t>
            </w:r>
            <w:r>
              <w:rPr>
                <w:rFonts w:ascii="Arial" w:hAnsi="Arial" w:cs="Arial"/>
                <w:sz w:val="16"/>
                <w:szCs w:val="16"/>
                <w:lang w:eastAsia="en-US"/>
              </w:rPr>
              <w:t>фармаконагляд</w:t>
            </w:r>
            <w:r>
              <w:rPr>
                <w:rFonts w:ascii="Arial" w:hAnsi="Arial" w:cs="Arial"/>
                <w:sz w:val="16"/>
                <w:szCs w:val="16"/>
                <w:lang w:val="en-US" w:eastAsia="en-US"/>
              </w:rPr>
              <w:t xml:space="preserve">. </w:t>
            </w:r>
            <w:r>
              <w:rPr>
                <w:rFonts w:ascii="Arial" w:hAnsi="Arial" w:cs="Arial"/>
                <w:sz w:val="16"/>
                <w:szCs w:val="16"/>
                <w:lang w:eastAsia="en-US"/>
              </w:rPr>
              <w:t>Діюча</w:t>
            </w:r>
            <w:r>
              <w:rPr>
                <w:rFonts w:ascii="Arial" w:hAnsi="Arial" w:cs="Arial"/>
                <w:sz w:val="16"/>
                <w:szCs w:val="16"/>
                <w:lang w:val="en-US" w:eastAsia="en-US"/>
              </w:rPr>
              <w:t xml:space="preserve"> </w:t>
            </w:r>
            <w:r>
              <w:rPr>
                <w:rFonts w:ascii="Arial" w:hAnsi="Arial" w:cs="Arial"/>
                <w:sz w:val="16"/>
                <w:szCs w:val="16"/>
                <w:lang w:eastAsia="en-US"/>
              </w:rPr>
              <w:t>редакція</w:t>
            </w:r>
            <w:r>
              <w:rPr>
                <w:rFonts w:ascii="Arial" w:hAnsi="Arial" w:cs="Arial"/>
                <w:sz w:val="16"/>
                <w:szCs w:val="16"/>
                <w:lang w:val="en-US" w:eastAsia="en-US"/>
              </w:rPr>
              <w:t xml:space="preserve">: </w:t>
            </w:r>
            <w:r>
              <w:rPr>
                <w:rFonts w:ascii="Arial" w:hAnsi="Arial" w:cs="Arial"/>
                <w:sz w:val="16"/>
                <w:szCs w:val="16"/>
                <w:lang w:eastAsia="en-US"/>
              </w:rPr>
              <w:t>Йохан</w:t>
            </w:r>
            <w:r>
              <w:rPr>
                <w:rFonts w:ascii="Arial" w:hAnsi="Arial" w:cs="Arial"/>
                <w:sz w:val="16"/>
                <w:szCs w:val="16"/>
                <w:lang w:val="en-US" w:eastAsia="en-US"/>
              </w:rPr>
              <w:t xml:space="preserve"> </w:t>
            </w:r>
            <w:r>
              <w:rPr>
                <w:rFonts w:ascii="Arial" w:hAnsi="Arial" w:cs="Arial"/>
                <w:sz w:val="16"/>
                <w:szCs w:val="16"/>
                <w:lang w:eastAsia="en-US"/>
              </w:rPr>
              <w:t>Хелмер</w:t>
            </w:r>
            <w:r>
              <w:rPr>
                <w:rFonts w:ascii="Arial" w:hAnsi="Arial" w:cs="Arial"/>
                <w:sz w:val="16"/>
                <w:szCs w:val="16"/>
                <w:lang w:val="en-US" w:eastAsia="en-US"/>
              </w:rPr>
              <w:t xml:space="preserve">. </w:t>
            </w:r>
            <w:r>
              <w:rPr>
                <w:rFonts w:ascii="Arial" w:hAnsi="Arial" w:cs="Arial"/>
                <w:sz w:val="16"/>
                <w:szCs w:val="16"/>
                <w:lang w:eastAsia="en-US"/>
              </w:rPr>
              <w:t>Пропонована</w:t>
            </w:r>
            <w:r>
              <w:rPr>
                <w:rFonts w:ascii="Arial" w:hAnsi="Arial" w:cs="Arial"/>
                <w:sz w:val="16"/>
                <w:szCs w:val="16"/>
                <w:lang w:val="en-US" w:eastAsia="en-US"/>
              </w:rPr>
              <w:t xml:space="preserve"> </w:t>
            </w:r>
            <w:r>
              <w:rPr>
                <w:rFonts w:ascii="Arial" w:hAnsi="Arial" w:cs="Arial"/>
                <w:sz w:val="16"/>
                <w:szCs w:val="16"/>
                <w:lang w:eastAsia="en-US"/>
              </w:rPr>
              <w:t>редакція</w:t>
            </w:r>
            <w:r>
              <w:rPr>
                <w:rFonts w:ascii="Arial" w:hAnsi="Arial" w:cs="Arial"/>
                <w:sz w:val="16"/>
                <w:szCs w:val="16"/>
                <w:lang w:val="en-US" w:eastAsia="en-US"/>
              </w:rPr>
              <w:t xml:space="preserve">: </w:t>
            </w:r>
            <w:r>
              <w:rPr>
                <w:rFonts w:ascii="Arial" w:hAnsi="Arial" w:cs="Arial"/>
                <w:sz w:val="16"/>
                <w:szCs w:val="16"/>
                <w:lang w:eastAsia="en-US"/>
              </w:rPr>
              <w:t>Суміт</w:t>
            </w:r>
            <w:r>
              <w:rPr>
                <w:rFonts w:ascii="Arial" w:hAnsi="Arial" w:cs="Arial"/>
                <w:sz w:val="16"/>
                <w:szCs w:val="16"/>
                <w:lang w:val="en-US" w:eastAsia="en-US"/>
              </w:rPr>
              <w:t xml:space="preserve"> </w:t>
            </w:r>
            <w:r>
              <w:rPr>
                <w:rFonts w:ascii="Arial" w:hAnsi="Arial" w:cs="Arial"/>
                <w:sz w:val="16"/>
                <w:szCs w:val="16"/>
                <w:lang w:eastAsia="en-US"/>
              </w:rPr>
              <w:t>Мунджал</w:t>
            </w:r>
            <w:r>
              <w:rPr>
                <w:rFonts w:ascii="Arial" w:hAnsi="Arial" w:cs="Arial"/>
                <w:sz w:val="16"/>
                <w:szCs w:val="16"/>
                <w:lang w:val="en-US" w:eastAsia="en-US"/>
              </w:rPr>
              <w:t xml:space="preserve"> / Sumit Munjal. </w:t>
            </w:r>
            <w:r>
              <w:rPr>
                <w:rFonts w:ascii="Arial" w:hAnsi="Arial" w:cs="Arial"/>
                <w:sz w:val="16"/>
                <w:szCs w:val="16"/>
                <w:lang w:eastAsia="en-US"/>
              </w:rPr>
              <w:t>Зміна</w:t>
            </w:r>
            <w:r>
              <w:rPr>
                <w:rFonts w:ascii="Arial" w:hAnsi="Arial" w:cs="Arial"/>
                <w:sz w:val="16"/>
                <w:szCs w:val="16"/>
                <w:lang w:val="en-US" w:eastAsia="en-US"/>
              </w:rPr>
              <w:t xml:space="preserve"> </w:t>
            </w:r>
            <w:r>
              <w:rPr>
                <w:rFonts w:ascii="Arial" w:hAnsi="Arial" w:cs="Arial"/>
                <w:sz w:val="16"/>
                <w:szCs w:val="16"/>
                <w:lang w:eastAsia="en-US"/>
              </w:rPr>
              <w:t>контактних</w:t>
            </w:r>
            <w:r>
              <w:rPr>
                <w:rFonts w:ascii="Arial" w:hAnsi="Arial" w:cs="Arial"/>
                <w:sz w:val="16"/>
                <w:szCs w:val="16"/>
                <w:lang w:val="en-US" w:eastAsia="en-US"/>
              </w:rPr>
              <w:t xml:space="preserve"> </w:t>
            </w:r>
            <w:r>
              <w:rPr>
                <w:rFonts w:ascii="Arial" w:hAnsi="Arial" w:cs="Arial"/>
                <w:sz w:val="16"/>
                <w:szCs w:val="16"/>
                <w:lang w:eastAsia="en-US"/>
              </w:rPr>
              <w:t>даних</w:t>
            </w:r>
            <w:r>
              <w:rPr>
                <w:rFonts w:ascii="Arial" w:hAnsi="Arial" w:cs="Arial"/>
                <w:sz w:val="16"/>
                <w:szCs w:val="16"/>
                <w:lang w:val="en-US" w:eastAsia="en-US"/>
              </w:rPr>
              <w:t xml:space="preserve"> </w:t>
            </w:r>
            <w:r>
              <w:rPr>
                <w:rFonts w:ascii="Arial" w:hAnsi="Arial" w:cs="Arial"/>
                <w:sz w:val="16"/>
                <w:szCs w:val="16"/>
                <w:lang w:eastAsia="en-US"/>
              </w:rPr>
              <w:t>уповноваженої</w:t>
            </w:r>
            <w:r>
              <w:rPr>
                <w:rFonts w:ascii="Arial" w:hAnsi="Arial" w:cs="Arial"/>
                <w:sz w:val="16"/>
                <w:szCs w:val="16"/>
                <w:lang w:val="en-US" w:eastAsia="en-US"/>
              </w:rPr>
              <w:t xml:space="preserve"> </w:t>
            </w:r>
            <w:r>
              <w:rPr>
                <w:rFonts w:ascii="Arial" w:hAnsi="Arial" w:cs="Arial"/>
                <w:sz w:val="16"/>
                <w:szCs w:val="16"/>
                <w:lang w:eastAsia="en-US"/>
              </w:rPr>
              <w:t>особи</w:t>
            </w:r>
            <w:r>
              <w:rPr>
                <w:rFonts w:ascii="Arial" w:hAnsi="Arial" w:cs="Arial"/>
                <w:sz w:val="16"/>
                <w:szCs w:val="16"/>
                <w:lang w:val="en-US" w:eastAsia="en-US"/>
              </w:rPr>
              <w:t xml:space="preserve"> </w:t>
            </w:r>
            <w:r>
              <w:rPr>
                <w:rFonts w:ascii="Arial" w:hAnsi="Arial" w:cs="Arial"/>
                <w:sz w:val="16"/>
                <w:szCs w:val="16"/>
                <w:lang w:eastAsia="en-US"/>
              </w:rPr>
              <w:t>заявника</w:t>
            </w:r>
            <w:r>
              <w:rPr>
                <w:rFonts w:ascii="Arial" w:hAnsi="Arial" w:cs="Arial"/>
                <w:sz w:val="16"/>
                <w:szCs w:val="16"/>
                <w:lang w:val="en-US" w:eastAsia="en-US"/>
              </w:rPr>
              <w:t xml:space="preserve">, </w:t>
            </w:r>
            <w:r>
              <w:rPr>
                <w:rFonts w:ascii="Arial" w:hAnsi="Arial" w:cs="Arial"/>
                <w:sz w:val="16"/>
                <w:szCs w:val="16"/>
                <w:lang w:eastAsia="en-US"/>
              </w:rPr>
              <w:t>відповідальної</w:t>
            </w:r>
            <w:r>
              <w:rPr>
                <w:rFonts w:ascii="Arial" w:hAnsi="Arial" w:cs="Arial"/>
                <w:sz w:val="16"/>
                <w:szCs w:val="16"/>
                <w:lang w:val="en-US" w:eastAsia="en-US"/>
              </w:rPr>
              <w:t xml:space="preserve"> </w:t>
            </w:r>
            <w:r>
              <w:rPr>
                <w:rFonts w:ascii="Arial" w:hAnsi="Arial" w:cs="Arial"/>
                <w:sz w:val="16"/>
                <w:szCs w:val="16"/>
                <w:lang w:eastAsia="en-US"/>
              </w:rPr>
              <w:t>за</w:t>
            </w:r>
            <w:r>
              <w:rPr>
                <w:rFonts w:ascii="Arial" w:hAnsi="Arial" w:cs="Arial"/>
                <w:sz w:val="16"/>
                <w:szCs w:val="16"/>
                <w:lang w:val="en-US" w:eastAsia="en-US"/>
              </w:rPr>
              <w:t xml:space="preserve"> </w:t>
            </w:r>
            <w:r>
              <w:rPr>
                <w:rFonts w:ascii="Arial" w:hAnsi="Arial" w:cs="Arial"/>
                <w:sz w:val="16"/>
                <w:szCs w:val="16"/>
                <w:lang w:eastAsia="en-US"/>
              </w:rPr>
              <w:t>фармаконагляд</w:t>
            </w:r>
            <w:r>
              <w:rPr>
                <w:rFonts w:ascii="Arial" w:hAnsi="Arial" w:cs="Arial"/>
                <w:sz w:val="16"/>
                <w:szCs w:val="16"/>
                <w:lang w:val="en-US" w:eastAsia="en-US"/>
              </w:rPr>
              <w:t xml:space="preserve">. </w:t>
            </w:r>
            <w:r>
              <w:rPr>
                <w:rFonts w:ascii="Arial" w:hAnsi="Arial" w:cs="Arial"/>
                <w:sz w:val="16"/>
                <w:szCs w:val="16"/>
                <w:lang w:eastAsia="en-US"/>
              </w:rPr>
              <w:t xml:space="preserve">Зміна контактної особи заявника, відповідальної за фармаконагляд в Україні. Діюча редакція: Черняєва Олена Анатоліївна. Пропонована редакція: Венгер Людмила / Liudmyla Venher.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 Редакція в наказі - Баксалта Белджіум Мануфектурінг СА, Бельгiя (виробництво, первинне та вторинне пакування, контроль якості ГЛЗ, випуск серії); Такеда Мануфекчурінг Австрія АГ, Австрія (контроль якості ГЛЗ). </w:t>
            </w:r>
            <w:r>
              <w:rPr>
                <w:rFonts w:ascii="Arial" w:hAnsi="Arial" w:cs="Arial"/>
                <w:b/>
                <w:sz w:val="16"/>
                <w:szCs w:val="16"/>
                <w:lang w:eastAsia="en-US"/>
              </w:rPr>
              <w:t>Вірна редакція - Баксалта Белджіум Мануфектурінг СА, Бельгiя (виробництво, первинне та вторинне пакування, контроль якості ГЛЗ, випуск серії); Бакстер АГ, Австрія (контроль якості ГЛЗ).</w:t>
            </w:r>
          </w:p>
        </w:tc>
      </w:tr>
      <w:tr w:rsidR="003D03F3" w:rsidTr="003D03F3">
        <w:trPr>
          <w:trHeight w:val="557"/>
        </w:trPr>
        <w:tc>
          <w:tcPr>
            <w:tcW w:w="426" w:type="dxa"/>
            <w:tcBorders>
              <w:top w:val="single" w:sz="4" w:space="0" w:color="auto"/>
              <w:left w:val="single" w:sz="4" w:space="0" w:color="auto"/>
              <w:bottom w:val="single" w:sz="4" w:space="0" w:color="auto"/>
              <w:right w:val="single" w:sz="4" w:space="0" w:color="auto"/>
            </w:tcBorders>
          </w:tcPr>
          <w:p w:rsidR="003D03F3" w:rsidRDefault="003D03F3" w:rsidP="003D03F3">
            <w:pPr>
              <w:numPr>
                <w:ilvl w:val="0"/>
                <w:numId w:val="8"/>
              </w:numPr>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3D03F3" w:rsidRDefault="003D03F3">
            <w:pPr>
              <w:jc w:val="both"/>
              <w:rPr>
                <w:rFonts w:ascii="Arial" w:hAnsi="Arial" w:cs="Arial"/>
                <w:b/>
                <w:sz w:val="16"/>
                <w:szCs w:val="16"/>
                <w:lang w:eastAsia="en-US"/>
              </w:rPr>
            </w:pPr>
            <w:r>
              <w:rPr>
                <w:rFonts w:ascii="Arial" w:hAnsi="Arial" w:cs="Arial"/>
                <w:b/>
                <w:sz w:val="16"/>
                <w:szCs w:val="16"/>
                <w:lang w:eastAsia="en-US"/>
              </w:rPr>
              <w:t xml:space="preserve">КОНТРОЛОК® </w:t>
            </w:r>
          </w:p>
        </w:tc>
        <w:tc>
          <w:tcPr>
            <w:tcW w:w="1417" w:type="dxa"/>
            <w:tcBorders>
              <w:top w:val="single" w:sz="4" w:space="0" w:color="auto"/>
              <w:left w:val="single" w:sz="4" w:space="0" w:color="auto"/>
              <w:bottom w:val="single" w:sz="4" w:space="0" w:color="auto"/>
              <w:right w:val="single" w:sz="4" w:space="0" w:color="auto"/>
            </w:tcBorders>
          </w:tcPr>
          <w:p w:rsidR="003D03F3" w:rsidRDefault="003D03F3">
            <w:pPr>
              <w:rPr>
                <w:rFonts w:ascii="Arial" w:hAnsi="Arial" w:cs="Arial"/>
                <w:sz w:val="16"/>
                <w:szCs w:val="16"/>
                <w:lang w:eastAsia="en-US"/>
              </w:rPr>
            </w:pPr>
            <w:r>
              <w:rPr>
                <w:rFonts w:ascii="Arial" w:hAnsi="Arial" w:cs="Arial"/>
                <w:sz w:val="16"/>
                <w:szCs w:val="16"/>
                <w:lang w:eastAsia="en-US"/>
              </w:rPr>
              <w:t>таблетки гастрорезистентні по 20 мг; по 14 таблеток у блістері; по 1 блістеру в картонній коробці</w:t>
            </w:r>
          </w:p>
          <w:p w:rsidR="003D03F3" w:rsidRDefault="003D03F3">
            <w:pPr>
              <w:rPr>
                <w:rFonts w:ascii="Arial" w:hAnsi="Arial" w:cs="Arial"/>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3D03F3" w:rsidRDefault="003D03F3">
            <w:pPr>
              <w:jc w:val="center"/>
              <w:rPr>
                <w:rFonts w:ascii="Arial" w:hAnsi="Arial" w:cs="Arial"/>
                <w:sz w:val="16"/>
                <w:szCs w:val="16"/>
                <w:lang w:eastAsia="en-US"/>
              </w:rPr>
            </w:pPr>
            <w:r>
              <w:rPr>
                <w:rFonts w:ascii="Arial" w:hAnsi="Arial" w:cs="Arial"/>
                <w:sz w:val="16"/>
                <w:szCs w:val="16"/>
                <w:lang w:eastAsia="en-US"/>
              </w:rPr>
              <w:t>Такеда ГмбХ</w:t>
            </w:r>
          </w:p>
          <w:p w:rsidR="003D03F3" w:rsidRDefault="003D03F3">
            <w:pPr>
              <w:ind w:left="170"/>
              <w:jc w:val="center"/>
              <w:rPr>
                <w:rFonts w:ascii="Arial" w:hAnsi="Arial" w:cs="Arial"/>
                <w:sz w:val="16"/>
                <w:szCs w:val="16"/>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3D03F3" w:rsidRDefault="003D03F3">
            <w:pPr>
              <w:jc w:val="center"/>
              <w:rPr>
                <w:rFonts w:ascii="Arial" w:hAnsi="Arial" w:cs="Arial"/>
                <w:sz w:val="16"/>
                <w:szCs w:val="16"/>
                <w:lang w:eastAsia="en-US"/>
              </w:rPr>
            </w:pPr>
            <w:r>
              <w:rPr>
                <w:rFonts w:ascii="Arial" w:hAnsi="Arial" w:cs="Arial"/>
                <w:sz w:val="16"/>
                <w:szCs w:val="16"/>
                <w:lang w:eastAsia="en-US"/>
              </w:rPr>
              <w:t>Німеччина</w:t>
            </w:r>
          </w:p>
        </w:tc>
        <w:tc>
          <w:tcPr>
            <w:tcW w:w="1842" w:type="dxa"/>
            <w:tcBorders>
              <w:top w:val="single" w:sz="4" w:space="0" w:color="auto"/>
              <w:left w:val="single" w:sz="4" w:space="0" w:color="auto"/>
              <w:bottom w:val="single" w:sz="4" w:space="0" w:color="auto"/>
              <w:right w:val="single" w:sz="4" w:space="0" w:color="auto"/>
            </w:tcBorders>
            <w:hideMark/>
          </w:tcPr>
          <w:p w:rsidR="003D03F3" w:rsidRDefault="003D03F3">
            <w:pPr>
              <w:jc w:val="center"/>
              <w:rPr>
                <w:rFonts w:ascii="Arial" w:hAnsi="Arial" w:cs="Arial"/>
                <w:sz w:val="16"/>
                <w:szCs w:val="16"/>
                <w:lang w:eastAsia="en-US"/>
              </w:rPr>
            </w:pPr>
            <w:r>
              <w:rPr>
                <w:rFonts w:ascii="Arial" w:hAnsi="Arial" w:cs="Arial"/>
                <w:sz w:val="16"/>
                <w:szCs w:val="16"/>
                <w:lang w:eastAsia="en-US"/>
              </w:rPr>
              <w:t>Адванс Фарма ГмбХ, Німеччина (нанесення покриття на ядра таблеток); Такеда ГмбХ, місце виробництва Оранієнбург, Німеччина (виробництво за повним циклом)</w:t>
            </w:r>
          </w:p>
        </w:tc>
        <w:tc>
          <w:tcPr>
            <w:tcW w:w="1135" w:type="dxa"/>
            <w:tcBorders>
              <w:top w:val="single" w:sz="4" w:space="0" w:color="auto"/>
              <w:left w:val="single" w:sz="4" w:space="0" w:color="auto"/>
              <w:bottom w:val="single" w:sz="4" w:space="0" w:color="auto"/>
              <w:right w:val="single" w:sz="4" w:space="0" w:color="auto"/>
            </w:tcBorders>
            <w:hideMark/>
          </w:tcPr>
          <w:p w:rsidR="003D03F3" w:rsidRDefault="003D03F3">
            <w:pPr>
              <w:pStyle w:val="af"/>
              <w:ind w:left="0"/>
              <w:jc w:val="center"/>
              <w:rPr>
                <w:rFonts w:ascii="Arial" w:hAnsi="Arial" w:cs="Arial"/>
                <w:b/>
                <w:sz w:val="16"/>
                <w:szCs w:val="16"/>
                <w:lang w:eastAsia="en-US"/>
              </w:rPr>
            </w:pPr>
            <w:r>
              <w:rPr>
                <w:rFonts w:ascii="Arial" w:hAnsi="Arial" w:cs="Arial"/>
                <w:sz w:val="16"/>
                <w:szCs w:val="16"/>
                <w:lang w:eastAsia="en-US"/>
              </w:rPr>
              <w:t>Німеччина</w:t>
            </w:r>
          </w:p>
        </w:tc>
        <w:tc>
          <w:tcPr>
            <w:tcW w:w="1134" w:type="dxa"/>
            <w:tcBorders>
              <w:top w:val="single" w:sz="4" w:space="0" w:color="auto"/>
              <w:left w:val="single" w:sz="4" w:space="0" w:color="auto"/>
              <w:bottom w:val="single" w:sz="4" w:space="0" w:color="auto"/>
              <w:right w:val="single" w:sz="4" w:space="0" w:color="auto"/>
            </w:tcBorders>
            <w:hideMark/>
          </w:tcPr>
          <w:p w:rsidR="003D03F3" w:rsidRDefault="003D03F3">
            <w:pPr>
              <w:pStyle w:val="135"/>
              <w:ind w:firstLine="0"/>
              <w:jc w:val="left"/>
              <w:rPr>
                <w:rFonts w:cs="Arial"/>
                <w:b w:val="0"/>
                <w:iCs/>
                <w:sz w:val="16"/>
                <w:szCs w:val="16"/>
                <w:lang w:val="en-US" w:eastAsia="en-US"/>
              </w:rPr>
            </w:pPr>
            <w:r>
              <w:rPr>
                <w:rFonts w:cs="Arial"/>
                <w:b w:val="0"/>
                <w:iCs/>
                <w:sz w:val="16"/>
                <w:szCs w:val="16"/>
                <w:lang w:eastAsia="en-US"/>
              </w:rPr>
              <w:t xml:space="preserve">засідання </w:t>
            </w:r>
            <w:r>
              <w:rPr>
                <w:rFonts w:cs="Arial"/>
                <w:b w:val="0"/>
                <w:iCs/>
                <w:sz w:val="16"/>
                <w:szCs w:val="16"/>
                <w:lang w:val="en-US" w:eastAsia="en-US"/>
              </w:rPr>
              <w:t>НТР № 18 від 18.05.2023</w:t>
            </w:r>
          </w:p>
        </w:tc>
        <w:tc>
          <w:tcPr>
            <w:tcW w:w="6095" w:type="dxa"/>
            <w:tcBorders>
              <w:top w:val="single" w:sz="4" w:space="0" w:color="auto"/>
              <w:left w:val="single" w:sz="4" w:space="0" w:color="auto"/>
              <w:bottom w:val="single" w:sz="4" w:space="0" w:color="auto"/>
              <w:right w:val="single" w:sz="4" w:space="0" w:color="auto"/>
            </w:tcBorders>
          </w:tcPr>
          <w:p w:rsidR="003D03F3" w:rsidRDefault="003D03F3">
            <w:pPr>
              <w:pStyle w:val="af"/>
              <w:spacing w:after="0"/>
              <w:ind w:left="0"/>
              <w:jc w:val="both"/>
              <w:rPr>
                <w:rFonts w:ascii="Arial" w:hAnsi="Arial" w:cs="Arial"/>
                <w:b/>
                <w:sz w:val="16"/>
                <w:szCs w:val="16"/>
                <w:lang w:val="en-US" w:eastAsia="en-US"/>
              </w:rPr>
            </w:pPr>
            <w:r>
              <w:rPr>
                <w:rFonts w:ascii="Arial" w:hAnsi="Arial" w:cs="Arial"/>
                <w:b/>
                <w:sz w:val="16"/>
                <w:szCs w:val="16"/>
                <w:lang w:val="uk-UA" w:eastAsia="en-US"/>
              </w:rPr>
              <w:t>Відмовити у</w:t>
            </w:r>
            <w:r w:rsidRPr="003D03F3">
              <w:rPr>
                <w:rFonts w:ascii="Arial" w:hAnsi="Arial" w:cs="Arial"/>
                <w:b/>
                <w:sz w:val="16"/>
                <w:szCs w:val="16"/>
                <w:lang w:val="en-US" w:eastAsia="en-US"/>
              </w:rPr>
              <w:t xml:space="preserve"> </w:t>
            </w:r>
            <w:r>
              <w:rPr>
                <w:rFonts w:ascii="Arial" w:hAnsi="Arial" w:cs="Arial"/>
                <w:b/>
                <w:sz w:val="16"/>
                <w:szCs w:val="16"/>
                <w:lang w:eastAsia="en-US"/>
              </w:rPr>
              <w:t>затвердженн</w:t>
            </w:r>
            <w:r>
              <w:rPr>
                <w:rFonts w:ascii="Arial" w:hAnsi="Arial" w:cs="Arial"/>
                <w:b/>
                <w:sz w:val="16"/>
                <w:szCs w:val="16"/>
                <w:lang w:val="uk-UA" w:eastAsia="en-US"/>
              </w:rPr>
              <w:t>і</w:t>
            </w:r>
            <w:r>
              <w:rPr>
                <w:rFonts w:ascii="Arial" w:hAnsi="Arial" w:cs="Arial"/>
                <w:b/>
                <w:sz w:val="16"/>
                <w:szCs w:val="16"/>
                <w:lang w:val="en-US" w:eastAsia="en-US"/>
              </w:rPr>
              <w:t xml:space="preserve"> </w:t>
            </w:r>
            <w:r>
              <w:rPr>
                <w:rFonts w:ascii="Arial" w:hAnsi="Arial" w:cs="Arial"/>
                <w:b/>
                <w:sz w:val="16"/>
                <w:szCs w:val="16"/>
                <w:lang w:val="uk-UA" w:eastAsia="en-US"/>
              </w:rPr>
              <w:t xml:space="preserve"> - </w:t>
            </w:r>
            <w:r>
              <w:rPr>
                <w:rFonts w:ascii="Arial" w:hAnsi="Arial" w:cs="Arial"/>
                <w:b/>
                <w:sz w:val="16"/>
                <w:szCs w:val="16"/>
                <w:lang w:eastAsia="en-US"/>
              </w:rPr>
              <w:t>внесення</w:t>
            </w:r>
            <w:r>
              <w:rPr>
                <w:rFonts w:ascii="Arial" w:hAnsi="Arial" w:cs="Arial"/>
                <w:b/>
                <w:sz w:val="16"/>
                <w:szCs w:val="16"/>
                <w:lang w:val="en-US" w:eastAsia="en-US"/>
              </w:rPr>
              <w:t xml:space="preserve"> </w:t>
            </w:r>
            <w:r>
              <w:rPr>
                <w:rFonts w:ascii="Arial" w:hAnsi="Arial" w:cs="Arial"/>
                <w:b/>
                <w:sz w:val="16"/>
                <w:szCs w:val="16"/>
                <w:lang w:eastAsia="en-US"/>
              </w:rPr>
              <w:t>змін</w:t>
            </w:r>
            <w:r>
              <w:rPr>
                <w:rFonts w:ascii="Arial" w:hAnsi="Arial" w:cs="Arial"/>
                <w:b/>
                <w:sz w:val="16"/>
                <w:szCs w:val="16"/>
                <w:lang w:val="uk-UA" w:eastAsia="en-US"/>
              </w:rPr>
              <w:t xml:space="preserve"> </w:t>
            </w:r>
            <w:r>
              <w:rPr>
                <w:rFonts w:ascii="Arial" w:hAnsi="Arial" w:cs="Arial"/>
                <w:b/>
                <w:sz w:val="16"/>
                <w:szCs w:val="16"/>
                <w:lang w:eastAsia="en-US"/>
              </w:rPr>
              <w:t>у</w:t>
            </w:r>
            <w:r>
              <w:rPr>
                <w:rFonts w:ascii="Arial" w:hAnsi="Arial" w:cs="Arial"/>
                <w:b/>
                <w:sz w:val="16"/>
                <w:szCs w:val="16"/>
                <w:lang w:val="en-US" w:eastAsia="en-US"/>
              </w:rPr>
              <w:t xml:space="preserve"> </w:t>
            </w:r>
            <w:r>
              <w:rPr>
                <w:rFonts w:ascii="Arial" w:hAnsi="Arial" w:cs="Arial"/>
                <w:b/>
                <w:sz w:val="16"/>
                <w:szCs w:val="16"/>
                <w:lang w:eastAsia="en-US"/>
              </w:rPr>
              <w:t>зв</w:t>
            </w:r>
            <w:r>
              <w:rPr>
                <w:rFonts w:ascii="Arial" w:hAnsi="Arial" w:cs="Arial"/>
                <w:b/>
                <w:sz w:val="16"/>
                <w:szCs w:val="16"/>
                <w:lang w:val="en-US" w:eastAsia="en-US"/>
              </w:rPr>
              <w:t>'</w:t>
            </w:r>
            <w:r>
              <w:rPr>
                <w:rFonts w:ascii="Arial" w:hAnsi="Arial" w:cs="Arial"/>
                <w:b/>
                <w:sz w:val="16"/>
                <w:szCs w:val="16"/>
                <w:lang w:eastAsia="en-US"/>
              </w:rPr>
              <w:t>язку</w:t>
            </w:r>
            <w:r>
              <w:rPr>
                <w:rFonts w:ascii="Arial" w:hAnsi="Arial" w:cs="Arial"/>
                <w:b/>
                <w:sz w:val="16"/>
                <w:szCs w:val="16"/>
                <w:lang w:val="en-US" w:eastAsia="en-US"/>
              </w:rPr>
              <w:t xml:space="preserve"> </w:t>
            </w:r>
            <w:r>
              <w:rPr>
                <w:rFonts w:ascii="Arial" w:hAnsi="Arial" w:cs="Arial"/>
                <w:b/>
                <w:sz w:val="16"/>
                <w:szCs w:val="16"/>
                <w:lang w:eastAsia="en-US"/>
              </w:rPr>
              <w:t>із</w:t>
            </w:r>
            <w:r>
              <w:rPr>
                <w:rFonts w:ascii="Arial" w:hAnsi="Arial" w:cs="Arial"/>
                <w:b/>
                <w:sz w:val="16"/>
                <w:szCs w:val="16"/>
                <w:lang w:val="en-US" w:eastAsia="en-US"/>
              </w:rPr>
              <w:t xml:space="preserve"> </w:t>
            </w:r>
            <w:r>
              <w:rPr>
                <w:rFonts w:ascii="Arial" w:hAnsi="Arial" w:cs="Arial"/>
                <w:b/>
                <w:sz w:val="16"/>
                <w:szCs w:val="16"/>
                <w:lang w:eastAsia="en-US"/>
              </w:rPr>
              <w:t>надходженням</w:t>
            </w:r>
            <w:r>
              <w:rPr>
                <w:rFonts w:ascii="Arial" w:hAnsi="Arial" w:cs="Arial"/>
                <w:b/>
                <w:sz w:val="16"/>
                <w:szCs w:val="16"/>
                <w:lang w:val="en-US" w:eastAsia="en-US"/>
              </w:rPr>
              <w:t xml:space="preserve"> </w:t>
            </w:r>
            <w:r>
              <w:rPr>
                <w:rFonts w:ascii="Arial" w:hAnsi="Arial" w:cs="Arial"/>
                <w:b/>
                <w:sz w:val="16"/>
                <w:szCs w:val="16"/>
                <w:lang w:eastAsia="en-US"/>
              </w:rPr>
              <w:t>інформації</w:t>
            </w:r>
            <w:r>
              <w:rPr>
                <w:rFonts w:ascii="Arial" w:hAnsi="Arial" w:cs="Arial"/>
                <w:b/>
                <w:sz w:val="16"/>
                <w:szCs w:val="16"/>
                <w:lang w:val="en-US" w:eastAsia="en-US"/>
              </w:rPr>
              <w:t xml:space="preserve"> </w:t>
            </w:r>
            <w:r>
              <w:rPr>
                <w:rFonts w:ascii="Arial" w:hAnsi="Arial" w:cs="Arial"/>
                <w:b/>
                <w:sz w:val="16"/>
                <w:szCs w:val="16"/>
                <w:lang w:eastAsia="en-US"/>
              </w:rPr>
              <w:t>про</w:t>
            </w:r>
            <w:r>
              <w:rPr>
                <w:rFonts w:ascii="Arial" w:hAnsi="Arial" w:cs="Arial"/>
                <w:b/>
                <w:sz w:val="16"/>
                <w:szCs w:val="16"/>
                <w:lang w:val="en-US" w:eastAsia="en-US"/>
              </w:rPr>
              <w:t xml:space="preserve"> </w:t>
            </w:r>
            <w:r>
              <w:rPr>
                <w:rFonts w:ascii="Arial" w:hAnsi="Arial" w:cs="Arial"/>
                <w:b/>
                <w:sz w:val="16"/>
                <w:szCs w:val="16"/>
                <w:lang w:eastAsia="en-US"/>
              </w:rPr>
              <w:t>нову</w:t>
            </w:r>
            <w:r>
              <w:rPr>
                <w:rFonts w:ascii="Arial" w:hAnsi="Arial" w:cs="Arial"/>
                <w:b/>
                <w:sz w:val="16"/>
                <w:szCs w:val="16"/>
                <w:lang w:val="en-US" w:eastAsia="en-US"/>
              </w:rPr>
              <w:t xml:space="preserve"> </w:t>
            </w:r>
            <w:r>
              <w:rPr>
                <w:rFonts w:ascii="Arial" w:hAnsi="Arial" w:cs="Arial"/>
                <w:b/>
                <w:sz w:val="16"/>
                <w:szCs w:val="16"/>
                <w:lang w:eastAsia="en-US"/>
              </w:rPr>
              <w:t>контактну</w:t>
            </w:r>
            <w:r>
              <w:rPr>
                <w:rFonts w:ascii="Arial" w:hAnsi="Arial" w:cs="Arial"/>
                <w:b/>
                <w:sz w:val="16"/>
                <w:szCs w:val="16"/>
                <w:lang w:val="en-US" w:eastAsia="en-US"/>
              </w:rPr>
              <w:t xml:space="preserve"> </w:t>
            </w:r>
            <w:r>
              <w:rPr>
                <w:rFonts w:ascii="Arial" w:hAnsi="Arial" w:cs="Arial"/>
                <w:b/>
                <w:sz w:val="16"/>
                <w:szCs w:val="16"/>
                <w:lang w:eastAsia="en-US"/>
              </w:rPr>
              <w:t>особу</w:t>
            </w:r>
            <w:r>
              <w:rPr>
                <w:rFonts w:ascii="Arial" w:hAnsi="Arial" w:cs="Arial"/>
                <w:b/>
                <w:sz w:val="16"/>
                <w:szCs w:val="16"/>
                <w:lang w:val="en-US" w:eastAsia="en-US"/>
              </w:rPr>
              <w:t xml:space="preserve"> </w:t>
            </w:r>
            <w:r>
              <w:rPr>
                <w:rFonts w:ascii="Arial" w:hAnsi="Arial" w:cs="Arial"/>
                <w:b/>
                <w:sz w:val="16"/>
                <w:szCs w:val="16"/>
                <w:lang w:eastAsia="en-US"/>
              </w:rPr>
              <w:t>заявника</w:t>
            </w:r>
            <w:r>
              <w:rPr>
                <w:rFonts w:ascii="Arial" w:hAnsi="Arial" w:cs="Arial"/>
                <w:b/>
                <w:sz w:val="16"/>
                <w:szCs w:val="16"/>
                <w:lang w:val="en-US" w:eastAsia="en-US"/>
              </w:rPr>
              <w:t xml:space="preserve">, </w:t>
            </w:r>
            <w:r>
              <w:rPr>
                <w:rFonts w:ascii="Arial" w:hAnsi="Arial" w:cs="Arial"/>
                <w:b/>
                <w:sz w:val="16"/>
                <w:szCs w:val="16"/>
                <w:lang w:eastAsia="en-US"/>
              </w:rPr>
              <w:t>відповідальну</w:t>
            </w:r>
            <w:r>
              <w:rPr>
                <w:rFonts w:ascii="Arial" w:hAnsi="Arial" w:cs="Arial"/>
                <w:b/>
                <w:sz w:val="16"/>
                <w:szCs w:val="16"/>
                <w:lang w:val="en-US" w:eastAsia="en-US"/>
              </w:rPr>
              <w:t xml:space="preserve"> </w:t>
            </w:r>
            <w:r>
              <w:rPr>
                <w:rFonts w:ascii="Arial" w:hAnsi="Arial" w:cs="Arial"/>
                <w:b/>
                <w:sz w:val="16"/>
                <w:szCs w:val="16"/>
                <w:lang w:eastAsia="en-US"/>
              </w:rPr>
              <w:t>за</w:t>
            </w:r>
            <w:r>
              <w:rPr>
                <w:rFonts w:ascii="Arial" w:hAnsi="Arial" w:cs="Arial"/>
                <w:b/>
                <w:sz w:val="16"/>
                <w:szCs w:val="16"/>
                <w:lang w:val="en-US" w:eastAsia="en-US"/>
              </w:rPr>
              <w:t xml:space="preserve"> </w:t>
            </w:r>
            <w:r>
              <w:rPr>
                <w:rFonts w:ascii="Arial" w:hAnsi="Arial" w:cs="Arial"/>
                <w:b/>
                <w:sz w:val="16"/>
                <w:szCs w:val="16"/>
                <w:lang w:eastAsia="en-US"/>
              </w:rPr>
              <w:t>здійснення</w:t>
            </w:r>
            <w:r>
              <w:rPr>
                <w:rFonts w:ascii="Arial" w:hAnsi="Arial" w:cs="Arial"/>
                <w:b/>
                <w:sz w:val="16"/>
                <w:szCs w:val="16"/>
                <w:lang w:val="en-US" w:eastAsia="en-US"/>
              </w:rPr>
              <w:t xml:space="preserve"> </w:t>
            </w:r>
            <w:r>
              <w:rPr>
                <w:rFonts w:ascii="Arial" w:hAnsi="Arial" w:cs="Arial"/>
                <w:b/>
                <w:sz w:val="16"/>
                <w:szCs w:val="16"/>
                <w:lang w:eastAsia="en-US"/>
              </w:rPr>
              <w:t>фармаконагляду</w:t>
            </w:r>
            <w:r>
              <w:rPr>
                <w:rFonts w:ascii="Arial" w:hAnsi="Arial" w:cs="Arial"/>
                <w:b/>
                <w:sz w:val="16"/>
                <w:szCs w:val="16"/>
                <w:lang w:val="en-US" w:eastAsia="en-US"/>
              </w:rPr>
              <w:t xml:space="preserve"> </w:t>
            </w:r>
            <w:r>
              <w:rPr>
                <w:rFonts w:ascii="Arial" w:hAnsi="Arial" w:cs="Arial"/>
                <w:b/>
                <w:sz w:val="16"/>
                <w:szCs w:val="16"/>
                <w:lang w:eastAsia="en-US"/>
              </w:rPr>
              <w:t>в</w:t>
            </w:r>
            <w:r>
              <w:rPr>
                <w:rFonts w:ascii="Arial" w:hAnsi="Arial" w:cs="Arial"/>
                <w:b/>
                <w:sz w:val="16"/>
                <w:szCs w:val="16"/>
                <w:lang w:val="en-US" w:eastAsia="en-US"/>
              </w:rPr>
              <w:t xml:space="preserve"> </w:t>
            </w:r>
            <w:r>
              <w:rPr>
                <w:rFonts w:ascii="Arial" w:hAnsi="Arial" w:cs="Arial"/>
                <w:b/>
                <w:sz w:val="16"/>
                <w:szCs w:val="16"/>
                <w:lang w:eastAsia="en-US"/>
              </w:rPr>
              <w:t>Україні</w:t>
            </w:r>
            <w:r>
              <w:rPr>
                <w:rFonts w:ascii="Arial" w:hAnsi="Arial" w:cs="Arial"/>
                <w:b/>
                <w:sz w:val="16"/>
                <w:szCs w:val="16"/>
                <w:lang w:val="en-US" w:eastAsia="en-US"/>
              </w:rPr>
              <w:t xml:space="preserve"> (</w:t>
            </w:r>
            <w:r>
              <w:rPr>
                <w:rFonts w:ascii="Arial" w:hAnsi="Arial" w:cs="Arial"/>
                <w:b/>
                <w:sz w:val="16"/>
                <w:szCs w:val="16"/>
                <w:lang w:eastAsia="en-US"/>
              </w:rPr>
              <w:t>лист</w:t>
            </w:r>
            <w:r>
              <w:rPr>
                <w:rFonts w:ascii="Arial" w:hAnsi="Arial" w:cs="Arial"/>
                <w:b/>
                <w:sz w:val="16"/>
                <w:szCs w:val="16"/>
                <w:lang w:val="en-US" w:eastAsia="en-US"/>
              </w:rPr>
              <w:t xml:space="preserve"> </w:t>
            </w:r>
            <w:r>
              <w:rPr>
                <w:rFonts w:ascii="Arial" w:hAnsi="Arial" w:cs="Arial"/>
                <w:b/>
                <w:sz w:val="16"/>
                <w:szCs w:val="16"/>
                <w:lang w:eastAsia="en-US"/>
              </w:rPr>
              <w:t>від</w:t>
            </w:r>
            <w:r>
              <w:rPr>
                <w:rFonts w:ascii="Arial" w:hAnsi="Arial" w:cs="Arial"/>
                <w:b/>
                <w:sz w:val="16"/>
                <w:szCs w:val="16"/>
                <w:lang w:val="en-US" w:eastAsia="en-US"/>
              </w:rPr>
              <w:t xml:space="preserve"> </w:t>
            </w:r>
            <w:r>
              <w:rPr>
                <w:rFonts w:ascii="Arial" w:hAnsi="Arial" w:cs="Arial"/>
                <w:b/>
                <w:sz w:val="16"/>
                <w:szCs w:val="16"/>
                <w:lang w:eastAsia="en-US"/>
              </w:rPr>
              <w:t>заявника</w:t>
            </w:r>
            <w:r>
              <w:rPr>
                <w:rFonts w:ascii="Arial" w:hAnsi="Arial" w:cs="Arial"/>
                <w:b/>
                <w:sz w:val="16"/>
                <w:szCs w:val="16"/>
                <w:lang w:val="en-US" w:eastAsia="en-US"/>
              </w:rPr>
              <w:t xml:space="preserve"> </w:t>
            </w:r>
            <w:r>
              <w:rPr>
                <w:rFonts w:ascii="Arial" w:hAnsi="Arial" w:cs="Arial"/>
                <w:b/>
                <w:sz w:val="16"/>
                <w:szCs w:val="16"/>
                <w:lang w:eastAsia="en-US"/>
              </w:rPr>
              <w:t>Такеда</w:t>
            </w:r>
            <w:r>
              <w:rPr>
                <w:rFonts w:ascii="Arial" w:hAnsi="Arial" w:cs="Arial"/>
                <w:b/>
                <w:sz w:val="16"/>
                <w:szCs w:val="16"/>
                <w:lang w:val="en-US" w:eastAsia="en-US"/>
              </w:rPr>
              <w:t xml:space="preserve"> </w:t>
            </w:r>
            <w:r>
              <w:rPr>
                <w:rFonts w:ascii="Arial" w:hAnsi="Arial" w:cs="Arial"/>
                <w:b/>
                <w:sz w:val="16"/>
                <w:szCs w:val="16"/>
                <w:lang w:eastAsia="en-US"/>
              </w:rPr>
              <w:t>ГмбХ</w:t>
            </w:r>
            <w:r>
              <w:rPr>
                <w:rFonts w:ascii="Arial" w:hAnsi="Arial" w:cs="Arial"/>
                <w:b/>
                <w:sz w:val="16"/>
                <w:szCs w:val="16"/>
                <w:lang w:val="en-US" w:eastAsia="en-US"/>
              </w:rPr>
              <w:t xml:space="preserve">, </w:t>
            </w:r>
            <w:r>
              <w:rPr>
                <w:rFonts w:ascii="Arial" w:hAnsi="Arial" w:cs="Arial"/>
                <w:b/>
                <w:sz w:val="16"/>
                <w:szCs w:val="16"/>
                <w:lang w:eastAsia="en-US"/>
              </w:rPr>
              <w:t>Німеччина</w:t>
            </w:r>
            <w:r>
              <w:rPr>
                <w:rFonts w:ascii="Arial" w:hAnsi="Arial" w:cs="Arial"/>
                <w:b/>
                <w:sz w:val="16"/>
                <w:szCs w:val="16"/>
                <w:lang w:val="en-US" w:eastAsia="en-US"/>
              </w:rPr>
              <w:t xml:space="preserve"> №0231 /</w:t>
            </w:r>
            <w:r>
              <w:rPr>
                <w:rFonts w:ascii="Arial" w:hAnsi="Arial" w:cs="Arial"/>
                <w:b/>
                <w:sz w:val="16"/>
                <w:szCs w:val="16"/>
                <w:lang w:eastAsia="en-US"/>
              </w:rPr>
              <w:t>МД</w:t>
            </w:r>
            <w:r>
              <w:rPr>
                <w:rFonts w:ascii="Arial" w:hAnsi="Arial" w:cs="Arial"/>
                <w:b/>
                <w:sz w:val="16"/>
                <w:szCs w:val="16"/>
                <w:lang w:val="en-US" w:eastAsia="en-US"/>
              </w:rPr>
              <w:t xml:space="preserve"> </w:t>
            </w:r>
            <w:r>
              <w:rPr>
                <w:rFonts w:ascii="Arial" w:hAnsi="Arial" w:cs="Arial"/>
                <w:b/>
                <w:sz w:val="16"/>
                <w:szCs w:val="16"/>
                <w:lang w:eastAsia="en-US"/>
              </w:rPr>
              <w:t>від</w:t>
            </w:r>
            <w:r>
              <w:rPr>
                <w:rFonts w:ascii="Arial" w:hAnsi="Arial" w:cs="Arial"/>
                <w:b/>
                <w:sz w:val="16"/>
                <w:szCs w:val="16"/>
                <w:lang w:val="en-US" w:eastAsia="en-US"/>
              </w:rPr>
              <w:t xml:space="preserve"> 16.08.2022</w:t>
            </w:r>
            <w:r>
              <w:rPr>
                <w:rFonts w:ascii="Arial" w:hAnsi="Arial" w:cs="Arial"/>
                <w:b/>
                <w:sz w:val="16"/>
                <w:szCs w:val="16"/>
                <w:lang w:eastAsia="en-US"/>
              </w:rPr>
              <w:t>р</w:t>
            </w:r>
            <w:r>
              <w:rPr>
                <w:rFonts w:ascii="Arial" w:hAnsi="Arial" w:cs="Arial"/>
                <w:b/>
                <w:sz w:val="16"/>
                <w:szCs w:val="16"/>
                <w:lang w:val="en-US" w:eastAsia="en-US"/>
              </w:rPr>
              <w:t>.)</w:t>
            </w:r>
          </w:p>
          <w:p w:rsidR="003D03F3" w:rsidRDefault="003D03F3">
            <w:pPr>
              <w:pStyle w:val="af"/>
              <w:spacing w:after="0"/>
              <w:ind w:left="0"/>
              <w:jc w:val="both"/>
              <w:rPr>
                <w:rFonts w:ascii="Arial" w:hAnsi="Arial" w:cs="Arial"/>
                <w:sz w:val="16"/>
                <w:szCs w:val="16"/>
                <w:lang w:eastAsia="en-US"/>
              </w:rPr>
            </w:pPr>
            <w:r>
              <w:rPr>
                <w:rFonts w:ascii="Arial" w:hAnsi="Arial" w:cs="Arial"/>
                <w:sz w:val="16"/>
                <w:szCs w:val="16"/>
                <w:lang w:eastAsia="en-US"/>
              </w:rPr>
              <w:t>Зміни</w:t>
            </w:r>
            <w:r>
              <w:rPr>
                <w:rFonts w:ascii="Arial" w:hAnsi="Arial" w:cs="Arial"/>
                <w:sz w:val="16"/>
                <w:szCs w:val="16"/>
                <w:lang w:val="en-US" w:eastAsia="en-US"/>
              </w:rPr>
              <w:t xml:space="preserve"> </w:t>
            </w:r>
            <w:r>
              <w:rPr>
                <w:rFonts w:ascii="Arial" w:hAnsi="Arial" w:cs="Arial"/>
                <w:sz w:val="16"/>
                <w:szCs w:val="16"/>
                <w:lang w:eastAsia="en-US"/>
              </w:rPr>
              <w:t>І</w:t>
            </w:r>
            <w:r>
              <w:rPr>
                <w:rFonts w:ascii="Arial" w:hAnsi="Arial" w:cs="Arial"/>
                <w:sz w:val="16"/>
                <w:szCs w:val="16"/>
                <w:lang w:val="en-US" w:eastAsia="en-US"/>
              </w:rPr>
              <w:t xml:space="preserve"> </w:t>
            </w:r>
            <w:r>
              <w:rPr>
                <w:rFonts w:ascii="Arial" w:hAnsi="Arial" w:cs="Arial"/>
                <w:sz w:val="16"/>
                <w:szCs w:val="16"/>
                <w:lang w:eastAsia="en-US"/>
              </w:rPr>
              <w:t>типу</w:t>
            </w:r>
            <w:r>
              <w:rPr>
                <w:rFonts w:ascii="Arial" w:hAnsi="Arial" w:cs="Arial"/>
                <w:sz w:val="16"/>
                <w:szCs w:val="16"/>
                <w:lang w:val="en-US" w:eastAsia="en-US"/>
              </w:rPr>
              <w:t xml:space="preserve"> - </w:t>
            </w:r>
            <w:r>
              <w:rPr>
                <w:rFonts w:ascii="Arial" w:hAnsi="Arial" w:cs="Arial"/>
                <w:sz w:val="16"/>
                <w:szCs w:val="16"/>
                <w:lang w:eastAsia="en-US"/>
              </w:rPr>
              <w:t>Зміни</w:t>
            </w:r>
            <w:r>
              <w:rPr>
                <w:rFonts w:ascii="Arial" w:hAnsi="Arial" w:cs="Arial"/>
                <w:sz w:val="16"/>
                <w:szCs w:val="16"/>
                <w:lang w:val="en-US" w:eastAsia="en-US"/>
              </w:rPr>
              <w:t xml:space="preserve"> </w:t>
            </w:r>
            <w:r>
              <w:rPr>
                <w:rFonts w:ascii="Arial" w:hAnsi="Arial" w:cs="Arial"/>
                <w:sz w:val="16"/>
                <w:szCs w:val="16"/>
                <w:lang w:eastAsia="en-US"/>
              </w:rPr>
              <w:t>щодо</w:t>
            </w:r>
            <w:r>
              <w:rPr>
                <w:rFonts w:ascii="Arial" w:hAnsi="Arial" w:cs="Arial"/>
                <w:sz w:val="16"/>
                <w:szCs w:val="16"/>
                <w:lang w:val="en-US" w:eastAsia="en-US"/>
              </w:rPr>
              <w:t xml:space="preserve"> </w:t>
            </w:r>
            <w:r>
              <w:rPr>
                <w:rFonts w:ascii="Arial" w:hAnsi="Arial" w:cs="Arial"/>
                <w:sz w:val="16"/>
                <w:szCs w:val="16"/>
                <w:lang w:eastAsia="en-US"/>
              </w:rPr>
              <w:t>безпеки</w:t>
            </w:r>
            <w:r>
              <w:rPr>
                <w:rFonts w:ascii="Arial" w:hAnsi="Arial" w:cs="Arial"/>
                <w:sz w:val="16"/>
                <w:szCs w:val="16"/>
                <w:lang w:val="en-US" w:eastAsia="en-US"/>
              </w:rPr>
              <w:t>/</w:t>
            </w:r>
            <w:r>
              <w:rPr>
                <w:rFonts w:ascii="Arial" w:hAnsi="Arial" w:cs="Arial"/>
                <w:sz w:val="16"/>
                <w:szCs w:val="16"/>
                <w:lang w:eastAsia="en-US"/>
              </w:rPr>
              <w:t>ефективності</w:t>
            </w:r>
            <w:r>
              <w:rPr>
                <w:rFonts w:ascii="Arial" w:hAnsi="Arial" w:cs="Arial"/>
                <w:sz w:val="16"/>
                <w:szCs w:val="16"/>
                <w:lang w:val="en-US" w:eastAsia="en-US"/>
              </w:rPr>
              <w:t xml:space="preserve"> </w:t>
            </w:r>
            <w:r>
              <w:rPr>
                <w:rFonts w:ascii="Arial" w:hAnsi="Arial" w:cs="Arial"/>
                <w:sz w:val="16"/>
                <w:szCs w:val="16"/>
                <w:lang w:eastAsia="en-US"/>
              </w:rPr>
              <w:t>та</w:t>
            </w:r>
            <w:r>
              <w:rPr>
                <w:rFonts w:ascii="Arial" w:hAnsi="Arial" w:cs="Arial"/>
                <w:sz w:val="16"/>
                <w:szCs w:val="16"/>
                <w:lang w:val="en-US" w:eastAsia="en-US"/>
              </w:rPr>
              <w:t xml:space="preserve"> </w:t>
            </w:r>
            <w:r>
              <w:rPr>
                <w:rFonts w:ascii="Arial" w:hAnsi="Arial" w:cs="Arial"/>
                <w:sz w:val="16"/>
                <w:szCs w:val="16"/>
                <w:lang w:eastAsia="en-US"/>
              </w:rPr>
              <w:t>фармаконагляду</w:t>
            </w:r>
            <w:r>
              <w:rPr>
                <w:rFonts w:ascii="Arial" w:hAnsi="Arial" w:cs="Arial"/>
                <w:sz w:val="16"/>
                <w:szCs w:val="16"/>
                <w:lang w:val="en-US" w:eastAsia="en-US"/>
              </w:rPr>
              <w:t xml:space="preserve">. </w:t>
            </w:r>
            <w:r>
              <w:rPr>
                <w:rFonts w:ascii="Arial" w:hAnsi="Arial" w:cs="Arial"/>
                <w:sz w:val="16"/>
                <w:szCs w:val="16"/>
                <w:lang w:eastAsia="en-US"/>
              </w:rPr>
              <w:t>Введення</w:t>
            </w:r>
            <w:r>
              <w:rPr>
                <w:rFonts w:ascii="Arial" w:hAnsi="Arial" w:cs="Arial"/>
                <w:sz w:val="16"/>
                <w:szCs w:val="16"/>
                <w:lang w:val="en-US" w:eastAsia="en-US"/>
              </w:rPr>
              <w:t xml:space="preserve"> </w:t>
            </w:r>
            <w:r>
              <w:rPr>
                <w:rFonts w:ascii="Arial" w:hAnsi="Arial" w:cs="Arial"/>
                <w:sz w:val="16"/>
                <w:szCs w:val="16"/>
                <w:lang w:eastAsia="en-US"/>
              </w:rPr>
              <w:t>або</w:t>
            </w:r>
            <w:r>
              <w:rPr>
                <w:rFonts w:ascii="Arial" w:hAnsi="Arial" w:cs="Arial"/>
                <w:sz w:val="16"/>
                <w:szCs w:val="16"/>
                <w:lang w:val="en-US" w:eastAsia="en-US"/>
              </w:rPr>
              <w:t xml:space="preserve"> </w:t>
            </w:r>
            <w:r>
              <w:rPr>
                <w:rFonts w:ascii="Arial" w:hAnsi="Arial" w:cs="Arial"/>
                <w:sz w:val="16"/>
                <w:szCs w:val="16"/>
                <w:lang w:eastAsia="en-US"/>
              </w:rPr>
              <w:t>зміни</w:t>
            </w:r>
            <w:r>
              <w:rPr>
                <w:rFonts w:ascii="Arial" w:hAnsi="Arial" w:cs="Arial"/>
                <w:sz w:val="16"/>
                <w:szCs w:val="16"/>
                <w:lang w:val="en-US" w:eastAsia="en-US"/>
              </w:rPr>
              <w:t xml:space="preserve"> </w:t>
            </w:r>
            <w:r>
              <w:rPr>
                <w:rFonts w:ascii="Arial" w:hAnsi="Arial" w:cs="Arial"/>
                <w:sz w:val="16"/>
                <w:szCs w:val="16"/>
                <w:lang w:eastAsia="en-US"/>
              </w:rPr>
              <w:t>до</w:t>
            </w:r>
            <w:r>
              <w:rPr>
                <w:rFonts w:ascii="Arial" w:hAnsi="Arial" w:cs="Arial"/>
                <w:sz w:val="16"/>
                <w:szCs w:val="16"/>
                <w:lang w:val="en-US" w:eastAsia="en-US"/>
              </w:rPr>
              <w:t xml:space="preserve"> </w:t>
            </w:r>
            <w:r>
              <w:rPr>
                <w:rFonts w:ascii="Arial" w:hAnsi="Arial" w:cs="Arial"/>
                <w:sz w:val="16"/>
                <w:szCs w:val="16"/>
                <w:lang w:eastAsia="en-US"/>
              </w:rPr>
              <w:t>узагальнених</w:t>
            </w:r>
            <w:r>
              <w:rPr>
                <w:rFonts w:ascii="Arial" w:hAnsi="Arial" w:cs="Arial"/>
                <w:sz w:val="16"/>
                <w:szCs w:val="16"/>
                <w:lang w:val="en-US" w:eastAsia="en-US"/>
              </w:rPr>
              <w:t xml:space="preserve"> </w:t>
            </w:r>
            <w:r>
              <w:rPr>
                <w:rFonts w:ascii="Arial" w:hAnsi="Arial" w:cs="Arial"/>
                <w:sz w:val="16"/>
                <w:szCs w:val="16"/>
                <w:lang w:eastAsia="en-US"/>
              </w:rPr>
              <w:t>даних</w:t>
            </w:r>
            <w:r>
              <w:rPr>
                <w:rFonts w:ascii="Arial" w:hAnsi="Arial" w:cs="Arial"/>
                <w:sz w:val="16"/>
                <w:szCs w:val="16"/>
                <w:lang w:val="en-US" w:eastAsia="en-US"/>
              </w:rPr>
              <w:t xml:space="preserve"> </w:t>
            </w:r>
            <w:r>
              <w:rPr>
                <w:rFonts w:ascii="Arial" w:hAnsi="Arial" w:cs="Arial"/>
                <w:sz w:val="16"/>
                <w:szCs w:val="16"/>
                <w:lang w:eastAsia="en-US"/>
              </w:rPr>
              <w:t>про</w:t>
            </w:r>
            <w:r>
              <w:rPr>
                <w:rFonts w:ascii="Arial" w:hAnsi="Arial" w:cs="Arial"/>
                <w:sz w:val="16"/>
                <w:szCs w:val="16"/>
                <w:lang w:val="en-US" w:eastAsia="en-US"/>
              </w:rPr>
              <w:t xml:space="preserve"> </w:t>
            </w:r>
            <w:r>
              <w:rPr>
                <w:rFonts w:ascii="Arial" w:hAnsi="Arial" w:cs="Arial"/>
                <w:sz w:val="16"/>
                <w:szCs w:val="16"/>
                <w:lang w:eastAsia="en-US"/>
              </w:rPr>
              <w:t>систему</w:t>
            </w:r>
            <w:r>
              <w:rPr>
                <w:rFonts w:ascii="Arial" w:hAnsi="Arial" w:cs="Arial"/>
                <w:sz w:val="16"/>
                <w:szCs w:val="16"/>
                <w:lang w:val="en-US" w:eastAsia="en-US"/>
              </w:rPr>
              <w:t xml:space="preserve"> </w:t>
            </w:r>
            <w:r>
              <w:rPr>
                <w:rFonts w:ascii="Arial" w:hAnsi="Arial" w:cs="Arial"/>
                <w:sz w:val="16"/>
                <w:szCs w:val="16"/>
                <w:lang w:eastAsia="en-US"/>
              </w:rPr>
              <w:t>фармаконагляду</w:t>
            </w:r>
            <w:r>
              <w:rPr>
                <w:rFonts w:ascii="Arial" w:hAnsi="Arial" w:cs="Arial"/>
                <w:sz w:val="16"/>
                <w:szCs w:val="16"/>
                <w:lang w:val="en-US" w:eastAsia="en-US"/>
              </w:rPr>
              <w:t xml:space="preserve"> (</w:t>
            </w:r>
            <w:r>
              <w:rPr>
                <w:rFonts w:ascii="Arial" w:hAnsi="Arial" w:cs="Arial"/>
                <w:sz w:val="16"/>
                <w:szCs w:val="16"/>
                <w:lang w:eastAsia="en-US"/>
              </w:rPr>
              <w:t>введення</w:t>
            </w:r>
            <w:r>
              <w:rPr>
                <w:rFonts w:ascii="Arial" w:hAnsi="Arial" w:cs="Arial"/>
                <w:sz w:val="16"/>
                <w:szCs w:val="16"/>
                <w:lang w:val="en-US" w:eastAsia="en-US"/>
              </w:rPr>
              <w:t xml:space="preserve"> </w:t>
            </w:r>
            <w:r>
              <w:rPr>
                <w:rFonts w:ascii="Arial" w:hAnsi="Arial" w:cs="Arial"/>
                <w:sz w:val="16"/>
                <w:szCs w:val="16"/>
                <w:lang w:eastAsia="en-US"/>
              </w:rPr>
              <w:t>узагальнених</w:t>
            </w:r>
            <w:r>
              <w:rPr>
                <w:rFonts w:ascii="Arial" w:hAnsi="Arial" w:cs="Arial"/>
                <w:sz w:val="16"/>
                <w:szCs w:val="16"/>
                <w:lang w:val="en-US" w:eastAsia="en-US"/>
              </w:rPr>
              <w:t xml:space="preserve"> </w:t>
            </w:r>
            <w:r>
              <w:rPr>
                <w:rFonts w:ascii="Arial" w:hAnsi="Arial" w:cs="Arial"/>
                <w:sz w:val="16"/>
                <w:szCs w:val="16"/>
                <w:lang w:eastAsia="en-US"/>
              </w:rPr>
              <w:t>даних</w:t>
            </w:r>
            <w:r>
              <w:rPr>
                <w:rFonts w:ascii="Arial" w:hAnsi="Arial" w:cs="Arial"/>
                <w:sz w:val="16"/>
                <w:szCs w:val="16"/>
                <w:lang w:val="en-US" w:eastAsia="en-US"/>
              </w:rPr>
              <w:t xml:space="preserve"> </w:t>
            </w:r>
            <w:r>
              <w:rPr>
                <w:rFonts w:ascii="Arial" w:hAnsi="Arial" w:cs="Arial"/>
                <w:sz w:val="16"/>
                <w:szCs w:val="16"/>
                <w:lang w:eastAsia="en-US"/>
              </w:rPr>
              <w:t>про</w:t>
            </w:r>
            <w:r>
              <w:rPr>
                <w:rFonts w:ascii="Arial" w:hAnsi="Arial" w:cs="Arial"/>
                <w:sz w:val="16"/>
                <w:szCs w:val="16"/>
                <w:lang w:val="en-US" w:eastAsia="en-US"/>
              </w:rPr>
              <w:t xml:space="preserve"> </w:t>
            </w:r>
            <w:r>
              <w:rPr>
                <w:rFonts w:ascii="Arial" w:hAnsi="Arial" w:cs="Arial"/>
                <w:sz w:val="16"/>
                <w:szCs w:val="16"/>
                <w:lang w:eastAsia="en-US"/>
              </w:rPr>
              <w:t>систему</w:t>
            </w:r>
            <w:r>
              <w:rPr>
                <w:rFonts w:ascii="Arial" w:hAnsi="Arial" w:cs="Arial"/>
                <w:sz w:val="16"/>
                <w:szCs w:val="16"/>
                <w:lang w:val="en-US" w:eastAsia="en-US"/>
              </w:rPr>
              <w:t xml:space="preserve"> </w:t>
            </w:r>
            <w:r>
              <w:rPr>
                <w:rFonts w:ascii="Arial" w:hAnsi="Arial" w:cs="Arial"/>
                <w:sz w:val="16"/>
                <w:szCs w:val="16"/>
                <w:lang w:eastAsia="en-US"/>
              </w:rPr>
              <w:t>фармаконагляду</w:t>
            </w:r>
            <w:r>
              <w:rPr>
                <w:rFonts w:ascii="Arial" w:hAnsi="Arial" w:cs="Arial"/>
                <w:sz w:val="16"/>
                <w:szCs w:val="16"/>
                <w:lang w:val="en-US" w:eastAsia="en-US"/>
              </w:rPr>
              <w:t xml:space="preserve">, </w:t>
            </w:r>
            <w:r>
              <w:rPr>
                <w:rFonts w:ascii="Arial" w:hAnsi="Arial" w:cs="Arial"/>
                <w:sz w:val="16"/>
                <w:szCs w:val="16"/>
                <w:lang w:eastAsia="en-US"/>
              </w:rPr>
              <w:t>зміна</w:t>
            </w:r>
            <w:r>
              <w:rPr>
                <w:rFonts w:ascii="Arial" w:hAnsi="Arial" w:cs="Arial"/>
                <w:sz w:val="16"/>
                <w:szCs w:val="16"/>
                <w:lang w:val="en-US" w:eastAsia="en-US"/>
              </w:rPr>
              <w:t xml:space="preserve"> </w:t>
            </w:r>
            <w:r>
              <w:rPr>
                <w:rFonts w:ascii="Arial" w:hAnsi="Arial" w:cs="Arial"/>
                <w:sz w:val="16"/>
                <w:szCs w:val="16"/>
                <w:lang w:eastAsia="en-US"/>
              </w:rPr>
              <w:t>уповноваженої</w:t>
            </w:r>
            <w:r>
              <w:rPr>
                <w:rFonts w:ascii="Arial" w:hAnsi="Arial" w:cs="Arial"/>
                <w:sz w:val="16"/>
                <w:szCs w:val="16"/>
                <w:lang w:val="en-US" w:eastAsia="en-US"/>
              </w:rPr>
              <w:t xml:space="preserve"> </w:t>
            </w:r>
            <w:r>
              <w:rPr>
                <w:rFonts w:ascii="Arial" w:hAnsi="Arial" w:cs="Arial"/>
                <w:sz w:val="16"/>
                <w:szCs w:val="16"/>
                <w:lang w:eastAsia="en-US"/>
              </w:rPr>
              <w:t>особи</w:t>
            </w:r>
            <w:r>
              <w:rPr>
                <w:rFonts w:ascii="Arial" w:hAnsi="Arial" w:cs="Arial"/>
                <w:sz w:val="16"/>
                <w:szCs w:val="16"/>
                <w:lang w:val="en-US" w:eastAsia="en-US"/>
              </w:rPr>
              <w:t xml:space="preserve">, </w:t>
            </w:r>
            <w:r>
              <w:rPr>
                <w:rFonts w:ascii="Arial" w:hAnsi="Arial" w:cs="Arial"/>
                <w:sz w:val="16"/>
                <w:szCs w:val="16"/>
                <w:lang w:eastAsia="en-US"/>
              </w:rPr>
              <w:t>відповідальної</w:t>
            </w:r>
            <w:r>
              <w:rPr>
                <w:rFonts w:ascii="Arial" w:hAnsi="Arial" w:cs="Arial"/>
                <w:sz w:val="16"/>
                <w:szCs w:val="16"/>
                <w:lang w:val="en-US" w:eastAsia="en-US"/>
              </w:rPr>
              <w:t xml:space="preserve"> </w:t>
            </w:r>
            <w:r>
              <w:rPr>
                <w:rFonts w:ascii="Arial" w:hAnsi="Arial" w:cs="Arial"/>
                <w:sz w:val="16"/>
                <w:szCs w:val="16"/>
                <w:lang w:eastAsia="en-US"/>
              </w:rPr>
              <w:t>за</w:t>
            </w:r>
            <w:r>
              <w:rPr>
                <w:rFonts w:ascii="Arial" w:hAnsi="Arial" w:cs="Arial"/>
                <w:sz w:val="16"/>
                <w:szCs w:val="16"/>
                <w:lang w:val="en-US" w:eastAsia="en-US"/>
              </w:rPr>
              <w:t xml:space="preserve"> </w:t>
            </w:r>
            <w:r>
              <w:rPr>
                <w:rFonts w:ascii="Arial" w:hAnsi="Arial" w:cs="Arial"/>
                <w:sz w:val="16"/>
                <w:szCs w:val="16"/>
                <w:lang w:eastAsia="en-US"/>
              </w:rPr>
              <w:t>здійснення</w:t>
            </w:r>
            <w:r>
              <w:rPr>
                <w:rFonts w:ascii="Arial" w:hAnsi="Arial" w:cs="Arial"/>
                <w:sz w:val="16"/>
                <w:szCs w:val="16"/>
                <w:lang w:val="en-US" w:eastAsia="en-US"/>
              </w:rPr>
              <w:t xml:space="preserve"> </w:t>
            </w:r>
            <w:r>
              <w:rPr>
                <w:rFonts w:ascii="Arial" w:hAnsi="Arial" w:cs="Arial"/>
                <w:sz w:val="16"/>
                <w:szCs w:val="16"/>
                <w:lang w:eastAsia="en-US"/>
              </w:rPr>
              <w:t>фармаконагляду</w:t>
            </w:r>
            <w:r>
              <w:rPr>
                <w:rFonts w:ascii="Arial" w:hAnsi="Arial" w:cs="Arial"/>
                <w:sz w:val="16"/>
                <w:szCs w:val="16"/>
                <w:lang w:val="en-US" w:eastAsia="en-US"/>
              </w:rPr>
              <w:t xml:space="preserve">; </w:t>
            </w:r>
            <w:r>
              <w:rPr>
                <w:rFonts w:ascii="Arial" w:hAnsi="Arial" w:cs="Arial"/>
                <w:sz w:val="16"/>
                <w:szCs w:val="16"/>
                <w:lang w:eastAsia="en-US"/>
              </w:rPr>
              <w:t>контактної</w:t>
            </w:r>
            <w:r>
              <w:rPr>
                <w:rFonts w:ascii="Arial" w:hAnsi="Arial" w:cs="Arial"/>
                <w:sz w:val="16"/>
                <w:szCs w:val="16"/>
                <w:lang w:val="en-US" w:eastAsia="en-US"/>
              </w:rPr>
              <w:t xml:space="preserve"> </w:t>
            </w:r>
            <w:r>
              <w:rPr>
                <w:rFonts w:ascii="Arial" w:hAnsi="Arial" w:cs="Arial"/>
                <w:sz w:val="16"/>
                <w:szCs w:val="16"/>
                <w:lang w:eastAsia="en-US"/>
              </w:rPr>
              <w:t>особи</w:t>
            </w:r>
            <w:r>
              <w:rPr>
                <w:rFonts w:ascii="Arial" w:hAnsi="Arial" w:cs="Arial"/>
                <w:sz w:val="16"/>
                <w:szCs w:val="16"/>
                <w:lang w:val="en-US" w:eastAsia="en-US"/>
              </w:rPr>
              <w:t xml:space="preserve"> </w:t>
            </w:r>
            <w:r>
              <w:rPr>
                <w:rFonts w:ascii="Arial" w:hAnsi="Arial" w:cs="Arial"/>
                <w:sz w:val="16"/>
                <w:szCs w:val="16"/>
                <w:lang w:eastAsia="en-US"/>
              </w:rPr>
              <w:t>з</w:t>
            </w:r>
            <w:r>
              <w:rPr>
                <w:rFonts w:ascii="Arial" w:hAnsi="Arial" w:cs="Arial"/>
                <w:sz w:val="16"/>
                <w:szCs w:val="16"/>
                <w:lang w:val="en-US" w:eastAsia="en-US"/>
              </w:rPr>
              <w:t xml:space="preserve"> </w:t>
            </w:r>
            <w:r>
              <w:rPr>
                <w:rFonts w:ascii="Arial" w:hAnsi="Arial" w:cs="Arial"/>
                <w:sz w:val="16"/>
                <w:szCs w:val="16"/>
                <w:lang w:eastAsia="en-US"/>
              </w:rPr>
              <w:t>фармаконагляду</w:t>
            </w:r>
            <w:r>
              <w:rPr>
                <w:rFonts w:ascii="Arial" w:hAnsi="Arial" w:cs="Arial"/>
                <w:sz w:val="16"/>
                <w:szCs w:val="16"/>
                <w:lang w:val="en-US" w:eastAsia="en-US"/>
              </w:rPr>
              <w:t xml:space="preserve"> </w:t>
            </w:r>
            <w:r>
              <w:rPr>
                <w:rFonts w:ascii="Arial" w:hAnsi="Arial" w:cs="Arial"/>
                <w:sz w:val="16"/>
                <w:szCs w:val="16"/>
                <w:lang w:eastAsia="en-US"/>
              </w:rPr>
              <w:t>заявника</w:t>
            </w:r>
            <w:r>
              <w:rPr>
                <w:rFonts w:ascii="Arial" w:hAnsi="Arial" w:cs="Arial"/>
                <w:sz w:val="16"/>
                <w:szCs w:val="16"/>
                <w:lang w:val="en-US" w:eastAsia="en-US"/>
              </w:rPr>
              <w:t xml:space="preserve"> </w:t>
            </w:r>
            <w:r>
              <w:rPr>
                <w:rFonts w:ascii="Arial" w:hAnsi="Arial" w:cs="Arial"/>
                <w:sz w:val="16"/>
                <w:szCs w:val="16"/>
                <w:lang w:eastAsia="en-US"/>
              </w:rPr>
              <w:t>для</w:t>
            </w:r>
            <w:r>
              <w:rPr>
                <w:rFonts w:ascii="Arial" w:hAnsi="Arial" w:cs="Arial"/>
                <w:sz w:val="16"/>
                <w:szCs w:val="16"/>
                <w:lang w:val="en-US" w:eastAsia="en-US"/>
              </w:rPr>
              <w:t xml:space="preserve"> </w:t>
            </w:r>
            <w:r>
              <w:rPr>
                <w:rFonts w:ascii="Arial" w:hAnsi="Arial" w:cs="Arial"/>
                <w:sz w:val="16"/>
                <w:szCs w:val="16"/>
                <w:lang w:eastAsia="en-US"/>
              </w:rPr>
              <w:t>здійснення</w:t>
            </w:r>
            <w:r>
              <w:rPr>
                <w:rFonts w:ascii="Arial" w:hAnsi="Arial" w:cs="Arial"/>
                <w:sz w:val="16"/>
                <w:szCs w:val="16"/>
                <w:lang w:val="en-US" w:eastAsia="en-US"/>
              </w:rPr>
              <w:t xml:space="preserve"> </w:t>
            </w:r>
            <w:r>
              <w:rPr>
                <w:rFonts w:ascii="Arial" w:hAnsi="Arial" w:cs="Arial"/>
                <w:sz w:val="16"/>
                <w:szCs w:val="16"/>
                <w:lang w:eastAsia="en-US"/>
              </w:rPr>
              <w:t>фармаконагляду</w:t>
            </w:r>
            <w:r>
              <w:rPr>
                <w:rFonts w:ascii="Arial" w:hAnsi="Arial" w:cs="Arial"/>
                <w:sz w:val="16"/>
                <w:szCs w:val="16"/>
                <w:lang w:val="en-US" w:eastAsia="en-US"/>
              </w:rPr>
              <w:t xml:space="preserve"> </w:t>
            </w:r>
            <w:r>
              <w:rPr>
                <w:rFonts w:ascii="Arial" w:hAnsi="Arial" w:cs="Arial"/>
                <w:sz w:val="16"/>
                <w:szCs w:val="16"/>
                <w:lang w:eastAsia="en-US"/>
              </w:rPr>
              <w:t>в</w:t>
            </w:r>
            <w:r>
              <w:rPr>
                <w:rFonts w:ascii="Arial" w:hAnsi="Arial" w:cs="Arial"/>
                <w:sz w:val="16"/>
                <w:szCs w:val="16"/>
                <w:lang w:val="en-US" w:eastAsia="en-US"/>
              </w:rPr>
              <w:t xml:space="preserve"> </w:t>
            </w:r>
            <w:r>
              <w:rPr>
                <w:rFonts w:ascii="Arial" w:hAnsi="Arial" w:cs="Arial"/>
                <w:sz w:val="16"/>
                <w:szCs w:val="16"/>
                <w:lang w:eastAsia="en-US"/>
              </w:rPr>
              <w:t>Україні</w:t>
            </w:r>
            <w:r>
              <w:rPr>
                <w:rFonts w:ascii="Arial" w:hAnsi="Arial" w:cs="Arial"/>
                <w:sz w:val="16"/>
                <w:szCs w:val="16"/>
                <w:lang w:val="en-US" w:eastAsia="en-US"/>
              </w:rPr>
              <w:t xml:space="preserve">, </w:t>
            </w:r>
            <w:r>
              <w:rPr>
                <w:rFonts w:ascii="Arial" w:hAnsi="Arial" w:cs="Arial"/>
                <w:sz w:val="16"/>
                <w:szCs w:val="16"/>
                <w:lang w:eastAsia="en-US"/>
              </w:rPr>
              <w:t>якщо</w:t>
            </w:r>
            <w:r>
              <w:rPr>
                <w:rFonts w:ascii="Arial" w:hAnsi="Arial" w:cs="Arial"/>
                <w:sz w:val="16"/>
                <w:szCs w:val="16"/>
                <w:lang w:val="en-US" w:eastAsia="en-US"/>
              </w:rPr>
              <w:t xml:space="preserve"> </w:t>
            </w:r>
            <w:r>
              <w:rPr>
                <w:rFonts w:ascii="Arial" w:hAnsi="Arial" w:cs="Arial"/>
                <w:sz w:val="16"/>
                <w:szCs w:val="16"/>
                <w:lang w:eastAsia="en-US"/>
              </w:rPr>
              <w:t>вона</w:t>
            </w:r>
            <w:r>
              <w:rPr>
                <w:rFonts w:ascii="Arial" w:hAnsi="Arial" w:cs="Arial"/>
                <w:sz w:val="16"/>
                <w:szCs w:val="16"/>
                <w:lang w:val="en-US" w:eastAsia="en-US"/>
              </w:rPr>
              <w:t xml:space="preserve"> </w:t>
            </w:r>
            <w:r>
              <w:rPr>
                <w:rFonts w:ascii="Arial" w:hAnsi="Arial" w:cs="Arial"/>
                <w:sz w:val="16"/>
                <w:szCs w:val="16"/>
                <w:lang w:eastAsia="en-US"/>
              </w:rPr>
              <w:t>відмінна</w:t>
            </w:r>
            <w:r>
              <w:rPr>
                <w:rFonts w:ascii="Arial" w:hAnsi="Arial" w:cs="Arial"/>
                <w:sz w:val="16"/>
                <w:szCs w:val="16"/>
                <w:lang w:val="en-US" w:eastAsia="en-US"/>
              </w:rPr>
              <w:t xml:space="preserve"> </w:t>
            </w:r>
            <w:r>
              <w:rPr>
                <w:rFonts w:ascii="Arial" w:hAnsi="Arial" w:cs="Arial"/>
                <w:sz w:val="16"/>
                <w:szCs w:val="16"/>
                <w:lang w:eastAsia="en-US"/>
              </w:rPr>
              <w:t>від</w:t>
            </w:r>
            <w:r>
              <w:rPr>
                <w:rFonts w:ascii="Arial" w:hAnsi="Arial" w:cs="Arial"/>
                <w:sz w:val="16"/>
                <w:szCs w:val="16"/>
                <w:lang w:val="en-US" w:eastAsia="en-US"/>
              </w:rPr>
              <w:t xml:space="preserve"> </w:t>
            </w:r>
            <w:r>
              <w:rPr>
                <w:rFonts w:ascii="Arial" w:hAnsi="Arial" w:cs="Arial"/>
                <w:sz w:val="16"/>
                <w:szCs w:val="16"/>
                <w:lang w:eastAsia="en-US"/>
              </w:rPr>
              <w:t>уповноваженої</w:t>
            </w:r>
            <w:r>
              <w:rPr>
                <w:rFonts w:ascii="Arial" w:hAnsi="Arial" w:cs="Arial"/>
                <w:sz w:val="16"/>
                <w:szCs w:val="16"/>
                <w:lang w:val="en-US" w:eastAsia="en-US"/>
              </w:rPr>
              <w:t xml:space="preserve"> </w:t>
            </w:r>
            <w:r>
              <w:rPr>
                <w:rFonts w:ascii="Arial" w:hAnsi="Arial" w:cs="Arial"/>
                <w:sz w:val="16"/>
                <w:szCs w:val="16"/>
                <w:lang w:eastAsia="en-US"/>
              </w:rPr>
              <w:t>особи</w:t>
            </w:r>
            <w:r>
              <w:rPr>
                <w:rFonts w:ascii="Arial" w:hAnsi="Arial" w:cs="Arial"/>
                <w:sz w:val="16"/>
                <w:szCs w:val="16"/>
                <w:lang w:val="en-US" w:eastAsia="en-US"/>
              </w:rPr>
              <w:t xml:space="preserve">, </w:t>
            </w:r>
            <w:r>
              <w:rPr>
                <w:rFonts w:ascii="Arial" w:hAnsi="Arial" w:cs="Arial"/>
                <w:sz w:val="16"/>
                <w:szCs w:val="16"/>
                <w:lang w:eastAsia="en-US"/>
              </w:rPr>
              <w:t>відповідальної</w:t>
            </w:r>
            <w:r>
              <w:rPr>
                <w:rFonts w:ascii="Arial" w:hAnsi="Arial" w:cs="Arial"/>
                <w:sz w:val="16"/>
                <w:szCs w:val="16"/>
                <w:lang w:val="en-US" w:eastAsia="en-US"/>
              </w:rPr>
              <w:t xml:space="preserve"> </w:t>
            </w:r>
            <w:r>
              <w:rPr>
                <w:rFonts w:ascii="Arial" w:hAnsi="Arial" w:cs="Arial"/>
                <w:sz w:val="16"/>
                <w:szCs w:val="16"/>
                <w:lang w:eastAsia="en-US"/>
              </w:rPr>
              <w:t>за</w:t>
            </w:r>
            <w:r>
              <w:rPr>
                <w:rFonts w:ascii="Arial" w:hAnsi="Arial" w:cs="Arial"/>
                <w:sz w:val="16"/>
                <w:szCs w:val="16"/>
                <w:lang w:val="en-US" w:eastAsia="en-US"/>
              </w:rPr>
              <w:t xml:space="preserve"> </w:t>
            </w:r>
            <w:r>
              <w:rPr>
                <w:rFonts w:ascii="Arial" w:hAnsi="Arial" w:cs="Arial"/>
                <w:sz w:val="16"/>
                <w:szCs w:val="16"/>
                <w:lang w:eastAsia="en-US"/>
              </w:rPr>
              <w:t>здійснення</w:t>
            </w:r>
            <w:r>
              <w:rPr>
                <w:rFonts w:ascii="Arial" w:hAnsi="Arial" w:cs="Arial"/>
                <w:sz w:val="16"/>
                <w:szCs w:val="16"/>
                <w:lang w:val="en-US" w:eastAsia="en-US"/>
              </w:rPr>
              <w:t xml:space="preserve"> </w:t>
            </w:r>
            <w:r>
              <w:rPr>
                <w:rFonts w:ascii="Arial" w:hAnsi="Arial" w:cs="Arial"/>
                <w:sz w:val="16"/>
                <w:szCs w:val="16"/>
                <w:lang w:eastAsia="en-US"/>
              </w:rPr>
              <w:t>фармаконагляду</w:t>
            </w:r>
            <w:r>
              <w:rPr>
                <w:rFonts w:ascii="Arial" w:hAnsi="Arial" w:cs="Arial"/>
                <w:sz w:val="16"/>
                <w:szCs w:val="16"/>
                <w:lang w:val="en-US" w:eastAsia="en-US"/>
              </w:rPr>
              <w:t xml:space="preserve"> (</w:t>
            </w:r>
            <w:r>
              <w:rPr>
                <w:rFonts w:ascii="Arial" w:hAnsi="Arial" w:cs="Arial"/>
                <w:sz w:val="16"/>
                <w:szCs w:val="16"/>
                <w:lang w:eastAsia="en-US"/>
              </w:rPr>
              <w:t>включаючи</w:t>
            </w:r>
            <w:r>
              <w:rPr>
                <w:rFonts w:ascii="Arial" w:hAnsi="Arial" w:cs="Arial"/>
                <w:sz w:val="16"/>
                <w:szCs w:val="16"/>
                <w:lang w:val="en-US" w:eastAsia="en-US"/>
              </w:rPr>
              <w:t xml:space="preserve"> </w:t>
            </w:r>
            <w:r>
              <w:rPr>
                <w:rFonts w:ascii="Arial" w:hAnsi="Arial" w:cs="Arial"/>
                <w:sz w:val="16"/>
                <w:szCs w:val="16"/>
                <w:lang w:eastAsia="en-US"/>
              </w:rPr>
              <w:t>контактні</w:t>
            </w:r>
            <w:r>
              <w:rPr>
                <w:rFonts w:ascii="Arial" w:hAnsi="Arial" w:cs="Arial"/>
                <w:sz w:val="16"/>
                <w:szCs w:val="16"/>
                <w:lang w:val="en-US" w:eastAsia="en-US"/>
              </w:rPr>
              <w:t xml:space="preserve"> </w:t>
            </w:r>
            <w:r>
              <w:rPr>
                <w:rFonts w:ascii="Arial" w:hAnsi="Arial" w:cs="Arial"/>
                <w:sz w:val="16"/>
                <w:szCs w:val="16"/>
                <w:lang w:eastAsia="en-US"/>
              </w:rPr>
              <w:t>дані</w:t>
            </w:r>
            <w:r>
              <w:rPr>
                <w:rFonts w:ascii="Arial" w:hAnsi="Arial" w:cs="Arial"/>
                <w:sz w:val="16"/>
                <w:szCs w:val="16"/>
                <w:lang w:val="en-US" w:eastAsia="en-US"/>
              </w:rPr>
              <w:t xml:space="preserve">) </w:t>
            </w:r>
            <w:r>
              <w:rPr>
                <w:rFonts w:ascii="Arial" w:hAnsi="Arial" w:cs="Arial"/>
                <w:sz w:val="16"/>
                <w:szCs w:val="16"/>
                <w:lang w:eastAsia="en-US"/>
              </w:rPr>
              <w:t>та</w:t>
            </w:r>
            <w:r>
              <w:rPr>
                <w:rFonts w:ascii="Arial" w:hAnsi="Arial" w:cs="Arial"/>
                <w:sz w:val="16"/>
                <w:szCs w:val="16"/>
                <w:lang w:val="en-US" w:eastAsia="en-US"/>
              </w:rPr>
              <w:t>/</w:t>
            </w:r>
            <w:r>
              <w:rPr>
                <w:rFonts w:ascii="Arial" w:hAnsi="Arial" w:cs="Arial"/>
                <w:sz w:val="16"/>
                <w:szCs w:val="16"/>
                <w:lang w:eastAsia="en-US"/>
              </w:rPr>
              <w:t>або</w:t>
            </w:r>
            <w:r>
              <w:rPr>
                <w:rFonts w:ascii="Arial" w:hAnsi="Arial" w:cs="Arial"/>
                <w:sz w:val="16"/>
                <w:szCs w:val="16"/>
                <w:lang w:val="en-US" w:eastAsia="en-US"/>
              </w:rPr>
              <w:t xml:space="preserve"> </w:t>
            </w:r>
            <w:r>
              <w:rPr>
                <w:rFonts w:ascii="Arial" w:hAnsi="Arial" w:cs="Arial"/>
                <w:sz w:val="16"/>
                <w:szCs w:val="16"/>
                <w:lang w:eastAsia="en-US"/>
              </w:rPr>
              <w:t>зміни</w:t>
            </w:r>
            <w:r>
              <w:rPr>
                <w:rFonts w:ascii="Arial" w:hAnsi="Arial" w:cs="Arial"/>
                <w:sz w:val="16"/>
                <w:szCs w:val="16"/>
                <w:lang w:val="en-US" w:eastAsia="en-US"/>
              </w:rPr>
              <w:t xml:space="preserve"> </w:t>
            </w:r>
            <w:r>
              <w:rPr>
                <w:rFonts w:ascii="Arial" w:hAnsi="Arial" w:cs="Arial"/>
                <w:sz w:val="16"/>
                <w:szCs w:val="16"/>
                <w:lang w:eastAsia="en-US"/>
              </w:rPr>
              <w:t>у</w:t>
            </w:r>
            <w:r>
              <w:rPr>
                <w:rFonts w:ascii="Arial" w:hAnsi="Arial" w:cs="Arial"/>
                <w:sz w:val="16"/>
                <w:szCs w:val="16"/>
                <w:lang w:val="en-US" w:eastAsia="en-US"/>
              </w:rPr>
              <w:t xml:space="preserve"> </w:t>
            </w:r>
            <w:r>
              <w:rPr>
                <w:rFonts w:ascii="Arial" w:hAnsi="Arial" w:cs="Arial"/>
                <w:sz w:val="16"/>
                <w:szCs w:val="16"/>
                <w:lang w:eastAsia="en-US"/>
              </w:rPr>
              <w:t>розміщенні</w:t>
            </w:r>
            <w:r>
              <w:rPr>
                <w:rFonts w:ascii="Arial" w:hAnsi="Arial" w:cs="Arial"/>
                <w:sz w:val="16"/>
                <w:szCs w:val="16"/>
                <w:lang w:val="en-US" w:eastAsia="en-US"/>
              </w:rPr>
              <w:t xml:space="preserve"> </w:t>
            </w:r>
            <w:r>
              <w:rPr>
                <w:rFonts w:ascii="Arial" w:hAnsi="Arial" w:cs="Arial"/>
                <w:sz w:val="16"/>
                <w:szCs w:val="16"/>
                <w:lang w:eastAsia="en-US"/>
              </w:rPr>
              <w:t>мастер</w:t>
            </w:r>
            <w:r>
              <w:rPr>
                <w:rFonts w:ascii="Arial" w:hAnsi="Arial" w:cs="Arial"/>
                <w:sz w:val="16"/>
                <w:szCs w:val="16"/>
                <w:lang w:val="en-US" w:eastAsia="en-US"/>
              </w:rPr>
              <w:t>-</w:t>
            </w:r>
            <w:r>
              <w:rPr>
                <w:rFonts w:ascii="Arial" w:hAnsi="Arial" w:cs="Arial"/>
                <w:sz w:val="16"/>
                <w:szCs w:val="16"/>
                <w:lang w:eastAsia="en-US"/>
              </w:rPr>
              <w:t>файла</w:t>
            </w:r>
            <w:r>
              <w:rPr>
                <w:rFonts w:ascii="Arial" w:hAnsi="Arial" w:cs="Arial"/>
                <w:sz w:val="16"/>
                <w:szCs w:val="16"/>
                <w:lang w:val="en-US" w:eastAsia="en-US"/>
              </w:rPr>
              <w:t xml:space="preserve"> </w:t>
            </w:r>
            <w:r>
              <w:rPr>
                <w:rFonts w:ascii="Arial" w:hAnsi="Arial" w:cs="Arial"/>
                <w:sz w:val="16"/>
                <w:szCs w:val="16"/>
                <w:lang w:eastAsia="en-US"/>
              </w:rPr>
              <w:t>системи</w:t>
            </w:r>
            <w:r>
              <w:rPr>
                <w:rFonts w:ascii="Arial" w:hAnsi="Arial" w:cs="Arial"/>
                <w:sz w:val="16"/>
                <w:szCs w:val="16"/>
                <w:lang w:val="en-US" w:eastAsia="en-US"/>
              </w:rPr>
              <w:t xml:space="preserve"> </w:t>
            </w:r>
            <w:r>
              <w:rPr>
                <w:rFonts w:ascii="Arial" w:hAnsi="Arial" w:cs="Arial"/>
                <w:sz w:val="16"/>
                <w:szCs w:val="16"/>
                <w:lang w:eastAsia="en-US"/>
              </w:rPr>
              <w:t>фармаконагляду</w:t>
            </w:r>
            <w:r>
              <w:rPr>
                <w:rFonts w:ascii="Arial" w:hAnsi="Arial" w:cs="Arial"/>
                <w:sz w:val="16"/>
                <w:szCs w:val="16"/>
                <w:lang w:val="en-US" w:eastAsia="en-US"/>
              </w:rPr>
              <w:t xml:space="preserve">). </w:t>
            </w:r>
            <w:r>
              <w:rPr>
                <w:rFonts w:ascii="Arial" w:hAnsi="Arial" w:cs="Arial"/>
                <w:sz w:val="16"/>
                <w:szCs w:val="16"/>
                <w:lang w:eastAsia="en-US"/>
              </w:rPr>
              <w:t>Зміна</w:t>
            </w:r>
            <w:r>
              <w:rPr>
                <w:rFonts w:ascii="Arial" w:hAnsi="Arial" w:cs="Arial"/>
                <w:sz w:val="16"/>
                <w:szCs w:val="16"/>
                <w:lang w:val="en-US" w:eastAsia="en-US"/>
              </w:rPr>
              <w:t xml:space="preserve"> </w:t>
            </w:r>
            <w:r>
              <w:rPr>
                <w:rFonts w:ascii="Arial" w:hAnsi="Arial" w:cs="Arial"/>
                <w:sz w:val="16"/>
                <w:szCs w:val="16"/>
                <w:lang w:eastAsia="en-US"/>
              </w:rPr>
              <w:t>контактних</w:t>
            </w:r>
            <w:r>
              <w:rPr>
                <w:rFonts w:ascii="Arial" w:hAnsi="Arial" w:cs="Arial"/>
                <w:sz w:val="16"/>
                <w:szCs w:val="16"/>
                <w:lang w:val="en-US" w:eastAsia="en-US"/>
              </w:rPr>
              <w:t xml:space="preserve"> </w:t>
            </w:r>
            <w:r>
              <w:rPr>
                <w:rFonts w:ascii="Arial" w:hAnsi="Arial" w:cs="Arial"/>
                <w:sz w:val="16"/>
                <w:szCs w:val="16"/>
                <w:lang w:eastAsia="en-US"/>
              </w:rPr>
              <w:t>даних</w:t>
            </w:r>
            <w:r>
              <w:rPr>
                <w:rFonts w:ascii="Arial" w:hAnsi="Arial" w:cs="Arial"/>
                <w:sz w:val="16"/>
                <w:szCs w:val="16"/>
                <w:lang w:val="en-US" w:eastAsia="en-US"/>
              </w:rPr>
              <w:t xml:space="preserve"> </w:t>
            </w:r>
            <w:r>
              <w:rPr>
                <w:rFonts w:ascii="Arial" w:hAnsi="Arial" w:cs="Arial"/>
                <w:sz w:val="16"/>
                <w:szCs w:val="16"/>
                <w:lang w:eastAsia="en-US"/>
              </w:rPr>
              <w:t>уповноваженої</w:t>
            </w:r>
            <w:r>
              <w:rPr>
                <w:rFonts w:ascii="Arial" w:hAnsi="Arial" w:cs="Arial"/>
                <w:sz w:val="16"/>
                <w:szCs w:val="16"/>
                <w:lang w:val="en-US" w:eastAsia="en-US"/>
              </w:rPr>
              <w:t xml:space="preserve"> </w:t>
            </w:r>
            <w:r>
              <w:rPr>
                <w:rFonts w:ascii="Arial" w:hAnsi="Arial" w:cs="Arial"/>
                <w:sz w:val="16"/>
                <w:szCs w:val="16"/>
                <w:lang w:eastAsia="en-US"/>
              </w:rPr>
              <w:t>особи</w:t>
            </w:r>
            <w:r>
              <w:rPr>
                <w:rFonts w:ascii="Arial" w:hAnsi="Arial" w:cs="Arial"/>
                <w:sz w:val="16"/>
                <w:szCs w:val="16"/>
                <w:lang w:val="en-US" w:eastAsia="en-US"/>
              </w:rPr>
              <w:t xml:space="preserve"> </w:t>
            </w:r>
            <w:r>
              <w:rPr>
                <w:rFonts w:ascii="Arial" w:hAnsi="Arial" w:cs="Arial"/>
                <w:sz w:val="16"/>
                <w:szCs w:val="16"/>
                <w:lang w:eastAsia="en-US"/>
              </w:rPr>
              <w:t>заявника</w:t>
            </w:r>
            <w:r>
              <w:rPr>
                <w:rFonts w:ascii="Arial" w:hAnsi="Arial" w:cs="Arial"/>
                <w:sz w:val="16"/>
                <w:szCs w:val="16"/>
                <w:lang w:val="en-US" w:eastAsia="en-US"/>
              </w:rPr>
              <w:t xml:space="preserve">, </w:t>
            </w:r>
            <w:r>
              <w:rPr>
                <w:rFonts w:ascii="Arial" w:hAnsi="Arial" w:cs="Arial"/>
                <w:sz w:val="16"/>
                <w:szCs w:val="16"/>
                <w:lang w:eastAsia="en-US"/>
              </w:rPr>
              <w:t>відповідальної</w:t>
            </w:r>
            <w:r>
              <w:rPr>
                <w:rFonts w:ascii="Arial" w:hAnsi="Arial" w:cs="Arial"/>
                <w:sz w:val="16"/>
                <w:szCs w:val="16"/>
                <w:lang w:val="en-US" w:eastAsia="en-US"/>
              </w:rPr>
              <w:t xml:space="preserve"> </w:t>
            </w:r>
            <w:r>
              <w:rPr>
                <w:rFonts w:ascii="Arial" w:hAnsi="Arial" w:cs="Arial"/>
                <w:sz w:val="16"/>
                <w:szCs w:val="16"/>
                <w:lang w:eastAsia="en-US"/>
              </w:rPr>
              <w:t>за</w:t>
            </w:r>
            <w:r>
              <w:rPr>
                <w:rFonts w:ascii="Arial" w:hAnsi="Arial" w:cs="Arial"/>
                <w:sz w:val="16"/>
                <w:szCs w:val="16"/>
                <w:lang w:val="en-US" w:eastAsia="en-US"/>
              </w:rPr>
              <w:t xml:space="preserve"> </w:t>
            </w:r>
            <w:r>
              <w:rPr>
                <w:rFonts w:ascii="Arial" w:hAnsi="Arial" w:cs="Arial"/>
                <w:sz w:val="16"/>
                <w:szCs w:val="16"/>
                <w:lang w:eastAsia="en-US"/>
              </w:rPr>
              <w:t>фармаконагляд</w:t>
            </w:r>
            <w:r>
              <w:rPr>
                <w:rFonts w:ascii="Arial" w:hAnsi="Arial" w:cs="Arial"/>
                <w:sz w:val="16"/>
                <w:szCs w:val="16"/>
                <w:lang w:val="en-US" w:eastAsia="en-US"/>
              </w:rPr>
              <w:t xml:space="preserve">. </w:t>
            </w:r>
            <w:r>
              <w:rPr>
                <w:rFonts w:ascii="Arial" w:hAnsi="Arial" w:cs="Arial"/>
                <w:sz w:val="16"/>
                <w:szCs w:val="16"/>
                <w:lang w:eastAsia="en-US"/>
              </w:rPr>
              <w:t>Зміна</w:t>
            </w:r>
            <w:r>
              <w:rPr>
                <w:rFonts w:ascii="Arial" w:hAnsi="Arial" w:cs="Arial"/>
                <w:sz w:val="16"/>
                <w:szCs w:val="16"/>
                <w:lang w:val="en-US" w:eastAsia="en-US"/>
              </w:rPr>
              <w:t xml:space="preserve"> </w:t>
            </w:r>
            <w:r>
              <w:rPr>
                <w:rFonts w:ascii="Arial" w:hAnsi="Arial" w:cs="Arial"/>
                <w:sz w:val="16"/>
                <w:szCs w:val="16"/>
                <w:lang w:eastAsia="en-US"/>
              </w:rPr>
              <w:t>контактної</w:t>
            </w:r>
            <w:r>
              <w:rPr>
                <w:rFonts w:ascii="Arial" w:hAnsi="Arial" w:cs="Arial"/>
                <w:sz w:val="16"/>
                <w:szCs w:val="16"/>
                <w:lang w:val="en-US" w:eastAsia="en-US"/>
              </w:rPr>
              <w:t xml:space="preserve"> </w:t>
            </w:r>
            <w:r>
              <w:rPr>
                <w:rFonts w:ascii="Arial" w:hAnsi="Arial" w:cs="Arial"/>
                <w:sz w:val="16"/>
                <w:szCs w:val="16"/>
                <w:lang w:eastAsia="en-US"/>
              </w:rPr>
              <w:t>особи</w:t>
            </w:r>
            <w:r>
              <w:rPr>
                <w:rFonts w:ascii="Arial" w:hAnsi="Arial" w:cs="Arial"/>
                <w:sz w:val="16"/>
                <w:szCs w:val="16"/>
                <w:lang w:val="en-US" w:eastAsia="en-US"/>
              </w:rPr>
              <w:t xml:space="preserve"> </w:t>
            </w:r>
            <w:r>
              <w:rPr>
                <w:rFonts w:ascii="Arial" w:hAnsi="Arial" w:cs="Arial"/>
                <w:sz w:val="16"/>
                <w:szCs w:val="16"/>
                <w:lang w:eastAsia="en-US"/>
              </w:rPr>
              <w:t>заявника</w:t>
            </w:r>
            <w:r>
              <w:rPr>
                <w:rFonts w:ascii="Arial" w:hAnsi="Arial" w:cs="Arial"/>
                <w:sz w:val="16"/>
                <w:szCs w:val="16"/>
                <w:lang w:val="en-US" w:eastAsia="en-US"/>
              </w:rPr>
              <w:t xml:space="preserve">, </w:t>
            </w:r>
            <w:r>
              <w:rPr>
                <w:rFonts w:ascii="Arial" w:hAnsi="Arial" w:cs="Arial"/>
                <w:sz w:val="16"/>
                <w:szCs w:val="16"/>
                <w:lang w:eastAsia="en-US"/>
              </w:rPr>
              <w:t>відповідальної</w:t>
            </w:r>
            <w:r>
              <w:rPr>
                <w:rFonts w:ascii="Arial" w:hAnsi="Arial" w:cs="Arial"/>
                <w:sz w:val="16"/>
                <w:szCs w:val="16"/>
                <w:lang w:val="en-US" w:eastAsia="en-US"/>
              </w:rPr>
              <w:t xml:space="preserve"> </w:t>
            </w:r>
            <w:r>
              <w:rPr>
                <w:rFonts w:ascii="Arial" w:hAnsi="Arial" w:cs="Arial"/>
                <w:sz w:val="16"/>
                <w:szCs w:val="16"/>
                <w:lang w:eastAsia="en-US"/>
              </w:rPr>
              <w:t>за</w:t>
            </w:r>
            <w:r>
              <w:rPr>
                <w:rFonts w:ascii="Arial" w:hAnsi="Arial" w:cs="Arial"/>
                <w:sz w:val="16"/>
                <w:szCs w:val="16"/>
                <w:lang w:val="en-US" w:eastAsia="en-US"/>
              </w:rPr>
              <w:t xml:space="preserve"> </w:t>
            </w:r>
            <w:r>
              <w:rPr>
                <w:rFonts w:ascii="Arial" w:hAnsi="Arial" w:cs="Arial"/>
                <w:sz w:val="16"/>
                <w:szCs w:val="16"/>
                <w:lang w:eastAsia="en-US"/>
              </w:rPr>
              <w:t>фармаконагляд</w:t>
            </w:r>
            <w:r>
              <w:rPr>
                <w:rFonts w:ascii="Arial" w:hAnsi="Arial" w:cs="Arial"/>
                <w:sz w:val="16"/>
                <w:szCs w:val="16"/>
                <w:lang w:val="en-US" w:eastAsia="en-US"/>
              </w:rPr>
              <w:t xml:space="preserve"> </w:t>
            </w:r>
            <w:r>
              <w:rPr>
                <w:rFonts w:ascii="Arial" w:hAnsi="Arial" w:cs="Arial"/>
                <w:sz w:val="16"/>
                <w:szCs w:val="16"/>
                <w:lang w:eastAsia="en-US"/>
              </w:rPr>
              <w:t>в</w:t>
            </w:r>
            <w:r>
              <w:rPr>
                <w:rFonts w:ascii="Arial" w:hAnsi="Arial" w:cs="Arial"/>
                <w:sz w:val="16"/>
                <w:szCs w:val="16"/>
                <w:lang w:val="en-US" w:eastAsia="en-US"/>
              </w:rPr>
              <w:t xml:space="preserve"> </w:t>
            </w:r>
            <w:r>
              <w:rPr>
                <w:rFonts w:ascii="Arial" w:hAnsi="Arial" w:cs="Arial"/>
                <w:sz w:val="16"/>
                <w:szCs w:val="16"/>
                <w:lang w:eastAsia="en-US"/>
              </w:rPr>
              <w:t>Україні</w:t>
            </w:r>
            <w:r>
              <w:rPr>
                <w:rFonts w:ascii="Arial" w:hAnsi="Arial" w:cs="Arial"/>
                <w:sz w:val="16"/>
                <w:szCs w:val="16"/>
                <w:lang w:val="en-US" w:eastAsia="en-US"/>
              </w:rPr>
              <w:t>.</w:t>
            </w:r>
            <w:r>
              <w:rPr>
                <w:rFonts w:ascii="Arial" w:hAnsi="Arial" w:cs="Arial"/>
                <w:sz w:val="16"/>
                <w:szCs w:val="16"/>
                <w:lang w:val="en-US" w:eastAsia="en-US"/>
              </w:rPr>
              <w:br/>
            </w:r>
            <w:r>
              <w:rPr>
                <w:rFonts w:ascii="Arial" w:hAnsi="Arial" w:cs="Arial"/>
                <w:sz w:val="16"/>
                <w:szCs w:val="16"/>
                <w:lang w:eastAsia="en-US"/>
              </w:rPr>
              <w:t xml:space="preserve">Діюча редакція: Самоненко Марина Володимирівна. Пропонована редакція: Венгер Людмила Анатоліївна / </w:t>
            </w:r>
            <w:r>
              <w:rPr>
                <w:rFonts w:ascii="Arial" w:hAnsi="Arial" w:cs="Arial"/>
                <w:sz w:val="16"/>
                <w:szCs w:val="16"/>
                <w:lang w:val="en-US" w:eastAsia="en-US"/>
              </w:rPr>
              <w:t>Liudmyla</w:t>
            </w:r>
            <w:r w:rsidRPr="003D03F3">
              <w:rPr>
                <w:rFonts w:ascii="Arial" w:hAnsi="Arial" w:cs="Arial"/>
                <w:sz w:val="16"/>
                <w:szCs w:val="16"/>
                <w:lang w:eastAsia="en-US"/>
              </w:rPr>
              <w:t xml:space="preserve"> </w:t>
            </w:r>
            <w:r>
              <w:rPr>
                <w:rFonts w:ascii="Arial" w:hAnsi="Arial" w:cs="Arial"/>
                <w:sz w:val="16"/>
                <w:szCs w:val="16"/>
                <w:lang w:val="en-US" w:eastAsia="en-US"/>
              </w:rPr>
              <w:t>Venher</w:t>
            </w:r>
            <w:r>
              <w:rPr>
                <w:rFonts w:ascii="Arial" w:hAnsi="Arial" w:cs="Arial"/>
                <w:sz w:val="16"/>
                <w:szCs w:val="16"/>
                <w:lang w:eastAsia="en-US"/>
              </w:rPr>
              <w:t>.</w:t>
            </w:r>
            <w:r>
              <w:rPr>
                <w:rFonts w:ascii="Arial" w:hAnsi="Arial" w:cs="Arial"/>
                <w:sz w:val="16"/>
                <w:szCs w:val="16"/>
                <w:lang w:eastAsia="en-US"/>
              </w:rPr>
              <w:br/>
              <w:t>Зміна контактних даних контактної особи заявника, відповідальної за фармаконагляд в Україні.</w:t>
            </w:r>
            <w:r>
              <w:rPr>
                <w:rFonts w:ascii="Arial" w:hAnsi="Arial" w:cs="Arial"/>
                <w:sz w:val="16"/>
                <w:szCs w:val="16"/>
                <w:lang w:eastAsia="en-US"/>
              </w:rPr>
              <w:br/>
              <w:t>Зміна місцезнаходження мастер-файла системи фармаконагляду та його номера. Зміна місця здійснення основної діяльності з фармаконагляду.</w:t>
            </w:r>
          </w:p>
          <w:p w:rsidR="003D03F3" w:rsidRDefault="003D03F3">
            <w:pPr>
              <w:pStyle w:val="af"/>
              <w:spacing w:after="0"/>
              <w:ind w:left="0"/>
              <w:jc w:val="both"/>
              <w:rPr>
                <w:rFonts w:ascii="Arial" w:hAnsi="Arial" w:cs="Arial"/>
                <w:b/>
                <w:sz w:val="16"/>
                <w:szCs w:val="16"/>
                <w:lang w:eastAsia="en-US"/>
              </w:rPr>
            </w:pPr>
          </w:p>
        </w:tc>
      </w:tr>
      <w:tr w:rsidR="003D03F3" w:rsidTr="003D03F3">
        <w:trPr>
          <w:trHeight w:val="557"/>
        </w:trPr>
        <w:tc>
          <w:tcPr>
            <w:tcW w:w="426" w:type="dxa"/>
            <w:tcBorders>
              <w:top w:val="single" w:sz="4" w:space="0" w:color="auto"/>
              <w:left w:val="single" w:sz="4" w:space="0" w:color="auto"/>
              <w:bottom w:val="single" w:sz="4" w:space="0" w:color="auto"/>
              <w:right w:val="single" w:sz="4" w:space="0" w:color="auto"/>
            </w:tcBorders>
          </w:tcPr>
          <w:p w:rsidR="003D03F3" w:rsidRDefault="003D03F3" w:rsidP="003D03F3">
            <w:pPr>
              <w:numPr>
                <w:ilvl w:val="0"/>
                <w:numId w:val="8"/>
              </w:numPr>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3D03F3" w:rsidRDefault="003D03F3">
            <w:pPr>
              <w:jc w:val="both"/>
              <w:rPr>
                <w:rFonts w:ascii="Arial" w:hAnsi="Arial" w:cs="Arial"/>
                <w:b/>
                <w:sz w:val="16"/>
                <w:szCs w:val="16"/>
                <w:lang w:eastAsia="en-US"/>
              </w:rPr>
            </w:pPr>
            <w:r>
              <w:rPr>
                <w:rFonts w:ascii="Arial" w:hAnsi="Arial" w:cs="Arial"/>
                <w:b/>
                <w:sz w:val="16"/>
                <w:szCs w:val="16"/>
                <w:lang w:eastAsia="en-US"/>
              </w:rPr>
              <w:t xml:space="preserve">КОНТРОЛОК® </w:t>
            </w:r>
          </w:p>
        </w:tc>
        <w:tc>
          <w:tcPr>
            <w:tcW w:w="1417" w:type="dxa"/>
            <w:tcBorders>
              <w:top w:val="single" w:sz="4" w:space="0" w:color="auto"/>
              <w:left w:val="single" w:sz="4" w:space="0" w:color="auto"/>
              <w:bottom w:val="single" w:sz="4" w:space="0" w:color="auto"/>
              <w:right w:val="single" w:sz="4" w:space="0" w:color="auto"/>
            </w:tcBorders>
          </w:tcPr>
          <w:p w:rsidR="003D03F3" w:rsidRDefault="003D03F3">
            <w:pPr>
              <w:rPr>
                <w:rFonts w:ascii="Arial" w:hAnsi="Arial" w:cs="Arial"/>
                <w:sz w:val="16"/>
                <w:szCs w:val="16"/>
                <w:lang w:eastAsia="en-US"/>
              </w:rPr>
            </w:pPr>
            <w:r>
              <w:rPr>
                <w:rFonts w:ascii="Arial" w:hAnsi="Arial" w:cs="Arial"/>
                <w:sz w:val="16"/>
                <w:szCs w:val="16"/>
                <w:lang w:eastAsia="en-US"/>
              </w:rPr>
              <w:t>порошок для розчину для ін'єкцій по 40 мг, 1 флакон з порошком у картонній коробці з маркуванням українською та англійською мовами</w:t>
            </w:r>
          </w:p>
          <w:p w:rsidR="003D03F3" w:rsidRDefault="003D03F3">
            <w:pPr>
              <w:rPr>
                <w:rFonts w:ascii="Arial" w:hAnsi="Arial" w:cs="Arial"/>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3D03F3" w:rsidRDefault="003D03F3">
            <w:pPr>
              <w:ind w:left="170"/>
              <w:jc w:val="center"/>
              <w:rPr>
                <w:rFonts w:ascii="Arial" w:hAnsi="Arial" w:cs="Arial"/>
                <w:sz w:val="16"/>
                <w:szCs w:val="16"/>
                <w:lang w:eastAsia="en-US"/>
              </w:rPr>
            </w:pPr>
            <w:r>
              <w:rPr>
                <w:rFonts w:ascii="Arial" w:hAnsi="Arial" w:cs="Arial"/>
                <w:sz w:val="16"/>
                <w:szCs w:val="16"/>
                <w:lang w:eastAsia="en-US"/>
              </w:rPr>
              <w:t>Такеда ГмбХ</w:t>
            </w:r>
          </w:p>
        </w:tc>
        <w:tc>
          <w:tcPr>
            <w:tcW w:w="1134" w:type="dxa"/>
            <w:tcBorders>
              <w:top w:val="single" w:sz="4" w:space="0" w:color="auto"/>
              <w:left w:val="single" w:sz="4" w:space="0" w:color="auto"/>
              <w:bottom w:val="single" w:sz="4" w:space="0" w:color="auto"/>
              <w:right w:val="single" w:sz="4" w:space="0" w:color="auto"/>
            </w:tcBorders>
          </w:tcPr>
          <w:p w:rsidR="003D03F3" w:rsidRDefault="003D03F3">
            <w:pPr>
              <w:jc w:val="center"/>
              <w:rPr>
                <w:rFonts w:ascii="Arial" w:hAnsi="Arial" w:cs="Arial"/>
                <w:sz w:val="16"/>
                <w:szCs w:val="16"/>
                <w:lang w:eastAsia="en-US"/>
              </w:rPr>
            </w:pPr>
            <w:r>
              <w:rPr>
                <w:rFonts w:ascii="Arial" w:hAnsi="Arial" w:cs="Arial"/>
                <w:sz w:val="16"/>
                <w:szCs w:val="16"/>
                <w:lang w:eastAsia="en-US"/>
              </w:rPr>
              <w:t>Німеччина</w:t>
            </w:r>
          </w:p>
          <w:p w:rsidR="003D03F3" w:rsidRDefault="003D03F3">
            <w:pPr>
              <w:jc w:val="center"/>
              <w:rPr>
                <w:rFonts w:ascii="Arial" w:hAnsi="Arial" w:cs="Arial"/>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3D03F3" w:rsidRDefault="003D03F3">
            <w:pPr>
              <w:pStyle w:val="135"/>
              <w:ind w:firstLine="0"/>
              <w:jc w:val="center"/>
              <w:rPr>
                <w:rFonts w:cs="Arial"/>
                <w:b w:val="0"/>
                <w:iCs/>
                <w:sz w:val="16"/>
                <w:szCs w:val="16"/>
                <w:lang w:eastAsia="en-US"/>
              </w:rPr>
            </w:pPr>
            <w:r>
              <w:rPr>
                <w:rFonts w:cs="Arial"/>
                <w:b w:val="0"/>
                <w:sz w:val="16"/>
                <w:szCs w:val="16"/>
                <w:lang w:eastAsia="en-US"/>
              </w:rPr>
              <w:t>Вассербургер Арцнайміттельверк ГмбХ, Німеччина (виробництво нерозфасованої продукції, первинне пакування); Лабор ЛС СЕ енд Ко. КГ, Німеччина (виробник, відповідальний за контроль якості); Патеон Італія С.П.А., Італ</w:t>
            </w:r>
            <w:r>
              <w:rPr>
                <w:rFonts w:cs="Arial"/>
                <w:b w:val="0"/>
                <w:sz w:val="16"/>
                <w:szCs w:val="16"/>
                <w:lang w:val="en-US" w:eastAsia="en-US"/>
              </w:rPr>
              <w:t>i</w:t>
            </w:r>
            <w:r>
              <w:rPr>
                <w:rFonts w:cs="Arial"/>
                <w:b w:val="0"/>
                <w:sz w:val="16"/>
                <w:szCs w:val="16"/>
                <w:lang w:eastAsia="en-US"/>
              </w:rPr>
              <w:t>я (виробництво нерозфасованої продукції, первинне пакування); Такеда ГмбХ, Німеччина (виробництво за повним циклом); Хікма Фармасьютіка (Португалія), С.А., Португал</w:t>
            </w:r>
            <w:r>
              <w:rPr>
                <w:rFonts w:cs="Arial"/>
                <w:b w:val="0"/>
                <w:sz w:val="16"/>
                <w:szCs w:val="16"/>
                <w:lang w:val="en-US" w:eastAsia="en-US"/>
              </w:rPr>
              <w:t>i</w:t>
            </w:r>
            <w:r>
              <w:rPr>
                <w:rFonts w:cs="Arial"/>
                <w:b w:val="0"/>
                <w:sz w:val="16"/>
                <w:szCs w:val="16"/>
                <w:lang w:eastAsia="en-US"/>
              </w:rPr>
              <w:t>я (виробництво нерозфасованої продукції, первинне пакування)</w:t>
            </w:r>
          </w:p>
        </w:tc>
        <w:tc>
          <w:tcPr>
            <w:tcW w:w="1135" w:type="dxa"/>
            <w:tcBorders>
              <w:top w:val="single" w:sz="4" w:space="0" w:color="auto"/>
              <w:left w:val="single" w:sz="4" w:space="0" w:color="auto"/>
              <w:bottom w:val="single" w:sz="4" w:space="0" w:color="auto"/>
              <w:right w:val="single" w:sz="4" w:space="0" w:color="auto"/>
            </w:tcBorders>
            <w:hideMark/>
          </w:tcPr>
          <w:p w:rsidR="003D03F3" w:rsidRDefault="003D03F3">
            <w:pPr>
              <w:pStyle w:val="af"/>
              <w:ind w:left="0"/>
              <w:jc w:val="center"/>
              <w:rPr>
                <w:rFonts w:ascii="Arial" w:hAnsi="Arial" w:cs="Arial"/>
                <w:sz w:val="16"/>
                <w:szCs w:val="16"/>
                <w:lang w:eastAsia="en-US"/>
              </w:rPr>
            </w:pPr>
            <w:r>
              <w:rPr>
                <w:rFonts w:ascii="Arial" w:hAnsi="Arial" w:cs="Arial"/>
                <w:sz w:val="16"/>
                <w:szCs w:val="16"/>
                <w:lang w:eastAsia="en-US"/>
              </w:rPr>
              <w:t>Німеччина</w:t>
            </w:r>
          </w:p>
          <w:p w:rsidR="003D03F3" w:rsidRDefault="003D03F3">
            <w:pPr>
              <w:pStyle w:val="af"/>
              <w:ind w:left="0"/>
              <w:jc w:val="center"/>
              <w:rPr>
                <w:rFonts w:ascii="Arial" w:hAnsi="Arial" w:cs="Arial"/>
                <w:sz w:val="16"/>
                <w:szCs w:val="16"/>
                <w:lang w:eastAsia="en-US"/>
              </w:rPr>
            </w:pPr>
            <w:r>
              <w:rPr>
                <w:rFonts w:ascii="Arial" w:hAnsi="Arial" w:cs="Arial"/>
                <w:sz w:val="16"/>
                <w:szCs w:val="16"/>
                <w:lang w:eastAsia="en-US"/>
              </w:rPr>
              <w:t>Італ</w:t>
            </w:r>
            <w:r>
              <w:rPr>
                <w:rFonts w:ascii="Arial" w:hAnsi="Arial" w:cs="Arial"/>
                <w:sz w:val="16"/>
                <w:szCs w:val="16"/>
                <w:lang w:val="en-US" w:eastAsia="en-US"/>
              </w:rPr>
              <w:t>i</w:t>
            </w:r>
            <w:r>
              <w:rPr>
                <w:rFonts w:ascii="Arial" w:hAnsi="Arial" w:cs="Arial"/>
                <w:sz w:val="16"/>
                <w:szCs w:val="16"/>
                <w:lang w:eastAsia="en-US"/>
              </w:rPr>
              <w:t>я</w:t>
            </w:r>
          </w:p>
          <w:p w:rsidR="003D03F3" w:rsidRDefault="003D03F3">
            <w:pPr>
              <w:pStyle w:val="af"/>
              <w:ind w:left="0"/>
              <w:jc w:val="center"/>
              <w:rPr>
                <w:rFonts w:ascii="Arial" w:hAnsi="Arial" w:cs="Arial"/>
                <w:sz w:val="16"/>
                <w:szCs w:val="16"/>
                <w:lang w:eastAsia="en-US"/>
              </w:rPr>
            </w:pPr>
            <w:r>
              <w:rPr>
                <w:rFonts w:ascii="Arial" w:hAnsi="Arial" w:cs="Arial"/>
                <w:sz w:val="16"/>
                <w:szCs w:val="16"/>
                <w:lang w:eastAsia="en-US"/>
              </w:rPr>
              <w:t>Португал</w:t>
            </w:r>
            <w:r>
              <w:rPr>
                <w:rFonts w:ascii="Arial" w:hAnsi="Arial" w:cs="Arial"/>
                <w:sz w:val="16"/>
                <w:szCs w:val="16"/>
                <w:lang w:val="en-US" w:eastAsia="en-US"/>
              </w:rPr>
              <w:t>i</w:t>
            </w:r>
            <w:r>
              <w:rPr>
                <w:rFonts w:ascii="Arial" w:hAnsi="Arial" w:cs="Arial"/>
                <w:sz w:val="16"/>
                <w:szCs w:val="16"/>
                <w:lang w:eastAsia="en-US"/>
              </w:rPr>
              <w:t>я</w:t>
            </w:r>
          </w:p>
        </w:tc>
        <w:tc>
          <w:tcPr>
            <w:tcW w:w="1134" w:type="dxa"/>
            <w:tcBorders>
              <w:top w:val="single" w:sz="4" w:space="0" w:color="auto"/>
              <w:left w:val="single" w:sz="4" w:space="0" w:color="auto"/>
              <w:bottom w:val="single" w:sz="4" w:space="0" w:color="auto"/>
              <w:right w:val="single" w:sz="4" w:space="0" w:color="auto"/>
            </w:tcBorders>
            <w:hideMark/>
          </w:tcPr>
          <w:p w:rsidR="003D03F3" w:rsidRDefault="003D03F3">
            <w:pPr>
              <w:pStyle w:val="135"/>
              <w:ind w:firstLine="0"/>
              <w:jc w:val="left"/>
              <w:rPr>
                <w:rFonts w:cs="Arial"/>
                <w:b w:val="0"/>
                <w:iCs/>
                <w:sz w:val="16"/>
                <w:szCs w:val="16"/>
                <w:lang w:val="en-US" w:eastAsia="en-US"/>
              </w:rPr>
            </w:pPr>
            <w:r>
              <w:rPr>
                <w:rFonts w:cs="Arial"/>
                <w:b w:val="0"/>
                <w:iCs/>
                <w:sz w:val="16"/>
                <w:szCs w:val="16"/>
                <w:lang w:eastAsia="en-US"/>
              </w:rPr>
              <w:t xml:space="preserve">засідання </w:t>
            </w:r>
            <w:r>
              <w:rPr>
                <w:rFonts w:cs="Arial"/>
                <w:b w:val="0"/>
                <w:iCs/>
                <w:sz w:val="16"/>
                <w:szCs w:val="16"/>
                <w:lang w:val="en-US" w:eastAsia="en-US"/>
              </w:rPr>
              <w:t>НТР № 18 від 18.05.2023</w:t>
            </w:r>
          </w:p>
        </w:tc>
        <w:tc>
          <w:tcPr>
            <w:tcW w:w="6095" w:type="dxa"/>
            <w:tcBorders>
              <w:top w:val="single" w:sz="4" w:space="0" w:color="auto"/>
              <w:left w:val="single" w:sz="4" w:space="0" w:color="auto"/>
              <w:bottom w:val="single" w:sz="4" w:space="0" w:color="auto"/>
              <w:right w:val="single" w:sz="4" w:space="0" w:color="auto"/>
            </w:tcBorders>
          </w:tcPr>
          <w:p w:rsidR="003D03F3" w:rsidRDefault="003D03F3">
            <w:pPr>
              <w:pStyle w:val="af"/>
              <w:spacing w:after="0"/>
              <w:ind w:left="0"/>
              <w:jc w:val="both"/>
              <w:rPr>
                <w:rFonts w:ascii="Arial" w:hAnsi="Arial" w:cs="Arial"/>
                <w:b/>
                <w:sz w:val="16"/>
                <w:szCs w:val="16"/>
                <w:lang w:eastAsia="en-US"/>
              </w:rPr>
            </w:pPr>
            <w:r>
              <w:rPr>
                <w:rFonts w:ascii="Arial" w:hAnsi="Arial" w:cs="Arial"/>
                <w:b/>
                <w:sz w:val="16"/>
                <w:szCs w:val="16"/>
                <w:lang w:val="uk-UA" w:eastAsia="en-US"/>
              </w:rPr>
              <w:t>Відмовити у</w:t>
            </w:r>
            <w:r w:rsidRPr="003D03F3">
              <w:rPr>
                <w:rFonts w:ascii="Arial" w:hAnsi="Arial" w:cs="Arial"/>
                <w:b/>
                <w:sz w:val="16"/>
                <w:szCs w:val="16"/>
                <w:lang w:val="en-US" w:eastAsia="en-US"/>
              </w:rPr>
              <w:t xml:space="preserve"> </w:t>
            </w:r>
            <w:r>
              <w:rPr>
                <w:rFonts w:ascii="Arial" w:hAnsi="Arial" w:cs="Arial"/>
                <w:b/>
                <w:sz w:val="16"/>
                <w:szCs w:val="16"/>
                <w:lang w:eastAsia="en-US"/>
              </w:rPr>
              <w:t>затвердженн</w:t>
            </w:r>
            <w:r>
              <w:rPr>
                <w:rFonts w:ascii="Arial" w:hAnsi="Arial" w:cs="Arial"/>
                <w:b/>
                <w:sz w:val="16"/>
                <w:szCs w:val="16"/>
                <w:lang w:val="uk-UA" w:eastAsia="en-US"/>
              </w:rPr>
              <w:t>і</w:t>
            </w:r>
            <w:r>
              <w:rPr>
                <w:rFonts w:ascii="Arial" w:hAnsi="Arial" w:cs="Arial"/>
                <w:b/>
                <w:sz w:val="16"/>
                <w:szCs w:val="16"/>
                <w:lang w:val="en-US" w:eastAsia="en-US"/>
              </w:rPr>
              <w:t xml:space="preserve"> </w:t>
            </w:r>
            <w:r>
              <w:rPr>
                <w:rFonts w:ascii="Arial" w:hAnsi="Arial" w:cs="Arial"/>
                <w:b/>
                <w:sz w:val="16"/>
                <w:szCs w:val="16"/>
                <w:lang w:val="uk-UA" w:eastAsia="en-US"/>
              </w:rPr>
              <w:t xml:space="preserve"> - </w:t>
            </w:r>
            <w:r>
              <w:rPr>
                <w:rFonts w:ascii="Arial" w:hAnsi="Arial" w:cs="Arial"/>
                <w:b/>
                <w:sz w:val="16"/>
                <w:szCs w:val="16"/>
                <w:lang w:eastAsia="en-US"/>
              </w:rPr>
              <w:t>внесення</w:t>
            </w:r>
            <w:r>
              <w:rPr>
                <w:rFonts w:ascii="Arial" w:hAnsi="Arial" w:cs="Arial"/>
                <w:b/>
                <w:sz w:val="16"/>
                <w:szCs w:val="16"/>
                <w:lang w:val="en-US" w:eastAsia="en-US"/>
              </w:rPr>
              <w:t xml:space="preserve"> </w:t>
            </w:r>
            <w:r>
              <w:rPr>
                <w:rFonts w:ascii="Arial" w:hAnsi="Arial" w:cs="Arial"/>
                <w:b/>
                <w:sz w:val="16"/>
                <w:szCs w:val="16"/>
                <w:lang w:eastAsia="en-US"/>
              </w:rPr>
              <w:t>змін</w:t>
            </w:r>
            <w:r>
              <w:rPr>
                <w:rFonts w:ascii="Arial" w:hAnsi="Arial" w:cs="Arial"/>
                <w:b/>
                <w:sz w:val="16"/>
                <w:szCs w:val="16"/>
                <w:lang w:val="uk-UA" w:eastAsia="en-US"/>
              </w:rPr>
              <w:t xml:space="preserve"> </w:t>
            </w:r>
            <w:r>
              <w:rPr>
                <w:rFonts w:ascii="Arial" w:hAnsi="Arial" w:cs="Arial"/>
                <w:b/>
                <w:sz w:val="16"/>
                <w:szCs w:val="16"/>
                <w:lang w:eastAsia="en-US"/>
              </w:rPr>
              <w:t>у</w:t>
            </w:r>
            <w:r>
              <w:rPr>
                <w:rFonts w:ascii="Arial" w:hAnsi="Arial" w:cs="Arial"/>
                <w:b/>
                <w:sz w:val="16"/>
                <w:szCs w:val="16"/>
                <w:lang w:val="en-US" w:eastAsia="en-US"/>
              </w:rPr>
              <w:t xml:space="preserve"> </w:t>
            </w:r>
            <w:r>
              <w:rPr>
                <w:rFonts w:ascii="Arial" w:hAnsi="Arial" w:cs="Arial"/>
                <w:b/>
                <w:sz w:val="16"/>
                <w:szCs w:val="16"/>
                <w:lang w:eastAsia="en-US"/>
              </w:rPr>
              <w:t>зв</w:t>
            </w:r>
            <w:r>
              <w:rPr>
                <w:rFonts w:ascii="Arial" w:hAnsi="Arial" w:cs="Arial"/>
                <w:b/>
                <w:sz w:val="16"/>
                <w:szCs w:val="16"/>
                <w:lang w:val="en-US" w:eastAsia="en-US"/>
              </w:rPr>
              <w:t>'</w:t>
            </w:r>
            <w:r>
              <w:rPr>
                <w:rFonts w:ascii="Arial" w:hAnsi="Arial" w:cs="Arial"/>
                <w:b/>
                <w:sz w:val="16"/>
                <w:szCs w:val="16"/>
                <w:lang w:eastAsia="en-US"/>
              </w:rPr>
              <w:t>язку</w:t>
            </w:r>
            <w:r>
              <w:rPr>
                <w:rFonts w:ascii="Arial" w:hAnsi="Arial" w:cs="Arial"/>
                <w:b/>
                <w:sz w:val="16"/>
                <w:szCs w:val="16"/>
                <w:lang w:val="en-US" w:eastAsia="en-US"/>
              </w:rPr>
              <w:t xml:space="preserve"> </w:t>
            </w:r>
            <w:r>
              <w:rPr>
                <w:rFonts w:ascii="Arial" w:hAnsi="Arial" w:cs="Arial"/>
                <w:b/>
                <w:sz w:val="16"/>
                <w:szCs w:val="16"/>
                <w:lang w:eastAsia="en-US"/>
              </w:rPr>
              <w:t>із</w:t>
            </w:r>
            <w:r>
              <w:rPr>
                <w:rFonts w:ascii="Arial" w:hAnsi="Arial" w:cs="Arial"/>
                <w:b/>
                <w:sz w:val="16"/>
                <w:szCs w:val="16"/>
                <w:lang w:val="en-US" w:eastAsia="en-US"/>
              </w:rPr>
              <w:t xml:space="preserve"> </w:t>
            </w:r>
            <w:r>
              <w:rPr>
                <w:rFonts w:ascii="Arial" w:hAnsi="Arial" w:cs="Arial"/>
                <w:b/>
                <w:sz w:val="16"/>
                <w:szCs w:val="16"/>
                <w:lang w:eastAsia="en-US"/>
              </w:rPr>
              <w:t>надходженням</w:t>
            </w:r>
            <w:r>
              <w:rPr>
                <w:rFonts w:ascii="Arial" w:hAnsi="Arial" w:cs="Arial"/>
                <w:b/>
                <w:sz w:val="16"/>
                <w:szCs w:val="16"/>
                <w:lang w:val="en-US" w:eastAsia="en-US"/>
              </w:rPr>
              <w:t xml:space="preserve"> </w:t>
            </w:r>
            <w:r>
              <w:rPr>
                <w:rFonts w:ascii="Arial" w:hAnsi="Arial" w:cs="Arial"/>
                <w:b/>
                <w:sz w:val="16"/>
                <w:szCs w:val="16"/>
                <w:lang w:eastAsia="en-US"/>
              </w:rPr>
              <w:t>інформації</w:t>
            </w:r>
            <w:r>
              <w:rPr>
                <w:rFonts w:ascii="Arial" w:hAnsi="Arial" w:cs="Arial"/>
                <w:b/>
                <w:sz w:val="16"/>
                <w:szCs w:val="16"/>
                <w:lang w:val="en-US" w:eastAsia="en-US"/>
              </w:rPr>
              <w:t xml:space="preserve"> </w:t>
            </w:r>
            <w:r>
              <w:rPr>
                <w:rFonts w:ascii="Arial" w:hAnsi="Arial" w:cs="Arial"/>
                <w:b/>
                <w:sz w:val="16"/>
                <w:szCs w:val="16"/>
                <w:lang w:eastAsia="en-US"/>
              </w:rPr>
              <w:t>про</w:t>
            </w:r>
            <w:r>
              <w:rPr>
                <w:rFonts w:ascii="Arial" w:hAnsi="Arial" w:cs="Arial"/>
                <w:b/>
                <w:sz w:val="16"/>
                <w:szCs w:val="16"/>
                <w:lang w:val="en-US" w:eastAsia="en-US"/>
              </w:rPr>
              <w:t xml:space="preserve"> </w:t>
            </w:r>
            <w:r>
              <w:rPr>
                <w:rFonts w:ascii="Arial" w:hAnsi="Arial" w:cs="Arial"/>
                <w:b/>
                <w:sz w:val="16"/>
                <w:szCs w:val="16"/>
                <w:lang w:eastAsia="en-US"/>
              </w:rPr>
              <w:t>нову</w:t>
            </w:r>
            <w:r>
              <w:rPr>
                <w:rFonts w:ascii="Arial" w:hAnsi="Arial" w:cs="Arial"/>
                <w:b/>
                <w:sz w:val="16"/>
                <w:szCs w:val="16"/>
                <w:lang w:val="en-US" w:eastAsia="en-US"/>
              </w:rPr>
              <w:t xml:space="preserve"> </w:t>
            </w:r>
            <w:r>
              <w:rPr>
                <w:rFonts w:ascii="Arial" w:hAnsi="Arial" w:cs="Arial"/>
                <w:b/>
                <w:sz w:val="16"/>
                <w:szCs w:val="16"/>
                <w:lang w:eastAsia="en-US"/>
              </w:rPr>
              <w:t>контактну</w:t>
            </w:r>
            <w:r>
              <w:rPr>
                <w:rFonts w:ascii="Arial" w:hAnsi="Arial" w:cs="Arial"/>
                <w:b/>
                <w:sz w:val="16"/>
                <w:szCs w:val="16"/>
                <w:lang w:val="en-US" w:eastAsia="en-US"/>
              </w:rPr>
              <w:t xml:space="preserve"> </w:t>
            </w:r>
            <w:r>
              <w:rPr>
                <w:rFonts w:ascii="Arial" w:hAnsi="Arial" w:cs="Arial"/>
                <w:b/>
                <w:sz w:val="16"/>
                <w:szCs w:val="16"/>
                <w:lang w:eastAsia="en-US"/>
              </w:rPr>
              <w:t>особу</w:t>
            </w:r>
            <w:r>
              <w:rPr>
                <w:rFonts w:ascii="Arial" w:hAnsi="Arial" w:cs="Arial"/>
                <w:b/>
                <w:sz w:val="16"/>
                <w:szCs w:val="16"/>
                <w:lang w:val="en-US" w:eastAsia="en-US"/>
              </w:rPr>
              <w:t xml:space="preserve"> </w:t>
            </w:r>
            <w:r>
              <w:rPr>
                <w:rFonts w:ascii="Arial" w:hAnsi="Arial" w:cs="Arial"/>
                <w:b/>
                <w:sz w:val="16"/>
                <w:szCs w:val="16"/>
                <w:lang w:eastAsia="en-US"/>
              </w:rPr>
              <w:t>заявника</w:t>
            </w:r>
            <w:r>
              <w:rPr>
                <w:rFonts w:ascii="Arial" w:hAnsi="Arial" w:cs="Arial"/>
                <w:b/>
                <w:sz w:val="16"/>
                <w:szCs w:val="16"/>
                <w:lang w:val="en-US" w:eastAsia="en-US"/>
              </w:rPr>
              <w:t xml:space="preserve">, </w:t>
            </w:r>
            <w:r>
              <w:rPr>
                <w:rFonts w:ascii="Arial" w:hAnsi="Arial" w:cs="Arial"/>
                <w:b/>
                <w:sz w:val="16"/>
                <w:szCs w:val="16"/>
                <w:lang w:eastAsia="en-US"/>
              </w:rPr>
              <w:t>відповідальну</w:t>
            </w:r>
            <w:r>
              <w:rPr>
                <w:rFonts w:ascii="Arial" w:hAnsi="Arial" w:cs="Arial"/>
                <w:b/>
                <w:sz w:val="16"/>
                <w:szCs w:val="16"/>
                <w:lang w:val="en-US" w:eastAsia="en-US"/>
              </w:rPr>
              <w:t xml:space="preserve"> </w:t>
            </w:r>
            <w:r>
              <w:rPr>
                <w:rFonts w:ascii="Arial" w:hAnsi="Arial" w:cs="Arial"/>
                <w:b/>
                <w:sz w:val="16"/>
                <w:szCs w:val="16"/>
                <w:lang w:eastAsia="en-US"/>
              </w:rPr>
              <w:t>за</w:t>
            </w:r>
            <w:r>
              <w:rPr>
                <w:rFonts w:ascii="Arial" w:hAnsi="Arial" w:cs="Arial"/>
                <w:b/>
                <w:sz w:val="16"/>
                <w:szCs w:val="16"/>
                <w:lang w:val="en-US" w:eastAsia="en-US"/>
              </w:rPr>
              <w:t xml:space="preserve"> </w:t>
            </w:r>
            <w:r>
              <w:rPr>
                <w:rFonts w:ascii="Arial" w:hAnsi="Arial" w:cs="Arial"/>
                <w:b/>
                <w:sz w:val="16"/>
                <w:szCs w:val="16"/>
                <w:lang w:eastAsia="en-US"/>
              </w:rPr>
              <w:t>здійснення</w:t>
            </w:r>
            <w:r>
              <w:rPr>
                <w:rFonts w:ascii="Arial" w:hAnsi="Arial" w:cs="Arial"/>
                <w:b/>
                <w:sz w:val="16"/>
                <w:szCs w:val="16"/>
                <w:lang w:val="en-US" w:eastAsia="en-US"/>
              </w:rPr>
              <w:t xml:space="preserve"> </w:t>
            </w:r>
            <w:r>
              <w:rPr>
                <w:rFonts w:ascii="Arial" w:hAnsi="Arial" w:cs="Arial"/>
                <w:b/>
                <w:sz w:val="16"/>
                <w:szCs w:val="16"/>
                <w:lang w:eastAsia="en-US"/>
              </w:rPr>
              <w:t>фармаконагляду</w:t>
            </w:r>
            <w:r>
              <w:rPr>
                <w:rFonts w:ascii="Arial" w:hAnsi="Arial" w:cs="Arial"/>
                <w:b/>
                <w:sz w:val="16"/>
                <w:szCs w:val="16"/>
                <w:lang w:val="en-US" w:eastAsia="en-US"/>
              </w:rPr>
              <w:t xml:space="preserve"> </w:t>
            </w:r>
            <w:r>
              <w:rPr>
                <w:rFonts w:ascii="Arial" w:hAnsi="Arial" w:cs="Arial"/>
                <w:b/>
                <w:sz w:val="16"/>
                <w:szCs w:val="16"/>
                <w:lang w:eastAsia="en-US"/>
              </w:rPr>
              <w:t>в</w:t>
            </w:r>
            <w:r>
              <w:rPr>
                <w:rFonts w:ascii="Arial" w:hAnsi="Arial" w:cs="Arial"/>
                <w:b/>
                <w:sz w:val="16"/>
                <w:szCs w:val="16"/>
                <w:lang w:val="en-US" w:eastAsia="en-US"/>
              </w:rPr>
              <w:t xml:space="preserve"> </w:t>
            </w:r>
            <w:r>
              <w:rPr>
                <w:rFonts w:ascii="Arial" w:hAnsi="Arial" w:cs="Arial"/>
                <w:b/>
                <w:sz w:val="16"/>
                <w:szCs w:val="16"/>
                <w:lang w:eastAsia="en-US"/>
              </w:rPr>
              <w:t>Україні</w:t>
            </w:r>
            <w:r>
              <w:rPr>
                <w:rFonts w:ascii="Arial" w:hAnsi="Arial" w:cs="Arial"/>
                <w:b/>
                <w:sz w:val="16"/>
                <w:szCs w:val="16"/>
                <w:lang w:val="en-US" w:eastAsia="en-US"/>
              </w:rPr>
              <w:t xml:space="preserve"> (</w:t>
            </w:r>
            <w:r>
              <w:rPr>
                <w:rFonts w:ascii="Arial" w:hAnsi="Arial" w:cs="Arial"/>
                <w:b/>
                <w:sz w:val="16"/>
                <w:szCs w:val="16"/>
                <w:lang w:eastAsia="en-US"/>
              </w:rPr>
              <w:t>лист</w:t>
            </w:r>
            <w:r>
              <w:rPr>
                <w:rFonts w:ascii="Arial" w:hAnsi="Arial" w:cs="Arial"/>
                <w:b/>
                <w:sz w:val="16"/>
                <w:szCs w:val="16"/>
                <w:lang w:val="en-US" w:eastAsia="en-US"/>
              </w:rPr>
              <w:t xml:space="preserve"> </w:t>
            </w:r>
            <w:r>
              <w:rPr>
                <w:rFonts w:ascii="Arial" w:hAnsi="Arial" w:cs="Arial"/>
                <w:b/>
                <w:sz w:val="16"/>
                <w:szCs w:val="16"/>
                <w:lang w:eastAsia="en-US"/>
              </w:rPr>
              <w:t>від</w:t>
            </w:r>
            <w:r>
              <w:rPr>
                <w:rFonts w:ascii="Arial" w:hAnsi="Arial" w:cs="Arial"/>
                <w:b/>
                <w:sz w:val="16"/>
                <w:szCs w:val="16"/>
                <w:lang w:val="en-US" w:eastAsia="en-US"/>
              </w:rPr>
              <w:t xml:space="preserve"> </w:t>
            </w:r>
            <w:r>
              <w:rPr>
                <w:rFonts w:ascii="Arial" w:hAnsi="Arial" w:cs="Arial"/>
                <w:b/>
                <w:sz w:val="16"/>
                <w:szCs w:val="16"/>
                <w:lang w:eastAsia="en-US"/>
              </w:rPr>
              <w:t>заявника</w:t>
            </w:r>
            <w:r>
              <w:rPr>
                <w:rFonts w:ascii="Arial" w:hAnsi="Arial" w:cs="Arial"/>
                <w:b/>
                <w:sz w:val="16"/>
                <w:szCs w:val="16"/>
                <w:lang w:val="en-US" w:eastAsia="en-US"/>
              </w:rPr>
              <w:t xml:space="preserve"> </w:t>
            </w:r>
            <w:r>
              <w:rPr>
                <w:rFonts w:ascii="Arial" w:hAnsi="Arial" w:cs="Arial"/>
                <w:b/>
                <w:sz w:val="16"/>
                <w:szCs w:val="16"/>
                <w:lang w:eastAsia="en-US"/>
              </w:rPr>
              <w:t>Такеда</w:t>
            </w:r>
            <w:r>
              <w:rPr>
                <w:rFonts w:ascii="Arial" w:hAnsi="Arial" w:cs="Arial"/>
                <w:b/>
                <w:sz w:val="16"/>
                <w:szCs w:val="16"/>
                <w:lang w:val="en-US" w:eastAsia="en-US"/>
              </w:rPr>
              <w:t xml:space="preserve"> </w:t>
            </w:r>
            <w:r>
              <w:rPr>
                <w:rFonts w:ascii="Arial" w:hAnsi="Arial" w:cs="Arial"/>
                <w:b/>
                <w:sz w:val="16"/>
                <w:szCs w:val="16"/>
                <w:lang w:eastAsia="en-US"/>
              </w:rPr>
              <w:t>ГмбХ</w:t>
            </w:r>
            <w:r>
              <w:rPr>
                <w:rFonts w:ascii="Arial" w:hAnsi="Arial" w:cs="Arial"/>
                <w:b/>
                <w:sz w:val="16"/>
                <w:szCs w:val="16"/>
                <w:lang w:val="en-US" w:eastAsia="en-US"/>
              </w:rPr>
              <w:t xml:space="preserve">, </w:t>
            </w:r>
            <w:r>
              <w:rPr>
                <w:rFonts w:ascii="Arial" w:hAnsi="Arial" w:cs="Arial"/>
                <w:b/>
                <w:sz w:val="16"/>
                <w:szCs w:val="16"/>
                <w:lang w:eastAsia="en-US"/>
              </w:rPr>
              <w:t>Німеччина</w:t>
            </w:r>
            <w:r>
              <w:rPr>
                <w:rFonts w:ascii="Arial" w:hAnsi="Arial" w:cs="Arial"/>
                <w:b/>
                <w:sz w:val="16"/>
                <w:szCs w:val="16"/>
                <w:lang w:val="en-US" w:eastAsia="en-US"/>
              </w:rPr>
              <w:t xml:space="preserve"> №0231 /</w:t>
            </w:r>
            <w:r>
              <w:rPr>
                <w:rFonts w:ascii="Arial" w:hAnsi="Arial" w:cs="Arial"/>
                <w:b/>
                <w:sz w:val="16"/>
                <w:szCs w:val="16"/>
                <w:lang w:eastAsia="en-US"/>
              </w:rPr>
              <w:t>МД</w:t>
            </w:r>
            <w:r>
              <w:rPr>
                <w:rFonts w:ascii="Arial" w:hAnsi="Arial" w:cs="Arial"/>
                <w:b/>
                <w:sz w:val="16"/>
                <w:szCs w:val="16"/>
                <w:lang w:val="en-US" w:eastAsia="en-US"/>
              </w:rPr>
              <w:t xml:space="preserve"> </w:t>
            </w:r>
            <w:r>
              <w:rPr>
                <w:rFonts w:ascii="Arial" w:hAnsi="Arial" w:cs="Arial"/>
                <w:b/>
                <w:sz w:val="16"/>
                <w:szCs w:val="16"/>
                <w:lang w:eastAsia="en-US"/>
              </w:rPr>
              <w:t>від</w:t>
            </w:r>
            <w:r>
              <w:rPr>
                <w:rFonts w:ascii="Arial" w:hAnsi="Arial" w:cs="Arial"/>
                <w:b/>
                <w:sz w:val="16"/>
                <w:szCs w:val="16"/>
                <w:lang w:val="en-US" w:eastAsia="en-US"/>
              </w:rPr>
              <w:t xml:space="preserve"> 16.08.2022</w:t>
            </w:r>
            <w:r>
              <w:rPr>
                <w:rFonts w:ascii="Arial" w:hAnsi="Arial" w:cs="Arial"/>
                <w:b/>
                <w:sz w:val="16"/>
                <w:szCs w:val="16"/>
                <w:lang w:eastAsia="en-US"/>
              </w:rPr>
              <w:t>р</w:t>
            </w:r>
            <w:r>
              <w:rPr>
                <w:rFonts w:ascii="Arial" w:hAnsi="Arial" w:cs="Arial"/>
                <w:b/>
                <w:sz w:val="16"/>
                <w:szCs w:val="16"/>
                <w:lang w:val="en-US" w:eastAsia="en-US"/>
              </w:rPr>
              <w:t>.).</w:t>
            </w:r>
            <w:r>
              <w:rPr>
                <w:rFonts w:ascii="Arial" w:hAnsi="Arial" w:cs="Arial"/>
                <w:b/>
                <w:sz w:val="16"/>
                <w:szCs w:val="16"/>
                <w:lang w:val="en-US" w:eastAsia="en-US"/>
              </w:rPr>
              <w:br/>
            </w:r>
            <w:r>
              <w:rPr>
                <w:rFonts w:ascii="Arial" w:hAnsi="Arial" w:cs="Arial"/>
                <w:sz w:val="16"/>
                <w:szCs w:val="16"/>
                <w:lang w:val="en-US" w:eastAsia="en-US"/>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Pr>
                <w:rFonts w:ascii="Arial" w:hAnsi="Arial" w:cs="Arial"/>
                <w:sz w:val="16"/>
                <w:szCs w:val="16"/>
                <w:lang w:val="en-US" w:eastAsia="en-US"/>
              </w:rPr>
              <w:br/>
              <w:t xml:space="preserve">Діюча редакція: Simon Ashworth. Пропонована редакція: д-р Суміт Мунджал / Sumit Munjal.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Pr>
                <w:rFonts w:ascii="Arial" w:hAnsi="Arial" w:cs="Arial"/>
                <w:sz w:val="16"/>
                <w:szCs w:val="16"/>
                <w:lang w:eastAsia="en-US"/>
              </w:rPr>
              <w:t xml:space="preserve">Діюча редакція: Самоненко Марина Володимирівна. Пропонована редакція: Венгер Людмила Анатоліївна / </w:t>
            </w:r>
            <w:r>
              <w:rPr>
                <w:rFonts w:ascii="Arial" w:hAnsi="Arial" w:cs="Arial"/>
                <w:sz w:val="16"/>
                <w:szCs w:val="16"/>
                <w:lang w:val="en-US" w:eastAsia="en-US"/>
              </w:rPr>
              <w:t>Liudmyla</w:t>
            </w:r>
            <w:r w:rsidRPr="003D03F3">
              <w:rPr>
                <w:rFonts w:ascii="Arial" w:hAnsi="Arial" w:cs="Arial"/>
                <w:sz w:val="16"/>
                <w:szCs w:val="16"/>
                <w:lang w:eastAsia="en-US"/>
              </w:rPr>
              <w:t xml:space="preserve"> </w:t>
            </w:r>
            <w:r>
              <w:rPr>
                <w:rFonts w:ascii="Arial" w:hAnsi="Arial" w:cs="Arial"/>
                <w:sz w:val="16"/>
                <w:szCs w:val="16"/>
                <w:lang w:val="en-US" w:eastAsia="en-US"/>
              </w:rPr>
              <w:t>Venher</w:t>
            </w:r>
            <w:r>
              <w:rPr>
                <w:rFonts w:ascii="Arial" w:hAnsi="Arial" w:cs="Arial"/>
                <w:sz w:val="16"/>
                <w:szCs w:val="16"/>
                <w:lang w:eastAsia="en-US"/>
              </w:rPr>
              <w:t xml:space="preserve">. Зміна контактних даних контактної особи заявника, відповідальної за фармаконагляд в Україні. </w:t>
            </w:r>
            <w:r>
              <w:rPr>
                <w:rFonts w:ascii="Arial" w:hAnsi="Arial" w:cs="Arial"/>
                <w:sz w:val="16"/>
                <w:szCs w:val="16"/>
                <w:lang w:eastAsia="en-US"/>
              </w:rPr>
              <w:br/>
              <w:t>Зміна місцезнаходження мастер-файла системи фармаконагляду та його номера. Зміна місця здійснення основної діяльності з фармаконагляду.</w:t>
            </w:r>
            <w:r>
              <w:rPr>
                <w:rFonts w:ascii="Arial" w:hAnsi="Arial" w:cs="Arial"/>
                <w:b/>
                <w:sz w:val="16"/>
                <w:szCs w:val="16"/>
                <w:lang w:eastAsia="en-US"/>
              </w:rPr>
              <w:t xml:space="preserve"> </w:t>
            </w:r>
          </w:p>
          <w:p w:rsidR="003D03F3" w:rsidRDefault="003D03F3">
            <w:pPr>
              <w:pStyle w:val="af"/>
              <w:spacing w:after="0"/>
              <w:ind w:left="0"/>
              <w:jc w:val="both"/>
              <w:rPr>
                <w:rFonts w:ascii="Arial" w:hAnsi="Arial" w:cs="Arial"/>
                <w:b/>
                <w:sz w:val="16"/>
                <w:szCs w:val="16"/>
                <w:lang w:eastAsia="en-US"/>
              </w:rPr>
            </w:pPr>
          </w:p>
        </w:tc>
      </w:tr>
      <w:tr w:rsidR="003D03F3" w:rsidTr="003D03F3">
        <w:trPr>
          <w:trHeight w:val="557"/>
        </w:trPr>
        <w:tc>
          <w:tcPr>
            <w:tcW w:w="426" w:type="dxa"/>
            <w:tcBorders>
              <w:top w:val="single" w:sz="4" w:space="0" w:color="auto"/>
              <w:left w:val="single" w:sz="4" w:space="0" w:color="auto"/>
              <w:bottom w:val="single" w:sz="4" w:space="0" w:color="auto"/>
              <w:right w:val="single" w:sz="4" w:space="0" w:color="auto"/>
            </w:tcBorders>
          </w:tcPr>
          <w:p w:rsidR="003D03F3" w:rsidRDefault="003D03F3" w:rsidP="003D03F3">
            <w:pPr>
              <w:numPr>
                <w:ilvl w:val="0"/>
                <w:numId w:val="8"/>
              </w:numPr>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3D03F3" w:rsidRDefault="003D03F3">
            <w:pPr>
              <w:jc w:val="both"/>
              <w:rPr>
                <w:rFonts w:ascii="Arial" w:hAnsi="Arial" w:cs="Arial"/>
                <w:b/>
                <w:sz w:val="16"/>
                <w:szCs w:val="16"/>
                <w:lang w:eastAsia="en-US"/>
              </w:rPr>
            </w:pPr>
            <w:r>
              <w:rPr>
                <w:rFonts w:ascii="Arial" w:hAnsi="Arial" w:cs="Arial"/>
                <w:b/>
                <w:sz w:val="16"/>
                <w:szCs w:val="16"/>
                <w:lang w:eastAsia="en-US"/>
              </w:rPr>
              <w:t xml:space="preserve">КОНТРОЛОК® </w:t>
            </w:r>
          </w:p>
        </w:tc>
        <w:tc>
          <w:tcPr>
            <w:tcW w:w="1417" w:type="dxa"/>
            <w:tcBorders>
              <w:top w:val="single" w:sz="4" w:space="0" w:color="auto"/>
              <w:left w:val="single" w:sz="4" w:space="0" w:color="auto"/>
              <w:bottom w:val="single" w:sz="4" w:space="0" w:color="auto"/>
              <w:right w:val="single" w:sz="4" w:space="0" w:color="auto"/>
            </w:tcBorders>
          </w:tcPr>
          <w:p w:rsidR="003D03F3" w:rsidRDefault="003D03F3">
            <w:pPr>
              <w:rPr>
                <w:rFonts w:ascii="Arial" w:hAnsi="Arial" w:cs="Arial"/>
                <w:sz w:val="16"/>
                <w:szCs w:val="16"/>
                <w:lang w:eastAsia="en-US"/>
              </w:rPr>
            </w:pPr>
            <w:r>
              <w:rPr>
                <w:rFonts w:ascii="Arial" w:hAnsi="Arial" w:cs="Arial"/>
                <w:sz w:val="16"/>
                <w:szCs w:val="16"/>
                <w:lang w:eastAsia="en-US"/>
              </w:rPr>
              <w:t>таблетки гастрорезистентні по 40 мг, по 14 таблеток у блістері; по 1 або 2 блістери в картонній коробці</w:t>
            </w:r>
          </w:p>
          <w:p w:rsidR="003D03F3" w:rsidRDefault="003D03F3">
            <w:pPr>
              <w:rPr>
                <w:rFonts w:ascii="Arial" w:hAnsi="Arial" w:cs="Arial"/>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3D03F3" w:rsidRDefault="003D03F3">
            <w:pPr>
              <w:ind w:left="170"/>
              <w:jc w:val="center"/>
              <w:rPr>
                <w:rFonts w:ascii="Arial" w:hAnsi="Arial" w:cs="Arial"/>
                <w:sz w:val="16"/>
                <w:szCs w:val="16"/>
                <w:lang w:eastAsia="en-US"/>
              </w:rPr>
            </w:pPr>
            <w:r>
              <w:rPr>
                <w:rFonts w:ascii="Arial" w:hAnsi="Arial" w:cs="Arial"/>
                <w:sz w:val="16"/>
                <w:szCs w:val="16"/>
                <w:lang w:eastAsia="en-US"/>
              </w:rPr>
              <w:t>Такеда ГмбХ</w:t>
            </w:r>
          </w:p>
        </w:tc>
        <w:tc>
          <w:tcPr>
            <w:tcW w:w="1134" w:type="dxa"/>
            <w:tcBorders>
              <w:top w:val="single" w:sz="4" w:space="0" w:color="auto"/>
              <w:left w:val="single" w:sz="4" w:space="0" w:color="auto"/>
              <w:bottom w:val="single" w:sz="4" w:space="0" w:color="auto"/>
              <w:right w:val="single" w:sz="4" w:space="0" w:color="auto"/>
            </w:tcBorders>
          </w:tcPr>
          <w:p w:rsidR="003D03F3" w:rsidRDefault="003D03F3">
            <w:pPr>
              <w:jc w:val="center"/>
              <w:rPr>
                <w:rFonts w:ascii="Arial" w:hAnsi="Arial" w:cs="Arial"/>
                <w:sz w:val="16"/>
                <w:szCs w:val="16"/>
                <w:lang w:eastAsia="en-US"/>
              </w:rPr>
            </w:pPr>
            <w:r>
              <w:rPr>
                <w:rFonts w:ascii="Arial" w:hAnsi="Arial" w:cs="Arial"/>
                <w:sz w:val="16"/>
                <w:szCs w:val="16"/>
                <w:lang w:eastAsia="en-US"/>
              </w:rPr>
              <w:t>Німеччина</w:t>
            </w:r>
          </w:p>
          <w:p w:rsidR="003D03F3" w:rsidRDefault="003D03F3">
            <w:pPr>
              <w:jc w:val="center"/>
              <w:rPr>
                <w:rFonts w:ascii="Arial" w:hAnsi="Arial" w:cs="Arial"/>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3D03F3" w:rsidRDefault="003D03F3">
            <w:pPr>
              <w:pStyle w:val="135"/>
              <w:ind w:firstLine="0"/>
              <w:jc w:val="center"/>
              <w:rPr>
                <w:rFonts w:cs="Arial"/>
                <w:b w:val="0"/>
                <w:iCs/>
                <w:sz w:val="16"/>
                <w:szCs w:val="16"/>
                <w:lang w:eastAsia="en-US"/>
              </w:rPr>
            </w:pPr>
            <w:r>
              <w:rPr>
                <w:rFonts w:cs="Arial"/>
                <w:b w:val="0"/>
                <w:sz w:val="16"/>
                <w:szCs w:val="16"/>
                <w:lang w:eastAsia="en-US"/>
              </w:rPr>
              <w:t>Адванс Фарма ГмбХ, Німеччина (нанесення покриття на ядра таблеток); Такеда ГмбХ, місце виробництва Оранієнбург, Німеччина (виробництво за повним циклом)</w:t>
            </w:r>
          </w:p>
        </w:tc>
        <w:tc>
          <w:tcPr>
            <w:tcW w:w="1135" w:type="dxa"/>
            <w:tcBorders>
              <w:top w:val="single" w:sz="4" w:space="0" w:color="auto"/>
              <w:left w:val="single" w:sz="4" w:space="0" w:color="auto"/>
              <w:bottom w:val="single" w:sz="4" w:space="0" w:color="auto"/>
              <w:right w:val="single" w:sz="4" w:space="0" w:color="auto"/>
            </w:tcBorders>
            <w:hideMark/>
          </w:tcPr>
          <w:p w:rsidR="003D03F3" w:rsidRDefault="003D03F3">
            <w:pPr>
              <w:pStyle w:val="af"/>
              <w:ind w:left="0"/>
              <w:jc w:val="center"/>
              <w:rPr>
                <w:rFonts w:ascii="Arial" w:hAnsi="Arial" w:cs="Arial"/>
                <w:b/>
                <w:sz w:val="16"/>
                <w:szCs w:val="16"/>
                <w:lang w:eastAsia="en-US"/>
              </w:rPr>
            </w:pPr>
            <w:r>
              <w:rPr>
                <w:rFonts w:ascii="Arial" w:hAnsi="Arial" w:cs="Arial"/>
                <w:sz w:val="16"/>
                <w:szCs w:val="16"/>
                <w:lang w:eastAsia="en-US"/>
              </w:rPr>
              <w:t>Німеччина</w:t>
            </w:r>
          </w:p>
        </w:tc>
        <w:tc>
          <w:tcPr>
            <w:tcW w:w="1134" w:type="dxa"/>
            <w:tcBorders>
              <w:top w:val="single" w:sz="4" w:space="0" w:color="auto"/>
              <w:left w:val="single" w:sz="4" w:space="0" w:color="auto"/>
              <w:bottom w:val="single" w:sz="4" w:space="0" w:color="auto"/>
              <w:right w:val="single" w:sz="4" w:space="0" w:color="auto"/>
            </w:tcBorders>
            <w:hideMark/>
          </w:tcPr>
          <w:p w:rsidR="003D03F3" w:rsidRDefault="003D03F3">
            <w:pPr>
              <w:pStyle w:val="135"/>
              <w:ind w:firstLine="0"/>
              <w:jc w:val="left"/>
              <w:rPr>
                <w:rFonts w:cs="Arial"/>
                <w:b w:val="0"/>
                <w:iCs/>
                <w:sz w:val="16"/>
                <w:szCs w:val="16"/>
                <w:lang w:val="en-US" w:eastAsia="en-US"/>
              </w:rPr>
            </w:pPr>
            <w:r>
              <w:rPr>
                <w:rFonts w:cs="Arial"/>
                <w:b w:val="0"/>
                <w:iCs/>
                <w:sz w:val="16"/>
                <w:szCs w:val="16"/>
                <w:lang w:eastAsia="en-US"/>
              </w:rPr>
              <w:t xml:space="preserve">засідання </w:t>
            </w:r>
            <w:r>
              <w:rPr>
                <w:rFonts w:cs="Arial"/>
                <w:b w:val="0"/>
                <w:iCs/>
                <w:sz w:val="16"/>
                <w:szCs w:val="16"/>
                <w:lang w:val="en-US" w:eastAsia="en-US"/>
              </w:rPr>
              <w:t>НТР № 18 від 18.05.2023</w:t>
            </w:r>
          </w:p>
        </w:tc>
        <w:tc>
          <w:tcPr>
            <w:tcW w:w="6095" w:type="dxa"/>
            <w:tcBorders>
              <w:top w:val="single" w:sz="4" w:space="0" w:color="auto"/>
              <w:left w:val="single" w:sz="4" w:space="0" w:color="auto"/>
              <w:bottom w:val="single" w:sz="4" w:space="0" w:color="auto"/>
              <w:right w:val="single" w:sz="4" w:space="0" w:color="auto"/>
            </w:tcBorders>
          </w:tcPr>
          <w:p w:rsidR="003D03F3" w:rsidRDefault="003D03F3">
            <w:pPr>
              <w:pStyle w:val="af"/>
              <w:spacing w:after="0"/>
              <w:ind w:left="0"/>
              <w:jc w:val="both"/>
              <w:rPr>
                <w:rFonts w:ascii="Arial" w:hAnsi="Arial" w:cs="Arial"/>
                <w:sz w:val="16"/>
                <w:szCs w:val="16"/>
                <w:lang w:eastAsia="en-US"/>
              </w:rPr>
            </w:pPr>
            <w:r>
              <w:rPr>
                <w:rFonts w:ascii="Arial" w:hAnsi="Arial" w:cs="Arial"/>
                <w:b/>
                <w:sz w:val="16"/>
                <w:szCs w:val="16"/>
                <w:lang w:val="uk-UA" w:eastAsia="en-US"/>
              </w:rPr>
              <w:t>Відмовити у</w:t>
            </w:r>
            <w:r w:rsidRPr="003D03F3">
              <w:rPr>
                <w:rFonts w:ascii="Arial" w:hAnsi="Arial" w:cs="Arial"/>
                <w:b/>
                <w:sz w:val="16"/>
                <w:szCs w:val="16"/>
                <w:lang w:val="en-US" w:eastAsia="en-US"/>
              </w:rPr>
              <w:t xml:space="preserve"> </w:t>
            </w:r>
            <w:r>
              <w:rPr>
                <w:rFonts w:ascii="Arial" w:hAnsi="Arial" w:cs="Arial"/>
                <w:b/>
                <w:sz w:val="16"/>
                <w:szCs w:val="16"/>
                <w:lang w:eastAsia="en-US"/>
              </w:rPr>
              <w:t>затвердженн</w:t>
            </w:r>
            <w:r>
              <w:rPr>
                <w:rFonts w:ascii="Arial" w:hAnsi="Arial" w:cs="Arial"/>
                <w:b/>
                <w:sz w:val="16"/>
                <w:szCs w:val="16"/>
                <w:lang w:val="uk-UA" w:eastAsia="en-US"/>
              </w:rPr>
              <w:t>і</w:t>
            </w:r>
            <w:r>
              <w:rPr>
                <w:rFonts w:ascii="Arial" w:hAnsi="Arial" w:cs="Arial"/>
                <w:b/>
                <w:sz w:val="16"/>
                <w:szCs w:val="16"/>
                <w:lang w:val="en-US" w:eastAsia="en-US"/>
              </w:rPr>
              <w:t xml:space="preserve"> </w:t>
            </w:r>
            <w:r>
              <w:rPr>
                <w:rFonts w:ascii="Arial" w:hAnsi="Arial" w:cs="Arial"/>
                <w:b/>
                <w:sz w:val="16"/>
                <w:szCs w:val="16"/>
                <w:lang w:val="uk-UA" w:eastAsia="en-US"/>
              </w:rPr>
              <w:t xml:space="preserve"> - </w:t>
            </w:r>
            <w:r>
              <w:rPr>
                <w:rFonts w:ascii="Arial" w:hAnsi="Arial" w:cs="Arial"/>
                <w:b/>
                <w:sz w:val="16"/>
                <w:szCs w:val="16"/>
                <w:lang w:eastAsia="en-US"/>
              </w:rPr>
              <w:t>внесення</w:t>
            </w:r>
            <w:r>
              <w:rPr>
                <w:rFonts w:ascii="Arial" w:hAnsi="Arial" w:cs="Arial"/>
                <w:b/>
                <w:sz w:val="16"/>
                <w:szCs w:val="16"/>
                <w:lang w:val="en-US" w:eastAsia="en-US"/>
              </w:rPr>
              <w:t xml:space="preserve"> </w:t>
            </w:r>
            <w:r>
              <w:rPr>
                <w:rFonts w:ascii="Arial" w:hAnsi="Arial" w:cs="Arial"/>
                <w:b/>
                <w:sz w:val="16"/>
                <w:szCs w:val="16"/>
                <w:lang w:eastAsia="en-US"/>
              </w:rPr>
              <w:t>змін</w:t>
            </w:r>
            <w:r>
              <w:rPr>
                <w:rFonts w:ascii="Arial" w:hAnsi="Arial" w:cs="Arial"/>
                <w:b/>
                <w:sz w:val="16"/>
                <w:szCs w:val="16"/>
                <w:lang w:val="uk-UA" w:eastAsia="en-US"/>
              </w:rPr>
              <w:t xml:space="preserve"> </w:t>
            </w:r>
            <w:r>
              <w:rPr>
                <w:rFonts w:ascii="Arial" w:hAnsi="Arial" w:cs="Arial"/>
                <w:b/>
                <w:sz w:val="16"/>
                <w:szCs w:val="16"/>
                <w:lang w:eastAsia="en-US"/>
              </w:rPr>
              <w:t>у</w:t>
            </w:r>
            <w:r>
              <w:rPr>
                <w:rFonts w:ascii="Arial" w:hAnsi="Arial" w:cs="Arial"/>
                <w:b/>
                <w:sz w:val="16"/>
                <w:szCs w:val="16"/>
                <w:lang w:val="en-US" w:eastAsia="en-US"/>
              </w:rPr>
              <w:t xml:space="preserve"> </w:t>
            </w:r>
            <w:r>
              <w:rPr>
                <w:rFonts w:ascii="Arial" w:hAnsi="Arial" w:cs="Arial"/>
                <w:b/>
                <w:sz w:val="16"/>
                <w:szCs w:val="16"/>
                <w:lang w:eastAsia="en-US"/>
              </w:rPr>
              <w:t>зв</w:t>
            </w:r>
            <w:r>
              <w:rPr>
                <w:rFonts w:ascii="Arial" w:hAnsi="Arial" w:cs="Arial"/>
                <w:b/>
                <w:sz w:val="16"/>
                <w:szCs w:val="16"/>
                <w:lang w:val="en-US" w:eastAsia="en-US"/>
              </w:rPr>
              <w:t>'</w:t>
            </w:r>
            <w:r>
              <w:rPr>
                <w:rFonts w:ascii="Arial" w:hAnsi="Arial" w:cs="Arial"/>
                <w:b/>
                <w:sz w:val="16"/>
                <w:szCs w:val="16"/>
                <w:lang w:eastAsia="en-US"/>
              </w:rPr>
              <w:t>язку</w:t>
            </w:r>
            <w:r>
              <w:rPr>
                <w:rFonts w:ascii="Arial" w:hAnsi="Arial" w:cs="Arial"/>
                <w:b/>
                <w:sz w:val="16"/>
                <w:szCs w:val="16"/>
                <w:lang w:val="en-US" w:eastAsia="en-US"/>
              </w:rPr>
              <w:t xml:space="preserve"> </w:t>
            </w:r>
            <w:r>
              <w:rPr>
                <w:rFonts w:ascii="Arial" w:hAnsi="Arial" w:cs="Arial"/>
                <w:b/>
                <w:sz w:val="16"/>
                <w:szCs w:val="16"/>
                <w:lang w:eastAsia="en-US"/>
              </w:rPr>
              <w:t>із</w:t>
            </w:r>
            <w:r>
              <w:rPr>
                <w:rFonts w:ascii="Arial" w:hAnsi="Arial" w:cs="Arial"/>
                <w:b/>
                <w:sz w:val="16"/>
                <w:szCs w:val="16"/>
                <w:lang w:val="en-US" w:eastAsia="en-US"/>
              </w:rPr>
              <w:t xml:space="preserve"> </w:t>
            </w:r>
            <w:r>
              <w:rPr>
                <w:rFonts w:ascii="Arial" w:hAnsi="Arial" w:cs="Arial"/>
                <w:b/>
                <w:sz w:val="16"/>
                <w:szCs w:val="16"/>
                <w:lang w:eastAsia="en-US"/>
              </w:rPr>
              <w:t>надходженням</w:t>
            </w:r>
            <w:r>
              <w:rPr>
                <w:rFonts w:ascii="Arial" w:hAnsi="Arial" w:cs="Arial"/>
                <w:b/>
                <w:sz w:val="16"/>
                <w:szCs w:val="16"/>
                <w:lang w:val="en-US" w:eastAsia="en-US"/>
              </w:rPr>
              <w:t xml:space="preserve"> </w:t>
            </w:r>
            <w:r>
              <w:rPr>
                <w:rFonts w:ascii="Arial" w:hAnsi="Arial" w:cs="Arial"/>
                <w:b/>
                <w:sz w:val="16"/>
                <w:szCs w:val="16"/>
                <w:lang w:eastAsia="en-US"/>
              </w:rPr>
              <w:t>інформації</w:t>
            </w:r>
            <w:r>
              <w:rPr>
                <w:rFonts w:ascii="Arial" w:hAnsi="Arial" w:cs="Arial"/>
                <w:b/>
                <w:sz w:val="16"/>
                <w:szCs w:val="16"/>
                <w:lang w:val="en-US" w:eastAsia="en-US"/>
              </w:rPr>
              <w:t xml:space="preserve"> </w:t>
            </w:r>
            <w:r>
              <w:rPr>
                <w:rFonts w:ascii="Arial" w:hAnsi="Arial" w:cs="Arial"/>
                <w:b/>
                <w:sz w:val="16"/>
                <w:szCs w:val="16"/>
                <w:lang w:eastAsia="en-US"/>
              </w:rPr>
              <w:t>про</w:t>
            </w:r>
            <w:r>
              <w:rPr>
                <w:rFonts w:ascii="Arial" w:hAnsi="Arial" w:cs="Arial"/>
                <w:b/>
                <w:sz w:val="16"/>
                <w:szCs w:val="16"/>
                <w:lang w:val="en-US" w:eastAsia="en-US"/>
              </w:rPr>
              <w:t xml:space="preserve"> </w:t>
            </w:r>
            <w:r>
              <w:rPr>
                <w:rFonts w:ascii="Arial" w:hAnsi="Arial" w:cs="Arial"/>
                <w:b/>
                <w:sz w:val="16"/>
                <w:szCs w:val="16"/>
                <w:lang w:eastAsia="en-US"/>
              </w:rPr>
              <w:t>нову</w:t>
            </w:r>
            <w:r>
              <w:rPr>
                <w:rFonts w:ascii="Arial" w:hAnsi="Arial" w:cs="Arial"/>
                <w:b/>
                <w:sz w:val="16"/>
                <w:szCs w:val="16"/>
                <w:lang w:val="en-US" w:eastAsia="en-US"/>
              </w:rPr>
              <w:t xml:space="preserve"> </w:t>
            </w:r>
            <w:r>
              <w:rPr>
                <w:rFonts w:ascii="Arial" w:hAnsi="Arial" w:cs="Arial"/>
                <w:b/>
                <w:sz w:val="16"/>
                <w:szCs w:val="16"/>
                <w:lang w:eastAsia="en-US"/>
              </w:rPr>
              <w:t>контактну</w:t>
            </w:r>
            <w:r>
              <w:rPr>
                <w:rFonts w:ascii="Arial" w:hAnsi="Arial" w:cs="Arial"/>
                <w:b/>
                <w:sz w:val="16"/>
                <w:szCs w:val="16"/>
                <w:lang w:val="en-US" w:eastAsia="en-US"/>
              </w:rPr>
              <w:t xml:space="preserve"> </w:t>
            </w:r>
            <w:r>
              <w:rPr>
                <w:rFonts w:ascii="Arial" w:hAnsi="Arial" w:cs="Arial"/>
                <w:b/>
                <w:sz w:val="16"/>
                <w:szCs w:val="16"/>
                <w:lang w:eastAsia="en-US"/>
              </w:rPr>
              <w:t>особу</w:t>
            </w:r>
            <w:r>
              <w:rPr>
                <w:rFonts w:ascii="Arial" w:hAnsi="Arial" w:cs="Arial"/>
                <w:b/>
                <w:sz w:val="16"/>
                <w:szCs w:val="16"/>
                <w:lang w:val="en-US" w:eastAsia="en-US"/>
              </w:rPr>
              <w:t xml:space="preserve"> </w:t>
            </w:r>
            <w:r>
              <w:rPr>
                <w:rFonts w:ascii="Arial" w:hAnsi="Arial" w:cs="Arial"/>
                <w:b/>
                <w:sz w:val="16"/>
                <w:szCs w:val="16"/>
                <w:lang w:eastAsia="en-US"/>
              </w:rPr>
              <w:t>заявника</w:t>
            </w:r>
            <w:r>
              <w:rPr>
                <w:rFonts w:ascii="Arial" w:hAnsi="Arial" w:cs="Arial"/>
                <w:b/>
                <w:sz w:val="16"/>
                <w:szCs w:val="16"/>
                <w:lang w:val="en-US" w:eastAsia="en-US"/>
              </w:rPr>
              <w:t xml:space="preserve">, </w:t>
            </w:r>
            <w:r>
              <w:rPr>
                <w:rFonts w:ascii="Arial" w:hAnsi="Arial" w:cs="Arial"/>
                <w:b/>
                <w:sz w:val="16"/>
                <w:szCs w:val="16"/>
                <w:lang w:eastAsia="en-US"/>
              </w:rPr>
              <w:t>відповідальну</w:t>
            </w:r>
            <w:r>
              <w:rPr>
                <w:rFonts w:ascii="Arial" w:hAnsi="Arial" w:cs="Arial"/>
                <w:b/>
                <w:sz w:val="16"/>
                <w:szCs w:val="16"/>
                <w:lang w:val="en-US" w:eastAsia="en-US"/>
              </w:rPr>
              <w:t xml:space="preserve"> </w:t>
            </w:r>
            <w:r>
              <w:rPr>
                <w:rFonts w:ascii="Arial" w:hAnsi="Arial" w:cs="Arial"/>
                <w:b/>
                <w:sz w:val="16"/>
                <w:szCs w:val="16"/>
                <w:lang w:eastAsia="en-US"/>
              </w:rPr>
              <w:t>за</w:t>
            </w:r>
            <w:r>
              <w:rPr>
                <w:rFonts w:ascii="Arial" w:hAnsi="Arial" w:cs="Arial"/>
                <w:b/>
                <w:sz w:val="16"/>
                <w:szCs w:val="16"/>
                <w:lang w:val="en-US" w:eastAsia="en-US"/>
              </w:rPr>
              <w:t xml:space="preserve"> </w:t>
            </w:r>
            <w:r>
              <w:rPr>
                <w:rFonts w:ascii="Arial" w:hAnsi="Arial" w:cs="Arial"/>
                <w:b/>
                <w:sz w:val="16"/>
                <w:szCs w:val="16"/>
                <w:lang w:eastAsia="en-US"/>
              </w:rPr>
              <w:t>здійснення</w:t>
            </w:r>
            <w:r>
              <w:rPr>
                <w:rFonts w:ascii="Arial" w:hAnsi="Arial" w:cs="Arial"/>
                <w:b/>
                <w:sz w:val="16"/>
                <w:szCs w:val="16"/>
                <w:lang w:val="en-US" w:eastAsia="en-US"/>
              </w:rPr>
              <w:t xml:space="preserve"> </w:t>
            </w:r>
            <w:r>
              <w:rPr>
                <w:rFonts w:ascii="Arial" w:hAnsi="Arial" w:cs="Arial"/>
                <w:b/>
                <w:sz w:val="16"/>
                <w:szCs w:val="16"/>
                <w:lang w:eastAsia="en-US"/>
              </w:rPr>
              <w:t>фармаконагляду</w:t>
            </w:r>
            <w:r>
              <w:rPr>
                <w:rFonts w:ascii="Arial" w:hAnsi="Arial" w:cs="Arial"/>
                <w:b/>
                <w:sz w:val="16"/>
                <w:szCs w:val="16"/>
                <w:lang w:val="en-US" w:eastAsia="en-US"/>
              </w:rPr>
              <w:t xml:space="preserve"> </w:t>
            </w:r>
            <w:r>
              <w:rPr>
                <w:rFonts w:ascii="Arial" w:hAnsi="Arial" w:cs="Arial"/>
                <w:b/>
                <w:sz w:val="16"/>
                <w:szCs w:val="16"/>
                <w:lang w:eastAsia="en-US"/>
              </w:rPr>
              <w:t>в</w:t>
            </w:r>
            <w:r>
              <w:rPr>
                <w:rFonts w:ascii="Arial" w:hAnsi="Arial" w:cs="Arial"/>
                <w:b/>
                <w:sz w:val="16"/>
                <w:szCs w:val="16"/>
                <w:lang w:val="en-US" w:eastAsia="en-US"/>
              </w:rPr>
              <w:t xml:space="preserve"> </w:t>
            </w:r>
            <w:r>
              <w:rPr>
                <w:rFonts w:ascii="Arial" w:hAnsi="Arial" w:cs="Arial"/>
                <w:b/>
                <w:sz w:val="16"/>
                <w:szCs w:val="16"/>
                <w:lang w:eastAsia="en-US"/>
              </w:rPr>
              <w:t>Україні</w:t>
            </w:r>
            <w:r>
              <w:rPr>
                <w:rFonts w:ascii="Arial" w:hAnsi="Arial" w:cs="Arial"/>
                <w:b/>
                <w:sz w:val="16"/>
                <w:szCs w:val="16"/>
                <w:lang w:val="en-US" w:eastAsia="en-US"/>
              </w:rPr>
              <w:t xml:space="preserve"> (</w:t>
            </w:r>
            <w:r>
              <w:rPr>
                <w:rFonts w:ascii="Arial" w:hAnsi="Arial" w:cs="Arial"/>
                <w:b/>
                <w:sz w:val="16"/>
                <w:szCs w:val="16"/>
                <w:lang w:eastAsia="en-US"/>
              </w:rPr>
              <w:t>лист</w:t>
            </w:r>
            <w:r>
              <w:rPr>
                <w:rFonts w:ascii="Arial" w:hAnsi="Arial" w:cs="Arial"/>
                <w:b/>
                <w:sz w:val="16"/>
                <w:szCs w:val="16"/>
                <w:lang w:val="en-US" w:eastAsia="en-US"/>
              </w:rPr>
              <w:t xml:space="preserve"> </w:t>
            </w:r>
            <w:r>
              <w:rPr>
                <w:rFonts w:ascii="Arial" w:hAnsi="Arial" w:cs="Arial"/>
                <w:b/>
                <w:sz w:val="16"/>
                <w:szCs w:val="16"/>
                <w:lang w:eastAsia="en-US"/>
              </w:rPr>
              <w:t>від</w:t>
            </w:r>
            <w:r>
              <w:rPr>
                <w:rFonts w:ascii="Arial" w:hAnsi="Arial" w:cs="Arial"/>
                <w:b/>
                <w:sz w:val="16"/>
                <w:szCs w:val="16"/>
                <w:lang w:val="en-US" w:eastAsia="en-US"/>
              </w:rPr>
              <w:t xml:space="preserve"> </w:t>
            </w:r>
            <w:r>
              <w:rPr>
                <w:rFonts w:ascii="Arial" w:hAnsi="Arial" w:cs="Arial"/>
                <w:b/>
                <w:sz w:val="16"/>
                <w:szCs w:val="16"/>
                <w:lang w:eastAsia="en-US"/>
              </w:rPr>
              <w:t>заявника</w:t>
            </w:r>
            <w:r>
              <w:rPr>
                <w:rFonts w:ascii="Arial" w:hAnsi="Arial" w:cs="Arial"/>
                <w:b/>
                <w:sz w:val="16"/>
                <w:szCs w:val="16"/>
                <w:lang w:val="en-US" w:eastAsia="en-US"/>
              </w:rPr>
              <w:t xml:space="preserve"> </w:t>
            </w:r>
            <w:r>
              <w:rPr>
                <w:rFonts w:ascii="Arial" w:hAnsi="Arial" w:cs="Arial"/>
                <w:b/>
                <w:sz w:val="16"/>
                <w:szCs w:val="16"/>
                <w:lang w:eastAsia="en-US"/>
              </w:rPr>
              <w:t>Такеда</w:t>
            </w:r>
            <w:r>
              <w:rPr>
                <w:rFonts w:ascii="Arial" w:hAnsi="Arial" w:cs="Arial"/>
                <w:b/>
                <w:sz w:val="16"/>
                <w:szCs w:val="16"/>
                <w:lang w:val="en-US" w:eastAsia="en-US"/>
              </w:rPr>
              <w:t xml:space="preserve"> </w:t>
            </w:r>
            <w:r>
              <w:rPr>
                <w:rFonts w:ascii="Arial" w:hAnsi="Arial" w:cs="Arial"/>
                <w:b/>
                <w:sz w:val="16"/>
                <w:szCs w:val="16"/>
                <w:lang w:eastAsia="en-US"/>
              </w:rPr>
              <w:t>ГмбХ</w:t>
            </w:r>
            <w:r>
              <w:rPr>
                <w:rFonts w:ascii="Arial" w:hAnsi="Arial" w:cs="Arial"/>
                <w:b/>
                <w:sz w:val="16"/>
                <w:szCs w:val="16"/>
                <w:lang w:val="en-US" w:eastAsia="en-US"/>
              </w:rPr>
              <w:t xml:space="preserve">, </w:t>
            </w:r>
            <w:r>
              <w:rPr>
                <w:rFonts w:ascii="Arial" w:hAnsi="Arial" w:cs="Arial"/>
                <w:b/>
                <w:sz w:val="16"/>
                <w:szCs w:val="16"/>
                <w:lang w:eastAsia="en-US"/>
              </w:rPr>
              <w:t>Німеччина</w:t>
            </w:r>
            <w:r>
              <w:rPr>
                <w:rFonts w:ascii="Arial" w:hAnsi="Arial" w:cs="Arial"/>
                <w:b/>
                <w:sz w:val="16"/>
                <w:szCs w:val="16"/>
                <w:lang w:val="en-US" w:eastAsia="en-US"/>
              </w:rPr>
              <w:t xml:space="preserve"> №0231 /</w:t>
            </w:r>
            <w:r>
              <w:rPr>
                <w:rFonts w:ascii="Arial" w:hAnsi="Arial" w:cs="Arial"/>
                <w:b/>
                <w:sz w:val="16"/>
                <w:szCs w:val="16"/>
                <w:lang w:eastAsia="en-US"/>
              </w:rPr>
              <w:t>МД</w:t>
            </w:r>
            <w:r>
              <w:rPr>
                <w:rFonts w:ascii="Arial" w:hAnsi="Arial" w:cs="Arial"/>
                <w:b/>
                <w:sz w:val="16"/>
                <w:szCs w:val="16"/>
                <w:lang w:val="en-US" w:eastAsia="en-US"/>
              </w:rPr>
              <w:t xml:space="preserve"> </w:t>
            </w:r>
            <w:r>
              <w:rPr>
                <w:rFonts w:ascii="Arial" w:hAnsi="Arial" w:cs="Arial"/>
                <w:b/>
                <w:sz w:val="16"/>
                <w:szCs w:val="16"/>
                <w:lang w:eastAsia="en-US"/>
              </w:rPr>
              <w:t>від</w:t>
            </w:r>
            <w:r>
              <w:rPr>
                <w:rFonts w:ascii="Arial" w:hAnsi="Arial" w:cs="Arial"/>
                <w:b/>
                <w:sz w:val="16"/>
                <w:szCs w:val="16"/>
                <w:lang w:val="en-US" w:eastAsia="en-US"/>
              </w:rPr>
              <w:t xml:space="preserve"> 16.08.2022</w:t>
            </w:r>
            <w:r>
              <w:rPr>
                <w:rFonts w:ascii="Arial" w:hAnsi="Arial" w:cs="Arial"/>
                <w:b/>
                <w:sz w:val="16"/>
                <w:szCs w:val="16"/>
                <w:lang w:eastAsia="en-US"/>
              </w:rPr>
              <w:t>р</w:t>
            </w:r>
            <w:r>
              <w:rPr>
                <w:rFonts w:ascii="Arial" w:hAnsi="Arial" w:cs="Arial"/>
                <w:b/>
                <w:sz w:val="16"/>
                <w:szCs w:val="16"/>
                <w:lang w:val="en-US" w:eastAsia="en-US"/>
              </w:rPr>
              <w:t xml:space="preserve">.). </w:t>
            </w:r>
            <w:r>
              <w:rPr>
                <w:rFonts w:ascii="Arial" w:hAnsi="Arial" w:cs="Arial"/>
                <w:sz w:val="16"/>
                <w:szCs w:val="16"/>
                <w:lang w:eastAsia="en-US"/>
              </w:rPr>
              <w:t>Зміни</w:t>
            </w:r>
            <w:r>
              <w:rPr>
                <w:rFonts w:ascii="Arial" w:hAnsi="Arial" w:cs="Arial"/>
                <w:sz w:val="16"/>
                <w:szCs w:val="16"/>
                <w:lang w:val="en-US" w:eastAsia="en-US"/>
              </w:rPr>
              <w:t xml:space="preserve"> </w:t>
            </w:r>
            <w:r>
              <w:rPr>
                <w:rFonts w:ascii="Arial" w:hAnsi="Arial" w:cs="Arial"/>
                <w:sz w:val="16"/>
                <w:szCs w:val="16"/>
                <w:lang w:eastAsia="en-US"/>
              </w:rPr>
              <w:t>І</w:t>
            </w:r>
            <w:r>
              <w:rPr>
                <w:rFonts w:ascii="Arial" w:hAnsi="Arial" w:cs="Arial"/>
                <w:sz w:val="16"/>
                <w:szCs w:val="16"/>
                <w:lang w:val="en-US" w:eastAsia="en-US"/>
              </w:rPr>
              <w:t xml:space="preserve"> </w:t>
            </w:r>
            <w:r>
              <w:rPr>
                <w:rFonts w:ascii="Arial" w:hAnsi="Arial" w:cs="Arial"/>
                <w:sz w:val="16"/>
                <w:szCs w:val="16"/>
                <w:lang w:eastAsia="en-US"/>
              </w:rPr>
              <w:t>типу</w:t>
            </w:r>
            <w:r>
              <w:rPr>
                <w:rFonts w:ascii="Arial" w:hAnsi="Arial" w:cs="Arial"/>
                <w:sz w:val="16"/>
                <w:szCs w:val="16"/>
                <w:lang w:val="en-US" w:eastAsia="en-US"/>
              </w:rPr>
              <w:t xml:space="preserve"> - </w:t>
            </w:r>
            <w:r>
              <w:rPr>
                <w:rFonts w:ascii="Arial" w:hAnsi="Arial" w:cs="Arial"/>
                <w:sz w:val="16"/>
                <w:szCs w:val="16"/>
                <w:lang w:eastAsia="en-US"/>
              </w:rPr>
              <w:t>Зміни</w:t>
            </w:r>
            <w:r>
              <w:rPr>
                <w:rFonts w:ascii="Arial" w:hAnsi="Arial" w:cs="Arial"/>
                <w:sz w:val="16"/>
                <w:szCs w:val="16"/>
                <w:lang w:val="en-US" w:eastAsia="en-US"/>
              </w:rPr>
              <w:t xml:space="preserve"> </w:t>
            </w:r>
            <w:r>
              <w:rPr>
                <w:rFonts w:ascii="Arial" w:hAnsi="Arial" w:cs="Arial"/>
                <w:sz w:val="16"/>
                <w:szCs w:val="16"/>
                <w:lang w:eastAsia="en-US"/>
              </w:rPr>
              <w:t>щодо</w:t>
            </w:r>
            <w:r>
              <w:rPr>
                <w:rFonts w:ascii="Arial" w:hAnsi="Arial" w:cs="Arial"/>
                <w:sz w:val="16"/>
                <w:szCs w:val="16"/>
                <w:lang w:val="en-US" w:eastAsia="en-US"/>
              </w:rPr>
              <w:t xml:space="preserve"> </w:t>
            </w:r>
            <w:r>
              <w:rPr>
                <w:rFonts w:ascii="Arial" w:hAnsi="Arial" w:cs="Arial"/>
                <w:sz w:val="16"/>
                <w:szCs w:val="16"/>
                <w:lang w:eastAsia="en-US"/>
              </w:rPr>
              <w:t>безпеки</w:t>
            </w:r>
            <w:r>
              <w:rPr>
                <w:rFonts w:ascii="Arial" w:hAnsi="Arial" w:cs="Arial"/>
                <w:sz w:val="16"/>
                <w:szCs w:val="16"/>
                <w:lang w:val="en-US" w:eastAsia="en-US"/>
              </w:rPr>
              <w:t>/</w:t>
            </w:r>
            <w:r>
              <w:rPr>
                <w:rFonts w:ascii="Arial" w:hAnsi="Arial" w:cs="Arial"/>
                <w:sz w:val="16"/>
                <w:szCs w:val="16"/>
                <w:lang w:eastAsia="en-US"/>
              </w:rPr>
              <w:t>ефективності</w:t>
            </w:r>
            <w:r>
              <w:rPr>
                <w:rFonts w:ascii="Arial" w:hAnsi="Arial" w:cs="Arial"/>
                <w:sz w:val="16"/>
                <w:szCs w:val="16"/>
                <w:lang w:val="en-US" w:eastAsia="en-US"/>
              </w:rPr>
              <w:t xml:space="preserve"> </w:t>
            </w:r>
            <w:r>
              <w:rPr>
                <w:rFonts w:ascii="Arial" w:hAnsi="Arial" w:cs="Arial"/>
                <w:sz w:val="16"/>
                <w:szCs w:val="16"/>
                <w:lang w:eastAsia="en-US"/>
              </w:rPr>
              <w:t>та</w:t>
            </w:r>
            <w:r>
              <w:rPr>
                <w:rFonts w:ascii="Arial" w:hAnsi="Arial" w:cs="Arial"/>
                <w:sz w:val="16"/>
                <w:szCs w:val="16"/>
                <w:lang w:val="en-US" w:eastAsia="en-US"/>
              </w:rPr>
              <w:t xml:space="preserve"> </w:t>
            </w:r>
            <w:r>
              <w:rPr>
                <w:rFonts w:ascii="Arial" w:hAnsi="Arial" w:cs="Arial"/>
                <w:sz w:val="16"/>
                <w:szCs w:val="16"/>
                <w:lang w:eastAsia="en-US"/>
              </w:rPr>
              <w:t>фармаконагляду</w:t>
            </w:r>
            <w:r>
              <w:rPr>
                <w:rFonts w:ascii="Arial" w:hAnsi="Arial" w:cs="Arial"/>
                <w:sz w:val="16"/>
                <w:szCs w:val="16"/>
                <w:lang w:val="en-US" w:eastAsia="en-US"/>
              </w:rPr>
              <w:t xml:space="preserve">. </w:t>
            </w:r>
            <w:r>
              <w:rPr>
                <w:rFonts w:ascii="Arial" w:hAnsi="Arial" w:cs="Arial"/>
                <w:sz w:val="16"/>
                <w:szCs w:val="16"/>
                <w:lang w:eastAsia="en-US"/>
              </w:rPr>
              <w:t>Введення</w:t>
            </w:r>
            <w:r>
              <w:rPr>
                <w:rFonts w:ascii="Arial" w:hAnsi="Arial" w:cs="Arial"/>
                <w:sz w:val="16"/>
                <w:szCs w:val="16"/>
                <w:lang w:val="en-US" w:eastAsia="en-US"/>
              </w:rPr>
              <w:t xml:space="preserve"> </w:t>
            </w:r>
            <w:r>
              <w:rPr>
                <w:rFonts w:ascii="Arial" w:hAnsi="Arial" w:cs="Arial"/>
                <w:sz w:val="16"/>
                <w:szCs w:val="16"/>
                <w:lang w:eastAsia="en-US"/>
              </w:rPr>
              <w:t>або</w:t>
            </w:r>
            <w:r>
              <w:rPr>
                <w:rFonts w:ascii="Arial" w:hAnsi="Arial" w:cs="Arial"/>
                <w:sz w:val="16"/>
                <w:szCs w:val="16"/>
                <w:lang w:val="en-US" w:eastAsia="en-US"/>
              </w:rPr>
              <w:t xml:space="preserve"> </w:t>
            </w:r>
            <w:r>
              <w:rPr>
                <w:rFonts w:ascii="Arial" w:hAnsi="Arial" w:cs="Arial"/>
                <w:sz w:val="16"/>
                <w:szCs w:val="16"/>
                <w:lang w:eastAsia="en-US"/>
              </w:rPr>
              <w:t>зміни</w:t>
            </w:r>
            <w:r>
              <w:rPr>
                <w:rFonts w:ascii="Arial" w:hAnsi="Arial" w:cs="Arial"/>
                <w:sz w:val="16"/>
                <w:szCs w:val="16"/>
                <w:lang w:val="en-US" w:eastAsia="en-US"/>
              </w:rPr>
              <w:t xml:space="preserve"> </w:t>
            </w:r>
            <w:r>
              <w:rPr>
                <w:rFonts w:ascii="Arial" w:hAnsi="Arial" w:cs="Arial"/>
                <w:sz w:val="16"/>
                <w:szCs w:val="16"/>
                <w:lang w:eastAsia="en-US"/>
              </w:rPr>
              <w:t>до</w:t>
            </w:r>
            <w:r>
              <w:rPr>
                <w:rFonts w:ascii="Arial" w:hAnsi="Arial" w:cs="Arial"/>
                <w:sz w:val="16"/>
                <w:szCs w:val="16"/>
                <w:lang w:val="en-US" w:eastAsia="en-US"/>
              </w:rPr>
              <w:t xml:space="preserve"> </w:t>
            </w:r>
            <w:r>
              <w:rPr>
                <w:rFonts w:ascii="Arial" w:hAnsi="Arial" w:cs="Arial"/>
                <w:sz w:val="16"/>
                <w:szCs w:val="16"/>
                <w:lang w:eastAsia="en-US"/>
              </w:rPr>
              <w:t>узагальнених</w:t>
            </w:r>
            <w:r>
              <w:rPr>
                <w:rFonts w:ascii="Arial" w:hAnsi="Arial" w:cs="Arial"/>
                <w:sz w:val="16"/>
                <w:szCs w:val="16"/>
                <w:lang w:val="en-US" w:eastAsia="en-US"/>
              </w:rPr>
              <w:t xml:space="preserve"> </w:t>
            </w:r>
            <w:r>
              <w:rPr>
                <w:rFonts w:ascii="Arial" w:hAnsi="Arial" w:cs="Arial"/>
                <w:sz w:val="16"/>
                <w:szCs w:val="16"/>
                <w:lang w:eastAsia="en-US"/>
              </w:rPr>
              <w:t>даних</w:t>
            </w:r>
            <w:r>
              <w:rPr>
                <w:rFonts w:ascii="Arial" w:hAnsi="Arial" w:cs="Arial"/>
                <w:sz w:val="16"/>
                <w:szCs w:val="16"/>
                <w:lang w:val="en-US" w:eastAsia="en-US"/>
              </w:rPr>
              <w:t xml:space="preserve"> </w:t>
            </w:r>
            <w:r>
              <w:rPr>
                <w:rFonts w:ascii="Arial" w:hAnsi="Arial" w:cs="Arial"/>
                <w:sz w:val="16"/>
                <w:szCs w:val="16"/>
                <w:lang w:eastAsia="en-US"/>
              </w:rPr>
              <w:t>про</w:t>
            </w:r>
            <w:r>
              <w:rPr>
                <w:rFonts w:ascii="Arial" w:hAnsi="Arial" w:cs="Arial"/>
                <w:sz w:val="16"/>
                <w:szCs w:val="16"/>
                <w:lang w:val="en-US" w:eastAsia="en-US"/>
              </w:rPr>
              <w:t xml:space="preserve"> </w:t>
            </w:r>
            <w:r>
              <w:rPr>
                <w:rFonts w:ascii="Arial" w:hAnsi="Arial" w:cs="Arial"/>
                <w:sz w:val="16"/>
                <w:szCs w:val="16"/>
                <w:lang w:eastAsia="en-US"/>
              </w:rPr>
              <w:t>систему</w:t>
            </w:r>
            <w:r>
              <w:rPr>
                <w:rFonts w:ascii="Arial" w:hAnsi="Arial" w:cs="Arial"/>
                <w:sz w:val="16"/>
                <w:szCs w:val="16"/>
                <w:lang w:val="en-US" w:eastAsia="en-US"/>
              </w:rPr>
              <w:t xml:space="preserve"> </w:t>
            </w:r>
            <w:r>
              <w:rPr>
                <w:rFonts w:ascii="Arial" w:hAnsi="Arial" w:cs="Arial"/>
                <w:sz w:val="16"/>
                <w:szCs w:val="16"/>
                <w:lang w:eastAsia="en-US"/>
              </w:rPr>
              <w:t>фармаконагляду</w:t>
            </w:r>
            <w:r>
              <w:rPr>
                <w:rFonts w:ascii="Arial" w:hAnsi="Arial" w:cs="Arial"/>
                <w:sz w:val="16"/>
                <w:szCs w:val="16"/>
                <w:lang w:val="en-US" w:eastAsia="en-US"/>
              </w:rPr>
              <w:t xml:space="preserve"> (</w:t>
            </w:r>
            <w:r>
              <w:rPr>
                <w:rFonts w:ascii="Arial" w:hAnsi="Arial" w:cs="Arial"/>
                <w:sz w:val="16"/>
                <w:szCs w:val="16"/>
                <w:lang w:eastAsia="en-US"/>
              </w:rPr>
              <w:t>введення</w:t>
            </w:r>
            <w:r>
              <w:rPr>
                <w:rFonts w:ascii="Arial" w:hAnsi="Arial" w:cs="Arial"/>
                <w:sz w:val="16"/>
                <w:szCs w:val="16"/>
                <w:lang w:val="en-US" w:eastAsia="en-US"/>
              </w:rPr>
              <w:t xml:space="preserve"> </w:t>
            </w:r>
            <w:r>
              <w:rPr>
                <w:rFonts w:ascii="Arial" w:hAnsi="Arial" w:cs="Arial"/>
                <w:sz w:val="16"/>
                <w:szCs w:val="16"/>
                <w:lang w:eastAsia="en-US"/>
              </w:rPr>
              <w:t>узагальнених</w:t>
            </w:r>
            <w:r>
              <w:rPr>
                <w:rFonts w:ascii="Arial" w:hAnsi="Arial" w:cs="Arial"/>
                <w:sz w:val="16"/>
                <w:szCs w:val="16"/>
                <w:lang w:val="en-US" w:eastAsia="en-US"/>
              </w:rPr>
              <w:t xml:space="preserve"> </w:t>
            </w:r>
            <w:r>
              <w:rPr>
                <w:rFonts w:ascii="Arial" w:hAnsi="Arial" w:cs="Arial"/>
                <w:sz w:val="16"/>
                <w:szCs w:val="16"/>
                <w:lang w:eastAsia="en-US"/>
              </w:rPr>
              <w:t>даних</w:t>
            </w:r>
            <w:r>
              <w:rPr>
                <w:rFonts w:ascii="Arial" w:hAnsi="Arial" w:cs="Arial"/>
                <w:sz w:val="16"/>
                <w:szCs w:val="16"/>
                <w:lang w:val="en-US" w:eastAsia="en-US"/>
              </w:rPr>
              <w:t xml:space="preserve"> </w:t>
            </w:r>
            <w:r>
              <w:rPr>
                <w:rFonts w:ascii="Arial" w:hAnsi="Arial" w:cs="Arial"/>
                <w:sz w:val="16"/>
                <w:szCs w:val="16"/>
                <w:lang w:eastAsia="en-US"/>
              </w:rPr>
              <w:t>про</w:t>
            </w:r>
            <w:r>
              <w:rPr>
                <w:rFonts w:ascii="Arial" w:hAnsi="Arial" w:cs="Arial"/>
                <w:sz w:val="16"/>
                <w:szCs w:val="16"/>
                <w:lang w:val="en-US" w:eastAsia="en-US"/>
              </w:rPr>
              <w:t xml:space="preserve"> </w:t>
            </w:r>
            <w:r>
              <w:rPr>
                <w:rFonts w:ascii="Arial" w:hAnsi="Arial" w:cs="Arial"/>
                <w:sz w:val="16"/>
                <w:szCs w:val="16"/>
                <w:lang w:eastAsia="en-US"/>
              </w:rPr>
              <w:t>систему</w:t>
            </w:r>
            <w:r>
              <w:rPr>
                <w:rFonts w:ascii="Arial" w:hAnsi="Arial" w:cs="Arial"/>
                <w:sz w:val="16"/>
                <w:szCs w:val="16"/>
                <w:lang w:val="en-US" w:eastAsia="en-US"/>
              </w:rPr>
              <w:t xml:space="preserve"> </w:t>
            </w:r>
            <w:r>
              <w:rPr>
                <w:rFonts w:ascii="Arial" w:hAnsi="Arial" w:cs="Arial"/>
                <w:sz w:val="16"/>
                <w:szCs w:val="16"/>
                <w:lang w:eastAsia="en-US"/>
              </w:rPr>
              <w:t>фармаконагляду</w:t>
            </w:r>
            <w:r>
              <w:rPr>
                <w:rFonts w:ascii="Arial" w:hAnsi="Arial" w:cs="Arial"/>
                <w:sz w:val="16"/>
                <w:szCs w:val="16"/>
                <w:lang w:val="en-US" w:eastAsia="en-US"/>
              </w:rPr>
              <w:t xml:space="preserve">, </w:t>
            </w:r>
            <w:r>
              <w:rPr>
                <w:rFonts w:ascii="Arial" w:hAnsi="Arial" w:cs="Arial"/>
                <w:sz w:val="16"/>
                <w:szCs w:val="16"/>
                <w:lang w:eastAsia="en-US"/>
              </w:rPr>
              <w:t>зміна</w:t>
            </w:r>
            <w:r>
              <w:rPr>
                <w:rFonts w:ascii="Arial" w:hAnsi="Arial" w:cs="Arial"/>
                <w:sz w:val="16"/>
                <w:szCs w:val="16"/>
                <w:lang w:val="en-US" w:eastAsia="en-US"/>
              </w:rPr>
              <w:t xml:space="preserve"> </w:t>
            </w:r>
            <w:r>
              <w:rPr>
                <w:rFonts w:ascii="Arial" w:hAnsi="Arial" w:cs="Arial"/>
                <w:sz w:val="16"/>
                <w:szCs w:val="16"/>
                <w:lang w:eastAsia="en-US"/>
              </w:rPr>
              <w:t>уповноваженої</w:t>
            </w:r>
            <w:r>
              <w:rPr>
                <w:rFonts w:ascii="Arial" w:hAnsi="Arial" w:cs="Arial"/>
                <w:sz w:val="16"/>
                <w:szCs w:val="16"/>
                <w:lang w:val="en-US" w:eastAsia="en-US"/>
              </w:rPr>
              <w:t xml:space="preserve"> </w:t>
            </w:r>
            <w:r>
              <w:rPr>
                <w:rFonts w:ascii="Arial" w:hAnsi="Arial" w:cs="Arial"/>
                <w:sz w:val="16"/>
                <w:szCs w:val="16"/>
                <w:lang w:eastAsia="en-US"/>
              </w:rPr>
              <w:t>особи</w:t>
            </w:r>
            <w:r>
              <w:rPr>
                <w:rFonts w:ascii="Arial" w:hAnsi="Arial" w:cs="Arial"/>
                <w:sz w:val="16"/>
                <w:szCs w:val="16"/>
                <w:lang w:val="en-US" w:eastAsia="en-US"/>
              </w:rPr>
              <w:t xml:space="preserve">, </w:t>
            </w:r>
            <w:r>
              <w:rPr>
                <w:rFonts w:ascii="Arial" w:hAnsi="Arial" w:cs="Arial"/>
                <w:sz w:val="16"/>
                <w:szCs w:val="16"/>
                <w:lang w:eastAsia="en-US"/>
              </w:rPr>
              <w:t>відповідальної</w:t>
            </w:r>
            <w:r>
              <w:rPr>
                <w:rFonts w:ascii="Arial" w:hAnsi="Arial" w:cs="Arial"/>
                <w:sz w:val="16"/>
                <w:szCs w:val="16"/>
                <w:lang w:val="en-US" w:eastAsia="en-US"/>
              </w:rPr>
              <w:t xml:space="preserve"> </w:t>
            </w:r>
            <w:r>
              <w:rPr>
                <w:rFonts w:ascii="Arial" w:hAnsi="Arial" w:cs="Arial"/>
                <w:sz w:val="16"/>
                <w:szCs w:val="16"/>
                <w:lang w:eastAsia="en-US"/>
              </w:rPr>
              <w:t>за</w:t>
            </w:r>
            <w:r>
              <w:rPr>
                <w:rFonts w:ascii="Arial" w:hAnsi="Arial" w:cs="Arial"/>
                <w:sz w:val="16"/>
                <w:szCs w:val="16"/>
                <w:lang w:val="en-US" w:eastAsia="en-US"/>
              </w:rPr>
              <w:t xml:space="preserve"> </w:t>
            </w:r>
            <w:r>
              <w:rPr>
                <w:rFonts w:ascii="Arial" w:hAnsi="Arial" w:cs="Arial"/>
                <w:sz w:val="16"/>
                <w:szCs w:val="16"/>
                <w:lang w:eastAsia="en-US"/>
              </w:rPr>
              <w:t>здійснення</w:t>
            </w:r>
            <w:r>
              <w:rPr>
                <w:rFonts w:ascii="Arial" w:hAnsi="Arial" w:cs="Arial"/>
                <w:sz w:val="16"/>
                <w:szCs w:val="16"/>
                <w:lang w:val="en-US" w:eastAsia="en-US"/>
              </w:rPr>
              <w:t xml:space="preserve"> </w:t>
            </w:r>
            <w:r>
              <w:rPr>
                <w:rFonts w:ascii="Arial" w:hAnsi="Arial" w:cs="Arial"/>
                <w:sz w:val="16"/>
                <w:szCs w:val="16"/>
                <w:lang w:eastAsia="en-US"/>
              </w:rPr>
              <w:t>фармаконагляду</w:t>
            </w:r>
            <w:r>
              <w:rPr>
                <w:rFonts w:ascii="Arial" w:hAnsi="Arial" w:cs="Arial"/>
                <w:sz w:val="16"/>
                <w:szCs w:val="16"/>
                <w:lang w:val="en-US" w:eastAsia="en-US"/>
              </w:rPr>
              <w:t xml:space="preserve">; </w:t>
            </w:r>
            <w:r>
              <w:rPr>
                <w:rFonts w:ascii="Arial" w:hAnsi="Arial" w:cs="Arial"/>
                <w:sz w:val="16"/>
                <w:szCs w:val="16"/>
                <w:lang w:eastAsia="en-US"/>
              </w:rPr>
              <w:t>контактної</w:t>
            </w:r>
            <w:r>
              <w:rPr>
                <w:rFonts w:ascii="Arial" w:hAnsi="Arial" w:cs="Arial"/>
                <w:sz w:val="16"/>
                <w:szCs w:val="16"/>
                <w:lang w:val="en-US" w:eastAsia="en-US"/>
              </w:rPr>
              <w:t xml:space="preserve"> </w:t>
            </w:r>
            <w:r>
              <w:rPr>
                <w:rFonts w:ascii="Arial" w:hAnsi="Arial" w:cs="Arial"/>
                <w:sz w:val="16"/>
                <w:szCs w:val="16"/>
                <w:lang w:eastAsia="en-US"/>
              </w:rPr>
              <w:t>особи</w:t>
            </w:r>
            <w:r>
              <w:rPr>
                <w:rFonts w:ascii="Arial" w:hAnsi="Arial" w:cs="Arial"/>
                <w:sz w:val="16"/>
                <w:szCs w:val="16"/>
                <w:lang w:val="en-US" w:eastAsia="en-US"/>
              </w:rPr>
              <w:t xml:space="preserve"> </w:t>
            </w:r>
            <w:r>
              <w:rPr>
                <w:rFonts w:ascii="Arial" w:hAnsi="Arial" w:cs="Arial"/>
                <w:sz w:val="16"/>
                <w:szCs w:val="16"/>
                <w:lang w:eastAsia="en-US"/>
              </w:rPr>
              <w:t>з</w:t>
            </w:r>
            <w:r>
              <w:rPr>
                <w:rFonts w:ascii="Arial" w:hAnsi="Arial" w:cs="Arial"/>
                <w:sz w:val="16"/>
                <w:szCs w:val="16"/>
                <w:lang w:val="en-US" w:eastAsia="en-US"/>
              </w:rPr>
              <w:t xml:space="preserve"> </w:t>
            </w:r>
            <w:r>
              <w:rPr>
                <w:rFonts w:ascii="Arial" w:hAnsi="Arial" w:cs="Arial"/>
                <w:sz w:val="16"/>
                <w:szCs w:val="16"/>
                <w:lang w:eastAsia="en-US"/>
              </w:rPr>
              <w:t>фармаконагляду</w:t>
            </w:r>
            <w:r>
              <w:rPr>
                <w:rFonts w:ascii="Arial" w:hAnsi="Arial" w:cs="Arial"/>
                <w:sz w:val="16"/>
                <w:szCs w:val="16"/>
                <w:lang w:val="en-US" w:eastAsia="en-US"/>
              </w:rPr>
              <w:t xml:space="preserve"> </w:t>
            </w:r>
            <w:r>
              <w:rPr>
                <w:rFonts w:ascii="Arial" w:hAnsi="Arial" w:cs="Arial"/>
                <w:sz w:val="16"/>
                <w:szCs w:val="16"/>
                <w:lang w:eastAsia="en-US"/>
              </w:rPr>
              <w:t>заявника</w:t>
            </w:r>
            <w:r>
              <w:rPr>
                <w:rFonts w:ascii="Arial" w:hAnsi="Arial" w:cs="Arial"/>
                <w:sz w:val="16"/>
                <w:szCs w:val="16"/>
                <w:lang w:val="en-US" w:eastAsia="en-US"/>
              </w:rPr>
              <w:t xml:space="preserve"> </w:t>
            </w:r>
            <w:r>
              <w:rPr>
                <w:rFonts w:ascii="Arial" w:hAnsi="Arial" w:cs="Arial"/>
                <w:sz w:val="16"/>
                <w:szCs w:val="16"/>
                <w:lang w:eastAsia="en-US"/>
              </w:rPr>
              <w:t>для</w:t>
            </w:r>
            <w:r>
              <w:rPr>
                <w:rFonts w:ascii="Arial" w:hAnsi="Arial" w:cs="Arial"/>
                <w:sz w:val="16"/>
                <w:szCs w:val="16"/>
                <w:lang w:val="en-US" w:eastAsia="en-US"/>
              </w:rPr>
              <w:t xml:space="preserve"> </w:t>
            </w:r>
            <w:r>
              <w:rPr>
                <w:rFonts w:ascii="Arial" w:hAnsi="Arial" w:cs="Arial"/>
                <w:sz w:val="16"/>
                <w:szCs w:val="16"/>
                <w:lang w:eastAsia="en-US"/>
              </w:rPr>
              <w:t>здійснення</w:t>
            </w:r>
            <w:r>
              <w:rPr>
                <w:rFonts w:ascii="Arial" w:hAnsi="Arial" w:cs="Arial"/>
                <w:sz w:val="16"/>
                <w:szCs w:val="16"/>
                <w:lang w:val="en-US" w:eastAsia="en-US"/>
              </w:rPr>
              <w:t xml:space="preserve"> </w:t>
            </w:r>
            <w:r>
              <w:rPr>
                <w:rFonts w:ascii="Arial" w:hAnsi="Arial" w:cs="Arial"/>
                <w:sz w:val="16"/>
                <w:szCs w:val="16"/>
                <w:lang w:eastAsia="en-US"/>
              </w:rPr>
              <w:t>фармаконагляду</w:t>
            </w:r>
            <w:r>
              <w:rPr>
                <w:rFonts w:ascii="Arial" w:hAnsi="Arial" w:cs="Arial"/>
                <w:sz w:val="16"/>
                <w:szCs w:val="16"/>
                <w:lang w:val="en-US" w:eastAsia="en-US"/>
              </w:rPr>
              <w:t xml:space="preserve"> </w:t>
            </w:r>
            <w:r>
              <w:rPr>
                <w:rFonts w:ascii="Arial" w:hAnsi="Arial" w:cs="Arial"/>
                <w:sz w:val="16"/>
                <w:szCs w:val="16"/>
                <w:lang w:eastAsia="en-US"/>
              </w:rPr>
              <w:t>в</w:t>
            </w:r>
            <w:r>
              <w:rPr>
                <w:rFonts w:ascii="Arial" w:hAnsi="Arial" w:cs="Arial"/>
                <w:sz w:val="16"/>
                <w:szCs w:val="16"/>
                <w:lang w:val="en-US" w:eastAsia="en-US"/>
              </w:rPr>
              <w:t xml:space="preserve"> </w:t>
            </w:r>
            <w:r>
              <w:rPr>
                <w:rFonts w:ascii="Arial" w:hAnsi="Arial" w:cs="Arial"/>
                <w:sz w:val="16"/>
                <w:szCs w:val="16"/>
                <w:lang w:eastAsia="en-US"/>
              </w:rPr>
              <w:t>Україні</w:t>
            </w:r>
            <w:r>
              <w:rPr>
                <w:rFonts w:ascii="Arial" w:hAnsi="Arial" w:cs="Arial"/>
                <w:sz w:val="16"/>
                <w:szCs w:val="16"/>
                <w:lang w:val="en-US" w:eastAsia="en-US"/>
              </w:rPr>
              <w:t xml:space="preserve">, </w:t>
            </w:r>
            <w:r>
              <w:rPr>
                <w:rFonts w:ascii="Arial" w:hAnsi="Arial" w:cs="Arial"/>
                <w:sz w:val="16"/>
                <w:szCs w:val="16"/>
                <w:lang w:eastAsia="en-US"/>
              </w:rPr>
              <w:t>якщо</w:t>
            </w:r>
            <w:r>
              <w:rPr>
                <w:rFonts w:ascii="Arial" w:hAnsi="Arial" w:cs="Arial"/>
                <w:sz w:val="16"/>
                <w:szCs w:val="16"/>
                <w:lang w:val="en-US" w:eastAsia="en-US"/>
              </w:rPr>
              <w:t xml:space="preserve"> </w:t>
            </w:r>
            <w:r>
              <w:rPr>
                <w:rFonts w:ascii="Arial" w:hAnsi="Arial" w:cs="Arial"/>
                <w:sz w:val="16"/>
                <w:szCs w:val="16"/>
                <w:lang w:eastAsia="en-US"/>
              </w:rPr>
              <w:t>вона</w:t>
            </w:r>
            <w:r>
              <w:rPr>
                <w:rFonts w:ascii="Arial" w:hAnsi="Arial" w:cs="Arial"/>
                <w:sz w:val="16"/>
                <w:szCs w:val="16"/>
                <w:lang w:val="en-US" w:eastAsia="en-US"/>
              </w:rPr>
              <w:t xml:space="preserve"> </w:t>
            </w:r>
            <w:r>
              <w:rPr>
                <w:rFonts w:ascii="Arial" w:hAnsi="Arial" w:cs="Arial"/>
                <w:sz w:val="16"/>
                <w:szCs w:val="16"/>
                <w:lang w:eastAsia="en-US"/>
              </w:rPr>
              <w:t>відмінна</w:t>
            </w:r>
            <w:r>
              <w:rPr>
                <w:rFonts w:ascii="Arial" w:hAnsi="Arial" w:cs="Arial"/>
                <w:sz w:val="16"/>
                <w:szCs w:val="16"/>
                <w:lang w:val="en-US" w:eastAsia="en-US"/>
              </w:rPr>
              <w:t xml:space="preserve"> </w:t>
            </w:r>
            <w:r>
              <w:rPr>
                <w:rFonts w:ascii="Arial" w:hAnsi="Arial" w:cs="Arial"/>
                <w:sz w:val="16"/>
                <w:szCs w:val="16"/>
                <w:lang w:eastAsia="en-US"/>
              </w:rPr>
              <w:t>від</w:t>
            </w:r>
            <w:r>
              <w:rPr>
                <w:rFonts w:ascii="Arial" w:hAnsi="Arial" w:cs="Arial"/>
                <w:sz w:val="16"/>
                <w:szCs w:val="16"/>
                <w:lang w:val="en-US" w:eastAsia="en-US"/>
              </w:rPr>
              <w:t xml:space="preserve"> </w:t>
            </w:r>
            <w:r>
              <w:rPr>
                <w:rFonts w:ascii="Arial" w:hAnsi="Arial" w:cs="Arial"/>
                <w:sz w:val="16"/>
                <w:szCs w:val="16"/>
                <w:lang w:eastAsia="en-US"/>
              </w:rPr>
              <w:t>уповноваженої</w:t>
            </w:r>
            <w:r>
              <w:rPr>
                <w:rFonts w:ascii="Arial" w:hAnsi="Arial" w:cs="Arial"/>
                <w:sz w:val="16"/>
                <w:szCs w:val="16"/>
                <w:lang w:val="en-US" w:eastAsia="en-US"/>
              </w:rPr>
              <w:t xml:space="preserve"> </w:t>
            </w:r>
            <w:r>
              <w:rPr>
                <w:rFonts w:ascii="Arial" w:hAnsi="Arial" w:cs="Arial"/>
                <w:sz w:val="16"/>
                <w:szCs w:val="16"/>
                <w:lang w:eastAsia="en-US"/>
              </w:rPr>
              <w:t>особи</w:t>
            </w:r>
            <w:r>
              <w:rPr>
                <w:rFonts w:ascii="Arial" w:hAnsi="Arial" w:cs="Arial"/>
                <w:sz w:val="16"/>
                <w:szCs w:val="16"/>
                <w:lang w:val="en-US" w:eastAsia="en-US"/>
              </w:rPr>
              <w:t xml:space="preserve">, </w:t>
            </w:r>
            <w:r>
              <w:rPr>
                <w:rFonts w:ascii="Arial" w:hAnsi="Arial" w:cs="Arial"/>
                <w:sz w:val="16"/>
                <w:szCs w:val="16"/>
                <w:lang w:eastAsia="en-US"/>
              </w:rPr>
              <w:t>відповідальної</w:t>
            </w:r>
            <w:r>
              <w:rPr>
                <w:rFonts w:ascii="Arial" w:hAnsi="Arial" w:cs="Arial"/>
                <w:sz w:val="16"/>
                <w:szCs w:val="16"/>
                <w:lang w:val="en-US" w:eastAsia="en-US"/>
              </w:rPr>
              <w:t xml:space="preserve"> </w:t>
            </w:r>
            <w:r>
              <w:rPr>
                <w:rFonts w:ascii="Arial" w:hAnsi="Arial" w:cs="Arial"/>
                <w:sz w:val="16"/>
                <w:szCs w:val="16"/>
                <w:lang w:eastAsia="en-US"/>
              </w:rPr>
              <w:t>за</w:t>
            </w:r>
            <w:r>
              <w:rPr>
                <w:rFonts w:ascii="Arial" w:hAnsi="Arial" w:cs="Arial"/>
                <w:sz w:val="16"/>
                <w:szCs w:val="16"/>
                <w:lang w:val="en-US" w:eastAsia="en-US"/>
              </w:rPr>
              <w:t xml:space="preserve"> </w:t>
            </w:r>
            <w:r>
              <w:rPr>
                <w:rFonts w:ascii="Arial" w:hAnsi="Arial" w:cs="Arial"/>
                <w:sz w:val="16"/>
                <w:szCs w:val="16"/>
                <w:lang w:eastAsia="en-US"/>
              </w:rPr>
              <w:t>здійснення</w:t>
            </w:r>
            <w:r>
              <w:rPr>
                <w:rFonts w:ascii="Arial" w:hAnsi="Arial" w:cs="Arial"/>
                <w:sz w:val="16"/>
                <w:szCs w:val="16"/>
                <w:lang w:val="en-US" w:eastAsia="en-US"/>
              </w:rPr>
              <w:t xml:space="preserve"> </w:t>
            </w:r>
            <w:r>
              <w:rPr>
                <w:rFonts w:ascii="Arial" w:hAnsi="Arial" w:cs="Arial"/>
                <w:sz w:val="16"/>
                <w:szCs w:val="16"/>
                <w:lang w:eastAsia="en-US"/>
              </w:rPr>
              <w:t>фармаконагляду</w:t>
            </w:r>
            <w:r>
              <w:rPr>
                <w:rFonts w:ascii="Arial" w:hAnsi="Arial" w:cs="Arial"/>
                <w:sz w:val="16"/>
                <w:szCs w:val="16"/>
                <w:lang w:val="en-US" w:eastAsia="en-US"/>
              </w:rPr>
              <w:t xml:space="preserve"> (</w:t>
            </w:r>
            <w:r>
              <w:rPr>
                <w:rFonts w:ascii="Arial" w:hAnsi="Arial" w:cs="Arial"/>
                <w:sz w:val="16"/>
                <w:szCs w:val="16"/>
                <w:lang w:eastAsia="en-US"/>
              </w:rPr>
              <w:t>включаючи</w:t>
            </w:r>
            <w:r>
              <w:rPr>
                <w:rFonts w:ascii="Arial" w:hAnsi="Arial" w:cs="Arial"/>
                <w:sz w:val="16"/>
                <w:szCs w:val="16"/>
                <w:lang w:val="en-US" w:eastAsia="en-US"/>
              </w:rPr>
              <w:t xml:space="preserve"> </w:t>
            </w:r>
            <w:r>
              <w:rPr>
                <w:rFonts w:ascii="Arial" w:hAnsi="Arial" w:cs="Arial"/>
                <w:sz w:val="16"/>
                <w:szCs w:val="16"/>
                <w:lang w:eastAsia="en-US"/>
              </w:rPr>
              <w:t>контактні</w:t>
            </w:r>
            <w:r>
              <w:rPr>
                <w:rFonts w:ascii="Arial" w:hAnsi="Arial" w:cs="Arial"/>
                <w:sz w:val="16"/>
                <w:szCs w:val="16"/>
                <w:lang w:val="en-US" w:eastAsia="en-US"/>
              </w:rPr>
              <w:t xml:space="preserve"> </w:t>
            </w:r>
            <w:r>
              <w:rPr>
                <w:rFonts w:ascii="Arial" w:hAnsi="Arial" w:cs="Arial"/>
                <w:sz w:val="16"/>
                <w:szCs w:val="16"/>
                <w:lang w:eastAsia="en-US"/>
              </w:rPr>
              <w:t>дані</w:t>
            </w:r>
            <w:r>
              <w:rPr>
                <w:rFonts w:ascii="Arial" w:hAnsi="Arial" w:cs="Arial"/>
                <w:sz w:val="16"/>
                <w:szCs w:val="16"/>
                <w:lang w:val="en-US" w:eastAsia="en-US"/>
              </w:rPr>
              <w:t xml:space="preserve">) </w:t>
            </w:r>
            <w:r>
              <w:rPr>
                <w:rFonts w:ascii="Arial" w:hAnsi="Arial" w:cs="Arial"/>
                <w:sz w:val="16"/>
                <w:szCs w:val="16"/>
                <w:lang w:eastAsia="en-US"/>
              </w:rPr>
              <w:t>та</w:t>
            </w:r>
            <w:r>
              <w:rPr>
                <w:rFonts w:ascii="Arial" w:hAnsi="Arial" w:cs="Arial"/>
                <w:sz w:val="16"/>
                <w:szCs w:val="16"/>
                <w:lang w:val="en-US" w:eastAsia="en-US"/>
              </w:rPr>
              <w:t>/</w:t>
            </w:r>
            <w:r>
              <w:rPr>
                <w:rFonts w:ascii="Arial" w:hAnsi="Arial" w:cs="Arial"/>
                <w:sz w:val="16"/>
                <w:szCs w:val="16"/>
                <w:lang w:eastAsia="en-US"/>
              </w:rPr>
              <w:t>або</w:t>
            </w:r>
            <w:r>
              <w:rPr>
                <w:rFonts w:ascii="Arial" w:hAnsi="Arial" w:cs="Arial"/>
                <w:sz w:val="16"/>
                <w:szCs w:val="16"/>
                <w:lang w:val="en-US" w:eastAsia="en-US"/>
              </w:rPr>
              <w:t xml:space="preserve"> </w:t>
            </w:r>
            <w:r>
              <w:rPr>
                <w:rFonts w:ascii="Arial" w:hAnsi="Arial" w:cs="Arial"/>
                <w:sz w:val="16"/>
                <w:szCs w:val="16"/>
                <w:lang w:eastAsia="en-US"/>
              </w:rPr>
              <w:t>зміни</w:t>
            </w:r>
            <w:r>
              <w:rPr>
                <w:rFonts w:ascii="Arial" w:hAnsi="Arial" w:cs="Arial"/>
                <w:sz w:val="16"/>
                <w:szCs w:val="16"/>
                <w:lang w:val="en-US" w:eastAsia="en-US"/>
              </w:rPr>
              <w:t xml:space="preserve"> </w:t>
            </w:r>
            <w:r>
              <w:rPr>
                <w:rFonts w:ascii="Arial" w:hAnsi="Arial" w:cs="Arial"/>
                <w:sz w:val="16"/>
                <w:szCs w:val="16"/>
                <w:lang w:eastAsia="en-US"/>
              </w:rPr>
              <w:t>у</w:t>
            </w:r>
            <w:r>
              <w:rPr>
                <w:rFonts w:ascii="Arial" w:hAnsi="Arial" w:cs="Arial"/>
                <w:sz w:val="16"/>
                <w:szCs w:val="16"/>
                <w:lang w:val="en-US" w:eastAsia="en-US"/>
              </w:rPr>
              <w:t xml:space="preserve"> </w:t>
            </w:r>
            <w:r>
              <w:rPr>
                <w:rFonts w:ascii="Arial" w:hAnsi="Arial" w:cs="Arial"/>
                <w:sz w:val="16"/>
                <w:szCs w:val="16"/>
                <w:lang w:eastAsia="en-US"/>
              </w:rPr>
              <w:t>розміщенні</w:t>
            </w:r>
            <w:r>
              <w:rPr>
                <w:rFonts w:ascii="Arial" w:hAnsi="Arial" w:cs="Arial"/>
                <w:sz w:val="16"/>
                <w:szCs w:val="16"/>
                <w:lang w:val="en-US" w:eastAsia="en-US"/>
              </w:rPr>
              <w:t xml:space="preserve"> </w:t>
            </w:r>
            <w:r>
              <w:rPr>
                <w:rFonts w:ascii="Arial" w:hAnsi="Arial" w:cs="Arial"/>
                <w:sz w:val="16"/>
                <w:szCs w:val="16"/>
                <w:lang w:eastAsia="en-US"/>
              </w:rPr>
              <w:t>мастер</w:t>
            </w:r>
            <w:r>
              <w:rPr>
                <w:rFonts w:ascii="Arial" w:hAnsi="Arial" w:cs="Arial"/>
                <w:sz w:val="16"/>
                <w:szCs w:val="16"/>
                <w:lang w:val="en-US" w:eastAsia="en-US"/>
              </w:rPr>
              <w:t>-</w:t>
            </w:r>
            <w:r>
              <w:rPr>
                <w:rFonts w:ascii="Arial" w:hAnsi="Arial" w:cs="Arial"/>
                <w:sz w:val="16"/>
                <w:szCs w:val="16"/>
                <w:lang w:eastAsia="en-US"/>
              </w:rPr>
              <w:t>файла</w:t>
            </w:r>
            <w:r>
              <w:rPr>
                <w:rFonts w:ascii="Arial" w:hAnsi="Arial" w:cs="Arial"/>
                <w:sz w:val="16"/>
                <w:szCs w:val="16"/>
                <w:lang w:val="en-US" w:eastAsia="en-US"/>
              </w:rPr>
              <w:t xml:space="preserve"> </w:t>
            </w:r>
            <w:r>
              <w:rPr>
                <w:rFonts w:ascii="Arial" w:hAnsi="Arial" w:cs="Arial"/>
                <w:sz w:val="16"/>
                <w:szCs w:val="16"/>
                <w:lang w:eastAsia="en-US"/>
              </w:rPr>
              <w:t>системи</w:t>
            </w:r>
            <w:r>
              <w:rPr>
                <w:rFonts w:ascii="Arial" w:hAnsi="Arial" w:cs="Arial"/>
                <w:sz w:val="16"/>
                <w:szCs w:val="16"/>
                <w:lang w:val="en-US" w:eastAsia="en-US"/>
              </w:rPr>
              <w:t xml:space="preserve"> </w:t>
            </w:r>
            <w:r>
              <w:rPr>
                <w:rFonts w:ascii="Arial" w:hAnsi="Arial" w:cs="Arial"/>
                <w:sz w:val="16"/>
                <w:szCs w:val="16"/>
                <w:lang w:eastAsia="en-US"/>
              </w:rPr>
              <w:t>фармаконагляду</w:t>
            </w:r>
            <w:r>
              <w:rPr>
                <w:rFonts w:ascii="Arial" w:hAnsi="Arial" w:cs="Arial"/>
                <w:sz w:val="16"/>
                <w:szCs w:val="16"/>
                <w:lang w:val="en-US" w:eastAsia="en-US"/>
              </w:rPr>
              <w:t xml:space="preserve">). </w:t>
            </w:r>
            <w:r>
              <w:rPr>
                <w:rFonts w:ascii="Arial" w:hAnsi="Arial" w:cs="Arial"/>
                <w:sz w:val="16"/>
                <w:szCs w:val="16"/>
                <w:lang w:eastAsia="en-US"/>
              </w:rPr>
              <w:t>Зміна</w:t>
            </w:r>
            <w:r>
              <w:rPr>
                <w:rFonts w:ascii="Arial" w:hAnsi="Arial" w:cs="Arial"/>
                <w:sz w:val="16"/>
                <w:szCs w:val="16"/>
                <w:lang w:val="en-US" w:eastAsia="en-US"/>
              </w:rPr>
              <w:t xml:space="preserve"> </w:t>
            </w:r>
            <w:r>
              <w:rPr>
                <w:rFonts w:ascii="Arial" w:hAnsi="Arial" w:cs="Arial"/>
                <w:sz w:val="16"/>
                <w:szCs w:val="16"/>
                <w:lang w:eastAsia="en-US"/>
              </w:rPr>
              <w:t>уповноваженої</w:t>
            </w:r>
            <w:r>
              <w:rPr>
                <w:rFonts w:ascii="Arial" w:hAnsi="Arial" w:cs="Arial"/>
                <w:sz w:val="16"/>
                <w:szCs w:val="16"/>
                <w:lang w:val="en-US" w:eastAsia="en-US"/>
              </w:rPr>
              <w:t xml:space="preserve"> </w:t>
            </w:r>
            <w:r>
              <w:rPr>
                <w:rFonts w:ascii="Arial" w:hAnsi="Arial" w:cs="Arial"/>
                <w:sz w:val="16"/>
                <w:szCs w:val="16"/>
                <w:lang w:eastAsia="en-US"/>
              </w:rPr>
              <w:t>особи</w:t>
            </w:r>
            <w:r>
              <w:rPr>
                <w:rFonts w:ascii="Arial" w:hAnsi="Arial" w:cs="Arial"/>
                <w:sz w:val="16"/>
                <w:szCs w:val="16"/>
                <w:lang w:val="en-US" w:eastAsia="en-US"/>
              </w:rPr>
              <w:t xml:space="preserve"> </w:t>
            </w:r>
            <w:r>
              <w:rPr>
                <w:rFonts w:ascii="Arial" w:hAnsi="Arial" w:cs="Arial"/>
                <w:sz w:val="16"/>
                <w:szCs w:val="16"/>
                <w:lang w:eastAsia="en-US"/>
              </w:rPr>
              <w:t>заявника</w:t>
            </w:r>
            <w:r>
              <w:rPr>
                <w:rFonts w:ascii="Arial" w:hAnsi="Arial" w:cs="Arial"/>
                <w:sz w:val="16"/>
                <w:szCs w:val="16"/>
                <w:lang w:val="en-US" w:eastAsia="en-US"/>
              </w:rPr>
              <w:t xml:space="preserve">, </w:t>
            </w:r>
            <w:r>
              <w:rPr>
                <w:rFonts w:ascii="Arial" w:hAnsi="Arial" w:cs="Arial"/>
                <w:sz w:val="16"/>
                <w:szCs w:val="16"/>
                <w:lang w:eastAsia="en-US"/>
              </w:rPr>
              <w:t>відповідальної</w:t>
            </w:r>
            <w:r>
              <w:rPr>
                <w:rFonts w:ascii="Arial" w:hAnsi="Arial" w:cs="Arial"/>
                <w:sz w:val="16"/>
                <w:szCs w:val="16"/>
                <w:lang w:val="en-US" w:eastAsia="en-US"/>
              </w:rPr>
              <w:t xml:space="preserve"> </w:t>
            </w:r>
            <w:r>
              <w:rPr>
                <w:rFonts w:ascii="Arial" w:hAnsi="Arial" w:cs="Arial"/>
                <w:sz w:val="16"/>
                <w:szCs w:val="16"/>
                <w:lang w:eastAsia="en-US"/>
              </w:rPr>
              <w:t>за</w:t>
            </w:r>
            <w:r>
              <w:rPr>
                <w:rFonts w:ascii="Arial" w:hAnsi="Arial" w:cs="Arial"/>
                <w:sz w:val="16"/>
                <w:szCs w:val="16"/>
                <w:lang w:val="en-US" w:eastAsia="en-US"/>
              </w:rPr>
              <w:t xml:space="preserve"> </w:t>
            </w:r>
            <w:r>
              <w:rPr>
                <w:rFonts w:ascii="Arial" w:hAnsi="Arial" w:cs="Arial"/>
                <w:sz w:val="16"/>
                <w:szCs w:val="16"/>
                <w:lang w:eastAsia="en-US"/>
              </w:rPr>
              <w:t>фармаконагляд</w:t>
            </w:r>
            <w:r>
              <w:rPr>
                <w:rFonts w:ascii="Arial" w:hAnsi="Arial" w:cs="Arial"/>
                <w:sz w:val="16"/>
                <w:szCs w:val="16"/>
                <w:lang w:val="en-US" w:eastAsia="en-US"/>
              </w:rPr>
              <w:t xml:space="preserve">. </w:t>
            </w:r>
            <w:r>
              <w:rPr>
                <w:rFonts w:ascii="Arial" w:hAnsi="Arial" w:cs="Arial"/>
                <w:sz w:val="16"/>
                <w:szCs w:val="16"/>
                <w:lang w:val="en-US" w:eastAsia="en-US"/>
              </w:rPr>
              <w:br/>
            </w:r>
            <w:r>
              <w:rPr>
                <w:rFonts w:ascii="Arial" w:hAnsi="Arial" w:cs="Arial"/>
                <w:sz w:val="16"/>
                <w:szCs w:val="16"/>
                <w:lang w:eastAsia="en-US"/>
              </w:rPr>
              <w:t>Діюча</w:t>
            </w:r>
            <w:r>
              <w:rPr>
                <w:rFonts w:ascii="Arial" w:hAnsi="Arial" w:cs="Arial"/>
                <w:sz w:val="16"/>
                <w:szCs w:val="16"/>
                <w:lang w:val="en-US" w:eastAsia="en-US"/>
              </w:rPr>
              <w:t xml:space="preserve"> </w:t>
            </w:r>
            <w:r>
              <w:rPr>
                <w:rFonts w:ascii="Arial" w:hAnsi="Arial" w:cs="Arial"/>
                <w:sz w:val="16"/>
                <w:szCs w:val="16"/>
                <w:lang w:eastAsia="en-US"/>
              </w:rPr>
              <w:t>редакція</w:t>
            </w:r>
            <w:r>
              <w:rPr>
                <w:rFonts w:ascii="Arial" w:hAnsi="Arial" w:cs="Arial"/>
                <w:sz w:val="16"/>
                <w:szCs w:val="16"/>
                <w:lang w:val="en-US" w:eastAsia="en-US"/>
              </w:rPr>
              <w:t xml:space="preserve">: Simon Ashworth. </w:t>
            </w:r>
            <w:r>
              <w:rPr>
                <w:rFonts w:ascii="Arial" w:hAnsi="Arial" w:cs="Arial"/>
                <w:sz w:val="16"/>
                <w:szCs w:val="16"/>
                <w:lang w:eastAsia="en-US"/>
              </w:rPr>
              <w:t>Пропонована</w:t>
            </w:r>
            <w:r>
              <w:rPr>
                <w:rFonts w:ascii="Arial" w:hAnsi="Arial" w:cs="Arial"/>
                <w:sz w:val="16"/>
                <w:szCs w:val="16"/>
                <w:lang w:val="en-US" w:eastAsia="en-US"/>
              </w:rPr>
              <w:t xml:space="preserve"> </w:t>
            </w:r>
            <w:r>
              <w:rPr>
                <w:rFonts w:ascii="Arial" w:hAnsi="Arial" w:cs="Arial"/>
                <w:sz w:val="16"/>
                <w:szCs w:val="16"/>
                <w:lang w:eastAsia="en-US"/>
              </w:rPr>
              <w:t>редакція</w:t>
            </w:r>
            <w:r>
              <w:rPr>
                <w:rFonts w:ascii="Arial" w:hAnsi="Arial" w:cs="Arial"/>
                <w:sz w:val="16"/>
                <w:szCs w:val="16"/>
                <w:lang w:val="en-US" w:eastAsia="en-US"/>
              </w:rPr>
              <w:t xml:space="preserve">: </w:t>
            </w:r>
            <w:r>
              <w:rPr>
                <w:rFonts w:ascii="Arial" w:hAnsi="Arial" w:cs="Arial"/>
                <w:sz w:val="16"/>
                <w:szCs w:val="16"/>
                <w:lang w:eastAsia="en-US"/>
              </w:rPr>
              <w:t>д</w:t>
            </w:r>
            <w:r>
              <w:rPr>
                <w:rFonts w:ascii="Arial" w:hAnsi="Arial" w:cs="Arial"/>
                <w:sz w:val="16"/>
                <w:szCs w:val="16"/>
                <w:lang w:val="en-US" w:eastAsia="en-US"/>
              </w:rPr>
              <w:t>-</w:t>
            </w:r>
            <w:r>
              <w:rPr>
                <w:rFonts w:ascii="Arial" w:hAnsi="Arial" w:cs="Arial"/>
                <w:sz w:val="16"/>
                <w:szCs w:val="16"/>
                <w:lang w:eastAsia="en-US"/>
              </w:rPr>
              <w:t>р</w:t>
            </w:r>
            <w:r>
              <w:rPr>
                <w:rFonts w:ascii="Arial" w:hAnsi="Arial" w:cs="Arial"/>
                <w:sz w:val="16"/>
                <w:szCs w:val="16"/>
                <w:lang w:val="en-US" w:eastAsia="en-US"/>
              </w:rPr>
              <w:t xml:space="preserve"> </w:t>
            </w:r>
            <w:r>
              <w:rPr>
                <w:rFonts w:ascii="Arial" w:hAnsi="Arial" w:cs="Arial"/>
                <w:sz w:val="16"/>
                <w:szCs w:val="16"/>
                <w:lang w:eastAsia="en-US"/>
              </w:rPr>
              <w:t>Суміт</w:t>
            </w:r>
            <w:r>
              <w:rPr>
                <w:rFonts w:ascii="Arial" w:hAnsi="Arial" w:cs="Arial"/>
                <w:sz w:val="16"/>
                <w:szCs w:val="16"/>
                <w:lang w:val="en-US" w:eastAsia="en-US"/>
              </w:rPr>
              <w:t xml:space="preserve"> </w:t>
            </w:r>
            <w:r>
              <w:rPr>
                <w:rFonts w:ascii="Arial" w:hAnsi="Arial" w:cs="Arial"/>
                <w:sz w:val="16"/>
                <w:szCs w:val="16"/>
                <w:lang w:eastAsia="en-US"/>
              </w:rPr>
              <w:t>Мунджал</w:t>
            </w:r>
            <w:r>
              <w:rPr>
                <w:rFonts w:ascii="Arial" w:hAnsi="Arial" w:cs="Arial"/>
                <w:sz w:val="16"/>
                <w:szCs w:val="16"/>
                <w:lang w:val="en-US" w:eastAsia="en-US"/>
              </w:rPr>
              <w:t xml:space="preserve"> / Sumit Munjal. </w:t>
            </w:r>
            <w:r>
              <w:rPr>
                <w:rFonts w:ascii="Arial" w:hAnsi="Arial" w:cs="Arial"/>
                <w:sz w:val="16"/>
                <w:szCs w:val="16"/>
                <w:lang w:eastAsia="en-US"/>
              </w:rPr>
              <w:t>Зміна</w:t>
            </w:r>
            <w:r>
              <w:rPr>
                <w:rFonts w:ascii="Arial" w:hAnsi="Arial" w:cs="Arial"/>
                <w:sz w:val="16"/>
                <w:szCs w:val="16"/>
                <w:lang w:val="en-US" w:eastAsia="en-US"/>
              </w:rPr>
              <w:t xml:space="preserve"> </w:t>
            </w:r>
            <w:r>
              <w:rPr>
                <w:rFonts w:ascii="Arial" w:hAnsi="Arial" w:cs="Arial"/>
                <w:sz w:val="16"/>
                <w:szCs w:val="16"/>
                <w:lang w:eastAsia="en-US"/>
              </w:rPr>
              <w:t>контактних</w:t>
            </w:r>
            <w:r>
              <w:rPr>
                <w:rFonts w:ascii="Arial" w:hAnsi="Arial" w:cs="Arial"/>
                <w:sz w:val="16"/>
                <w:szCs w:val="16"/>
                <w:lang w:val="en-US" w:eastAsia="en-US"/>
              </w:rPr>
              <w:t xml:space="preserve"> </w:t>
            </w:r>
            <w:r>
              <w:rPr>
                <w:rFonts w:ascii="Arial" w:hAnsi="Arial" w:cs="Arial"/>
                <w:sz w:val="16"/>
                <w:szCs w:val="16"/>
                <w:lang w:eastAsia="en-US"/>
              </w:rPr>
              <w:t>даних</w:t>
            </w:r>
            <w:r>
              <w:rPr>
                <w:rFonts w:ascii="Arial" w:hAnsi="Arial" w:cs="Arial"/>
                <w:sz w:val="16"/>
                <w:szCs w:val="16"/>
                <w:lang w:val="en-US" w:eastAsia="en-US"/>
              </w:rPr>
              <w:t xml:space="preserve"> </w:t>
            </w:r>
            <w:r>
              <w:rPr>
                <w:rFonts w:ascii="Arial" w:hAnsi="Arial" w:cs="Arial"/>
                <w:sz w:val="16"/>
                <w:szCs w:val="16"/>
                <w:lang w:eastAsia="en-US"/>
              </w:rPr>
              <w:t>уповноваженої</w:t>
            </w:r>
            <w:r>
              <w:rPr>
                <w:rFonts w:ascii="Arial" w:hAnsi="Arial" w:cs="Arial"/>
                <w:sz w:val="16"/>
                <w:szCs w:val="16"/>
                <w:lang w:val="en-US" w:eastAsia="en-US"/>
              </w:rPr>
              <w:t xml:space="preserve"> </w:t>
            </w:r>
            <w:r>
              <w:rPr>
                <w:rFonts w:ascii="Arial" w:hAnsi="Arial" w:cs="Arial"/>
                <w:sz w:val="16"/>
                <w:szCs w:val="16"/>
                <w:lang w:eastAsia="en-US"/>
              </w:rPr>
              <w:t>особи</w:t>
            </w:r>
            <w:r>
              <w:rPr>
                <w:rFonts w:ascii="Arial" w:hAnsi="Arial" w:cs="Arial"/>
                <w:sz w:val="16"/>
                <w:szCs w:val="16"/>
                <w:lang w:val="en-US" w:eastAsia="en-US"/>
              </w:rPr>
              <w:t xml:space="preserve"> </w:t>
            </w:r>
            <w:r>
              <w:rPr>
                <w:rFonts w:ascii="Arial" w:hAnsi="Arial" w:cs="Arial"/>
                <w:sz w:val="16"/>
                <w:szCs w:val="16"/>
                <w:lang w:eastAsia="en-US"/>
              </w:rPr>
              <w:t>заявника</w:t>
            </w:r>
            <w:r>
              <w:rPr>
                <w:rFonts w:ascii="Arial" w:hAnsi="Arial" w:cs="Arial"/>
                <w:sz w:val="16"/>
                <w:szCs w:val="16"/>
                <w:lang w:val="en-US" w:eastAsia="en-US"/>
              </w:rPr>
              <w:t xml:space="preserve">, </w:t>
            </w:r>
            <w:r>
              <w:rPr>
                <w:rFonts w:ascii="Arial" w:hAnsi="Arial" w:cs="Arial"/>
                <w:sz w:val="16"/>
                <w:szCs w:val="16"/>
                <w:lang w:eastAsia="en-US"/>
              </w:rPr>
              <w:t>відповідальної</w:t>
            </w:r>
            <w:r>
              <w:rPr>
                <w:rFonts w:ascii="Arial" w:hAnsi="Arial" w:cs="Arial"/>
                <w:sz w:val="16"/>
                <w:szCs w:val="16"/>
                <w:lang w:val="en-US" w:eastAsia="en-US"/>
              </w:rPr>
              <w:t xml:space="preserve"> </w:t>
            </w:r>
            <w:r>
              <w:rPr>
                <w:rFonts w:ascii="Arial" w:hAnsi="Arial" w:cs="Arial"/>
                <w:sz w:val="16"/>
                <w:szCs w:val="16"/>
                <w:lang w:eastAsia="en-US"/>
              </w:rPr>
              <w:t>за</w:t>
            </w:r>
            <w:r>
              <w:rPr>
                <w:rFonts w:ascii="Arial" w:hAnsi="Arial" w:cs="Arial"/>
                <w:sz w:val="16"/>
                <w:szCs w:val="16"/>
                <w:lang w:val="en-US" w:eastAsia="en-US"/>
              </w:rPr>
              <w:t xml:space="preserve"> </w:t>
            </w:r>
            <w:r>
              <w:rPr>
                <w:rFonts w:ascii="Arial" w:hAnsi="Arial" w:cs="Arial"/>
                <w:sz w:val="16"/>
                <w:szCs w:val="16"/>
                <w:lang w:eastAsia="en-US"/>
              </w:rPr>
              <w:t>фармаконагляд</w:t>
            </w:r>
            <w:r>
              <w:rPr>
                <w:rFonts w:ascii="Arial" w:hAnsi="Arial" w:cs="Arial"/>
                <w:sz w:val="16"/>
                <w:szCs w:val="16"/>
                <w:lang w:val="en-US" w:eastAsia="en-US"/>
              </w:rPr>
              <w:t xml:space="preserve">. </w:t>
            </w:r>
            <w:r>
              <w:rPr>
                <w:rFonts w:ascii="Arial" w:hAnsi="Arial" w:cs="Arial"/>
                <w:sz w:val="16"/>
                <w:szCs w:val="16"/>
                <w:lang w:eastAsia="en-US"/>
              </w:rPr>
              <w:t xml:space="preserve">Зміна контактної особи заявника, відповідальної за фармаконагляд в Україні. Діюча редакція: Самоненко Марина Володимирівна. Пропонована редакція: Венгер Людмила Анатоліївна / </w:t>
            </w:r>
            <w:r>
              <w:rPr>
                <w:rFonts w:ascii="Arial" w:hAnsi="Arial" w:cs="Arial"/>
                <w:sz w:val="16"/>
                <w:szCs w:val="16"/>
                <w:lang w:val="en-US" w:eastAsia="en-US"/>
              </w:rPr>
              <w:t>Liudmyla</w:t>
            </w:r>
            <w:r w:rsidRPr="003D03F3">
              <w:rPr>
                <w:rFonts w:ascii="Arial" w:hAnsi="Arial" w:cs="Arial"/>
                <w:sz w:val="16"/>
                <w:szCs w:val="16"/>
                <w:lang w:eastAsia="en-US"/>
              </w:rPr>
              <w:t xml:space="preserve"> </w:t>
            </w:r>
            <w:r>
              <w:rPr>
                <w:rFonts w:ascii="Arial" w:hAnsi="Arial" w:cs="Arial"/>
                <w:sz w:val="16"/>
                <w:szCs w:val="16"/>
                <w:lang w:val="en-US" w:eastAsia="en-US"/>
              </w:rPr>
              <w:t>Venher</w:t>
            </w:r>
            <w:r>
              <w:rPr>
                <w:rFonts w:ascii="Arial" w:hAnsi="Arial" w:cs="Arial"/>
                <w:sz w:val="16"/>
                <w:szCs w:val="16"/>
                <w:lang w:eastAsia="en-US"/>
              </w:rPr>
              <w:t xml:space="preserve">. Зміна контактних даних контактної особи заявника, відповідальної за фармаконагляд в Україні. </w:t>
            </w:r>
            <w:r>
              <w:rPr>
                <w:rFonts w:ascii="Arial" w:hAnsi="Arial" w:cs="Arial"/>
                <w:sz w:val="16"/>
                <w:szCs w:val="16"/>
                <w:lang w:eastAsia="en-US"/>
              </w:rPr>
              <w:br/>
              <w:t xml:space="preserve">Зміна місцезнаходження мастер-файла системи фармаконагляду та його номера. Зміна місця здійснення основної діяльності з фармаконагляду. </w:t>
            </w:r>
          </w:p>
          <w:p w:rsidR="003D03F3" w:rsidRDefault="003D03F3">
            <w:pPr>
              <w:pStyle w:val="af"/>
              <w:spacing w:after="0"/>
              <w:ind w:left="0"/>
              <w:jc w:val="both"/>
              <w:rPr>
                <w:rFonts w:ascii="Arial" w:hAnsi="Arial" w:cs="Arial"/>
                <w:b/>
                <w:sz w:val="16"/>
                <w:szCs w:val="16"/>
                <w:lang w:eastAsia="en-US"/>
              </w:rPr>
            </w:pPr>
          </w:p>
        </w:tc>
      </w:tr>
      <w:tr w:rsidR="003D03F3" w:rsidTr="003D03F3">
        <w:trPr>
          <w:trHeight w:val="557"/>
        </w:trPr>
        <w:tc>
          <w:tcPr>
            <w:tcW w:w="426" w:type="dxa"/>
            <w:tcBorders>
              <w:top w:val="single" w:sz="4" w:space="0" w:color="auto"/>
              <w:left w:val="single" w:sz="4" w:space="0" w:color="auto"/>
              <w:bottom w:val="single" w:sz="4" w:space="0" w:color="auto"/>
              <w:right w:val="single" w:sz="4" w:space="0" w:color="auto"/>
            </w:tcBorders>
          </w:tcPr>
          <w:p w:rsidR="003D03F3" w:rsidRDefault="003D03F3" w:rsidP="003D03F3">
            <w:pPr>
              <w:numPr>
                <w:ilvl w:val="0"/>
                <w:numId w:val="8"/>
              </w:numPr>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3D03F3" w:rsidRDefault="003D03F3">
            <w:pPr>
              <w:jc w:val="both"/>
              <w:rPr>
                <w:rFonts w:ascii="Arial" w:hAnsi="Arial" w:cs="Arial"/>
                <w:b/>
                <w:sz w:val="16"/>
                <w:szCs w:val="16"/>
                <w:lang w:eastAsia="en-US"/>
              </w:rPr>
            </w:pPr>
            <w:r>
              <w:rPr>
                <w:rFonts w:ascii="Arial" w:hAnsi="Arial" w:cs="Arial"/>
                <w:b/>
                <w:sz w:val="16"/>
                <w:szCs w:val="16"/>
                <w:lang w:eastAsia="en-US"/>
              </w:rPr>
              <w:t xml:space="preserve">РІОПАН </w:t>
            </w:r>
          </w:p>
        </w:tc>
        <w:tc>
          <w:tcPr>
            <w:tcW w:w="1417" w:type="dxa"/>
            <w:tcBorders>
              <w:top w:val="single" w:sz="4" w:space="0" w:color="auto"/>
              <w:left w:val="single" w:sz="4" w:space="0" w:color="auto"/>
              <w:bottom w:val="single" w:sz="4" w:space="0" w:color="auto"/>
              <w:right w:val="single" w:sz="4" w:space="0" w:color="auto"/>
            </w:tcBorders>
          </w:tcPr>
          <w:p w:rsidR="003D03F3" w:rsidRDefault="003D03F3">
            <w:pPr>
              <w:rPr>
                <w:rFonts w:ascii="Arial" w:hAnsi="Arial" w:cs="Arial"/>
                <w:sz w:val="16"/>
                <w:szCs w:val="16"/>
                <w:lang w:eastAsia="en-US"/>
              </w:rPr>
            </w:pPr>
            <w:r>
              <w:rPr>
                <w:rFonts w:ascii="Arial" w:hAnsi="Arial" w:cs="Arial"/>
                <w:sz w:val="16"/>
                <w:szCs w:val="16"/>
                <w:lang w:eastAsia="en-US"/>
              </w:rPr>
              <w:t>суспензія оральна, 800 мг/10 мл або 1600 мг/10 мл по 10 мл в саше; по 10, або по 20, або по 50 саше в картонній коробці з маркуванням українською мовою</w:t>
            </w:r>
          </w:p>
          <w:p w:rsidR="003D03F3" w:rsidRDefault="003D03F3">
            <w:pPr>
              <w:rPr>
                <w:rFonts w:ascii="Arial" w:hAnsi="Arial" w:cs="Arial"/>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3D03F3" w:rsidRDefault="003D03F3">
            <w:pPr>
              <w:ind w:left="170"/>
              <w:jc w:val="center"/>
              <w:rPr>
                <w:rFonts w:ascii="Arial" w:hAnsi="Arial" w:cs="Arial"/>
                <w:sz w:val="16"/>
                <w:szCs w:val="16"/>
                <w:lang w:eastAsia="en-US"/>
              </w:rPr>
            </w:pPr>
            <w:r>
              <w:rPr>
                <w:rFonts w:ascii="Arial" w:hAnsi="Arial" w:cs="Arial"/>
                <w:sz w:val="16"/>
                <w:szCs w:val="16"/>
                <w:lang w:eastAsia="en-US"/>
              </w:rPr>
              <w:t>Такеда ГмбХ</w:t>
            </w:r>
          </w:p>
        </w:tc>
        <w:tc>
          <w:tcPr>
            <w:tcW w:w="1134" w:type="dxa"/>
            <w:tcBorders>
              <w:top w:val="single" w:sz="4" w:space="0" w:color="auto"/>
              <w:left w:val="single" w:sz="4" w:space="0" w:color="auto"/>
              <w:bottom w:val="single" w:sz="4" w:space="0" w:color="auto"/>
              <w:right w:val="single" w:sz="4" w:space="0" w:color="auto"/>
            </w:tcBorders>
          </w:tcPr>
          <w:p w:rsidR="003D03F3" w:rsidRDefault="003D03F3">
            <w:pPr>
              <w:jc w:val="center"/>
              <w:rPr>
                <w:rFonts w:ascii="Arial" w:hAnsi="Arial" w:cs="Arial"/>
                <w:sz w:val="16"/>
                <w:szCs w:val="16"/>
                <w:lang w:eastAsia="en-US"/>
              </w:rPr>
            </w:pPr>
            <w:r>
              <w:rPr>
                <w:rFonts w:ascii="Arial" w:hAnsi="Arial" w:cs="Arial"/>
                <w:sz w:val="16"/>
                <w:szCs w:val="16"/>
                <w:lang w:eastAsia="en-US"/>
              </w:rPr>
              <w:t>Німеччина</w:t>
            </w:r>
          </w:p>
          <w:p w:rsidR="003D03F3" w:rsidRDefault="003D03F3">
            <w:pPr>
              <w:jc w:val="center"/>
              <w:rPr>
                <w:rFonts w:ascii="Arial" w:hAnsi="Arial" w:cs="Arial"/>
                <w:sz w:val="16"/>
                <w:szCs w:val="16"/>
                <w:lang w:val="en-US" w:eastAsia="en-US"/>
              </w:rPr>
            </w:pPr>
          </w:p>
        </w:tc>
        <w:tc>
          <w:tcPr>
            <w:tcW w:w="1842" w:type="dxa"/>
            <w:tcBorders>
              <w:top w:val="single" w:sz="4" w:space="0" w:color="auto"/>
              <w:left w:val="single" w:sz="4" w:space="0" w:color="auto"/>
              <w:bottom w:val="single" w:sz="4" w:space="0" w:color="auto"/>
              <w:right w:val="single" w:sz="4" w:space="0" w:color="auto"/>
            </w:tcBorders>
            <w:hideMark/>
          </w:tcPr>
          <w:p w:rsidR="003D03F3" w:rsidRDefault="003D03F3">
            <w:pPr>
              <w:pStyle w:val="135"/>
              <w:ind w:firstLine="0"/>
              <w:jc w:val="center"/>
              <w:rPr>
                <w:rFonts w:cs="Arial"/>
                <w:b w:val="0"/>
                <w:iCs/>
                <w:sz w:val="16"/>
                <w:szCs w:val="16"/>
                <w:lang w:val="en-US" w:eastAsia="en-US"/>
              </w:rPr>
            </w:pPr>
            <w:r>
              <w:rPr>
                <w:rFonts w:cs="Arial"/>
                <w:b w:val="0"/>
                <w:sz w:val="16"/>
                <w:szCs w:val="16"/>
                <w:lang w:eastAsia="en-US"/>
              </w:rPr>
              <w:t>Такеда ГмбХ</w:t>
            </w:r>
          </w:p>
        </w:tc>
        <w:tc>
          <w:tcPr>
            <w:tcW w:w="1135" w:type="dxa"/>
            <w:tcBorders>
              <w:top w:val="single" w:sz="4" w:space="0" w:color="auto"/>
              <w:left w:val="single" w:sz="4" w:space="0" w:color="auto"/>
              <w:bottom w:val="single" w:sz="4" w:space="0" w:color="auto"/>
              <w:right w:val="single" w:sz="4" w:space="0" w:color="auto"/>
            </w:tcBorders>
            <w:hideMark/>
          </w:tcPr>
          <w:p w:rsidR="003D03F3" w:rsidRDefault="003D03F3">
            <w:pPr>
              <w:pStyle w:val="af"/>
              <w:ind w:left="0"/>
              <w:jc w:val="center"/>
              <w:rPr>
                <w:rFonts w:ascii="Arial" w:hAnsi="Arial" w:cs="Arial"/>
                <w:b/>
                <w:sz w:val="16"/>
                <w:szCs w:val="16"/>
                <w:lang w:eastAsia="en-US"/>
              </w:rPr>
            </w:pPr>
            <w:r>
              <w:rPr>
                <w:rFonts w:ascii="Arial" w:hAnsi="Arial" w:cs="Arial"/>
                <w:sz w:val="16"/>
                <w:szCs w:val="16"/>
                <w:lang w:val="en-US" w:eastAsia="en-US"/>
              </w:rPr>
              <w:t>Німеччина</w:t>
            </w:r>
          </w:p>
        </w:tc>
        <w:tc>
          <w:tcPr>
            <w:tcW w:w="1134" w:type="dxa"/>
            <w:tcBorders>
              <w:top w:val="single" w:sz="4" w:space="0" w:color="auto"/>
              <w:left w:val="single" w:sz="4" w:space="0" w:color="auto"/>
              <w:bottom w:val="single" w:sz="4" w:space="0" w:color="auto"/>
              <w:right w:val="single" w:sz="4" w:space="0" w:color="auto"/>
            </w:tcBorders>
            <w:hideMark/>
          </w:tcPr>
          <w:p w:rsidR="003D03F3" w:rsidRDefault="003D03F3">
            <w:pPr>
              <w:pStyle w:val="135"/>
              <w:ind w:firstLine="0"/>
              <w:jc w:val="left"/>
              <w:rPr>
                <w:rFonts w:cs="Arial"/>
                <w:b w:val="0"/>
                <w:iCs/>
                <w:sz w:val="16"/>
                <w:szCs w:val="16"/>
                <w:lang w:val="en-US" w:eastAsia="en-US"/>
              </w:rPr>
            </w:pPr>
            <w:r>
              <w:rPr>
                <w:rFonts w:cs="Arial"/>
                <w:b w:val="0"/>
                <w:iCs/>
                <w:sz w:val="16"/>
                <w:szCs w:val="16"/>
                <w:lang w:eastAsia="en-US"/>
              </w:rPr>
              <w:t xml:space="preserve">засідання </w:t>
            </w:r>
            <w:r>
              <w:rPr>
                <w:rFonts w:cs="Arial"/>
                <w:b w:val="0"/>
                <w:iCs/>
                <w:sz w:val="16"/>
                <w:szCs w:val="16"/>
                <w:lang w:val="en-US" w:eastAsia="en-US"/>
              </w:rPr>
              <w:t>НТР № 18 від 18.05.2023</w:t>
            </w:r>
          </w:p>
        </w:tc>
        <w:tc>
          <w:tcPr>
            <w:tcW w:w="6095" w:type="dxa"/>
            <w:tcBorders>
              <w:top w:val="single" w:sz="4" w:space="0" w:color="auto"/>
              <w:left w:val="single" w:sz="4" w:space="0" w:color="auto"/>
              <w:bottom w:val="single" w:sz="4" w:space="0" w:color="auto"/>
              <w:right w:val="single" w:sz="4" w:space="0" w:color="auto"/>
            </w:tcBorders>
            <w:hideMark/>
          </w:tcPr>
          <w:p w:rsidR="003D03F3" w:rsidRDefault="003D03F3">
            <w:pPr>
              <w:pStyle w:val="af"/>
              <w:spacing w:after="0"/>
              <w:ind w:left="0"/>
              <w:jc w:val="both"/>
              <w:rPr>
                <w:rFonts w:ascii="Arial" w:hAnsi="Arial" w:cs="Arial"/>
                <w:b/>
                <w:sz w:val="16"/>
                <w:szCs w:val="16"/>
                <w:lang w:eastAsia="en-US"/>
              </w:rPr>
            </w:pPr>
            <w:r>
              <w:rPr>
                <w:rFonts w:ascii="Arial" w:hAnsi="Arial" w:cs="Arial"/>
                <w:b/>
                <w:sz w:val="16"/>
                <w:szCs w:val="16"/>
                <w:lang w:val="uk-UA" w:eastAsia="en-US"/>
              </w:rPr>
              <w:t>Відмовити у</w:t>
            </w:r>
            <w:r w:rsidRPr="003D03F3">
              <w:rPr>
                <w:rFonts w:ascii="Arial" w:hAnsi="Arial" w:cs="Arial"/>
                <w:b/>
                <w:sz w:val="16"/>
                <w:szCs w:val="16"/>
                <w:lang w:val="en-US" w:eastAsia="en-US"/>
              </w:rPr>
              <w:t xml:space="preserve"> </w:t>
            </w:r>
            <w:r>
              <w:rPr>
                <w:rFonts w:ascii="Arial" w:hAnsi="Arial" w:cs="Arial"/>
                <w:b/>
                <w:sz w:val="16"/>
                <w:szCs w:val="16"/>
                <w:lang w:eastAsia="en-US"/>
              </w:rPr>
              <w:t>затвердженн</w:t>
            </w:r>
            <w:r>
              <w:rPr>
                <w:rFonts w:ascii="Arial" w:hAnsi="Arial" w:cs="Arial"/>
                <w:b/>
                <w:sz w:val="16"/>
                <w:szCs w:val="16"/>
                <w:lang w:val="uk-UA" w:eastAsia="en-US"/>
              </w:rPr>
              <w:t>і</w:t>
            </w:r>
            <w:r>
              <w:rPr>
                <w:rFonts w:ascii="Arial" w:hAnsi="Arial" w:cs="Arial"/>
                <w:b/>
                <w:sz w:val="16"/>
                <w:szCs w:val="16"/>
                <w:lang w:val="en-US" w:eastAsia="en-US"/>
              </w:rPr>
              <w:t xml:space="preserve"> </w:t>
            </w:r>
            <w:r>
              <w:rPr>
                <w:rFonts w:ascii="Arial" w:hAnsi="Arial" w:cs="Arial"/>
                <w:b/>
                <w:sz w:val="16"/>
                <w:szCs w:val="16"/>
                <w:lang w:val="uk-UA" w:eastAsia="en-US"/>
              </w:rPr>
              <w:t xml:space="preserve"> - </w:t>
            </w:r>
            <w:r>
              <w:rPr>
                <w:rFonts w:ascii="Arial" w:hAnsi="Arial" w:cs="Arial"/>
                <w:b/>
                <w:sz w:val="16"/>
                <w:szCs w:val="16"/>
                <w:lang w:eastAsia="en-US"/>
              </w:rPr>
              <w:t>внесення</w:t>
            </w:r>
            <w:r>
              <w:rPr>
                <w:rFonts w:ascii="Arial" w:hAnsi="Arial" w:cs="Arial"/>
                <w:b/>
                <w:sz w:val="16"/>
                <w:szCs w:val="16"/>
                <w:lang w:val="en-US" w:eastAsia="en-US"/>
              </w:rPr>
              <w:t xml:space="preserve"> </w:t>
            </w:r>
            <w:r>
              <w:rPr>
                <w:rFonts w:ascii="Arial" w:hAnsi="Arial" w:cs="Arial"/>
                <w:b/>
                <w:sz w:val="16"/>
                <w:szCs w:val="16"/>
                <w:lang w:eastAsia="en-US"/>
              </w:rPr>
              <w:t>змін</w:t>
            </w:r>
            <w:r>
              <w:rPr>
                <w:rFonts w:ascii="Arial" w:hAnsi="Arial" w:cs="Arial"/>
                <w:b/>
                <w:sz w:val="16"/>
                <w:szCs w:val="16"/>
                <w:lang w:val="uk-UA" w:eastAsia="en-US"/>
              </w:rPr>
              <w:t xml:space="preserve"> </w:t>
            </w:r>
            <w:r>
              <w:rPr>
                <w:rFonts w:ascii="Arial" w:hAnsi="Arial" w:cs="Arial"/>
                <w:b/>
                <w:sz w:val="16"/>
                <w:szCs w:val="16"/>
                <w:lang w:eastAsia="en-US"/>
              </w:rPr>
              <w:t>у</w:t>
            </w:r>
            <w:r>
              <w:rPr>
                <w:rFonts w:ascii="Arial" w:hAnsi="Arial" w:cs="Arial"/>
                <w:b/>
                <w:sz w:val="16"/>
                <w:szCs w:val="16"/>
                <w:lang w:val="en-US" w:eastAsia="en-US"/>
              </w:rPr>
              <w:t xml:space="preserve"> </w:t>
            </w:r>
            <w:r>
              <w:rPr>
                <w:rFonts w:ascii="Arial" w:hAnsi="Arial" w:cs="Arial"/>
                <w:b/>
                <w:sz w:val="16"/>
                <w:szCs w:val="16"/>
                <w:lang w:eastAsia="en-US"/>
              </w:rPr>
              <w:t>зв</w:t>
            </w:r>
            <w:r>
              <w:rPr>
                <w:rFonts w:ascii="Arial" w:hAnsi="Arial" w:cs="Arial"/>
                <w:b/>
                <w:sz w:val="16"/>
                <w:szCs w:val="16"/>
                <w:lang w:val="en-US" w:eastAsia="en-US"/>
              </w:rPr>
              <w:t>'</w:t>
            </w:r>
            <w:r>
              <w:rPr>
                <w:rFonts w:ascii="Arial" w:hAnsi="Arial" w:cs="Arial"/>
                <w:b/>
                <w:sz w:val="16"/>
                <w:szCs w:val="16"/>
                <w:lang w:eastAsia="en-US"/>
              </w:rPr>
              <w:t>язку</w:t>
            </w:r>
            <w:r>
              <w:rPr>
                <w:rFonts w:ascii="Arial" w:hAnsi="Arial" w:cs="Arial"/>
                <w:b/>
                <w:sz w:val="16"/>
                <w:szCs w:val="16"/>
                <w:lang w:val="en-US" w:eastAsia="en-US"/>
              </w:rPr>
              <w:t xml:space="preserve"> </w:t>
            </w:r>
            <w:r>
              <w:rPr>
                <w:rFonts w:ascii="Arial" w:hAnsi="Arial" w:cs="Arial"/>
                <w:b/>
                <w:sz w:val="16"/>
                <w:szCs w:val="16"/>
                <w:lang w:eastAsia="en-US"/>
              </w:rPr>
              <w:t>із</w:t>
            </w:r>
            <w:r>
              <w:rPr>
                <w:rFonts w:ascii="Arial" w:hAnsi="Arial" w:cs="Arial"/>
                <w:b/>
                <w:sz w:val="16"/>
                <w:szCs w:val="16"/>
                <w:lang w:val="en-US" w:eastAsia="en-US"/>
              </w:rPr>
              <w:t xml:space="preserve"> </w:t>
            </w:r>
            <w:r>
              <w:rPr>
                <w:rFonts w:ascii="Arial" w:hAnsi="Arial" w:cs="Arial"/>
                <w:b/>
                <w:sz w:val="16"/>
                <w:szCs w:val="16"/>
                <w:lang w:eastAsia="en-US"/>
              </w:rPr>
              <w:t>надходженням</w:t>
            </w:r>
            <w:r>
              <w:rPr>
                <w:rFonts w:ascii="Arial" w:hAnsi="Arial" w:cs="Arial"/>
                <w:b/>
                <w:sz w:val="16"/>
                <w:szCs w:val="16"/>
                <w:lang w:val="en-US" w:eastAsia="en-US"/>
              </w:rPr>
              <w:t xml:space="preserve"> </w:t>
            </w:r>
            <w:r>
              <w:rPr>
                <w:rFonts w:ascii="Arial" w:hAnsi="Arial" w:cs="Arial"/>
                <w:b/>
                <w:sz w:val="16"/>
                <w:szCs w:val="16"/>
                <w:lang w:eastAsia="en-US"/>
              </w:rPr>
              <w:t>інформації</w:t>
            </w:r>
            <w:r>
              <w:rPr>
                <w:rFonts w:ascii="Arial" w:hAnsi="Arial" w:cs="Arial"/>
                <w:b/>
                <w:sz w:val="16"/>
                <w:szCs w:val="16"/>
                <w:lang w:val="en-US" w:eastAsia="en-US"/>
              </w:rPr>
              <w:t xml:space="preserve"> </w:t>
            </w:r>
            <w:r>
              <w:rPr>
                <w:rFonts w:ascii="Arial" w:hAnsi="Arial" w:cs="Arial"/>
                <w:b/>
                <w:sz w:val="16"/>
                <w:szCs w:val="16"/>
                <w:lang w:eastAsia="en-US"/>
              </w:rPr>
              <w:t>про</w:t>
            </w:r>
            <w:r>
              <w:rPr>
                <w:rFonts w:ascii="Arial" w:hAnsi="Arial" w:cs="Arial"/>
                <w:b/>
                <w:sz w:val="16"/>
                <w:szCs w:val="16"/>
                <w:lang w:val="en-US" w:eastAsia="en-US"/>
              </w:rPr>
              <w:t xml:space="preserve"> </w:t>
            </w:r>
            <w:r>
              <w:rPr>
                <w:rFonts w:ascii="Arial" w:hAnsi="Arial" w:cs="Arial"/>
                <w:b/>
                <w:sz w:val="16"/>
                <w:szCs w:val="16"/>
                <w:lang w:eastAsia="en-US"/>
              </w:rPr>
              <w:t>нову</w:t>
            </w:r>
            <w:r>
              <w:rPr>
                <w:rFonts w:ascii="Arial" w:hAnsi="Arial" w:cs="Arial"/>
                <w:b/>
                <w:sz w:val="16"/>
                <w:szCs w:val="16"/>
                <w:lang w:val="en-US" w:eastAsia="en-US"/>
              </w:rPr>
              <w:t xml:space="preserve"> </w:t>
            </w:r>
            <w:r>
              <w:rPr>
                <w:rFonts w:ascii="Arial" w:hAnsi="Arial" w:cs="Arial"/>
                <w:b/>
                <w:sz w:val="16"/>
                <w:szCs w:val="16"/>
                <w:lang w:eastAsia="en-US"/>
              </w:rPr>
              <w:t>контактну</w:t>
            </w:r>
            <w:r>
              <w:rPr>
                <w:rFonts w:ascii="Arial" w:hAnsi="Arial" w:cs="Arial"/>
                <w:b/>
                <w:sz w:val="16"/>
                <w:szCs w:val="16"/>
                <w:lang w:val="en-US" w:eastAsia="en-US"/>
              </w:rPr>
              <w:t xml:space="preserve"> </w:t>
            </w:r>
            <w:r>
              <w:rPr>
                <w:rFonts w:ascii="Arial" w:hAnsi="Arial" w:cs="Arial"/>
                <w:b/>
                <w:sz w:val="16"/>
                <w:szCs w:val="16"/>
                <w:lang w:eastAsia="en-US"/>
              </w:rPr>
              <w:t>особу</w:t>
            </w:r>
            <w:r>
              <w:rPr>
                <w:rFonts w:ascii="Arial" w:hAnsi="Arial" w:cs="Arial"/>
                <w:b/>
                <w:sz w:val="16"/>
                <w:szCs w:val="16"/>
                <w:lang w:val="en-US" w:eastAsia="en-US"/>
              </w:rPr>
              <w:t xml:space="preserve"> </w:t>
            </w:r>
            <w:r>
              <w:rPr>
                <w:rFonts w:ascii="Arial" w:hAnsi="Arial" w:cs="Arial"/>
                <w:b/>
                <w:sz w:val="16"/>
                <w:szCs w:val="16"/>
                <w:lang w:eastAsia="en-US"/>
              </w:rPr>
              <w:t>заявника</w:t>
            </w:r>
            <w:r>
              <w:rPr>
                <w:rFonts w:ascii="Arial" w:hAnsi="Arial" w:cs="Arial"/>
                <w:b/>
                <w:sz w:val="16"/>
                <w:szCs w:val="16"/>
                <w:lang w:val="en-US" w:eastAsia="en-US"/>
              </w:rPr>
              <w:t xml:space="preserve">, </w:t>
            </w:r>
            <w:r>
              <w:rPr>
                <w:rFonts w:ascii="Arial" w:hAnsi="Arial" w:cs="Arial"/>
                <w:b/>
                <w:sz w:val="16"/>
                <w:szCs w:val="16"/>
                <w:lang w:eastAsia="en-US"/>
              </w:rPr>
              <w:t>відповідальну</w:t>
            </w:r>
            <w:r>
              <w:rPr>
                <w:rFonts w:ascii="Arial" w:hAnsi="Arial" w:cs="Arial"/>
                <w:b/>
                <w:sz w:val="16"/>
                <w:szCs w:val="16"/>
                <w:lang w:val="en-US" w:eastAsia="en-US"/>
              </w:rPr>
              <w:t xml:space="preserve"> </w:t>
            </w:r>
            <w:r>
              <w:rPr>
                <w:rFonts w:ascii="Arial" w:hAnsi="Arial" w:cs="Arial"/>
                <w:b/>
                <w:sz w:val="16"/>
                <w:szCs w:val="16"/>
                <w:lang w:eastAsia="en-US"/>
              </w:rPr>
              <w:t>за</w:t>
            </w:r>
            <w:r>
              <w:rPr>
                <w:rFonts w:ascii="Arial" w:hAnsi="Arial" w:cs="Arial"/>
                <w:b/>
                <w:sz w:val="16"/>
                <w:szCs w:val="16"/>
                <w:lang w:val="en-US" w:eastAsia="en-US"/>
              </w:rPr>
              <w:t xml:space="preserve"> </w:t>
            </w:r>
            <w:r>
              <w:rPr>
                <w:rFonts w:ascii="Arial" w:hAnsi="Arial" w:cs="Arial"/>
                <w:b/>
                <w:sz w:val="16"/>
                <w:szCs w:val="16"/>
                <w:lang w:eastAsia="en-US"/>
              </w:rPr>
              <w:t>здійснення</w:t>
            </w:r>
            <w:r>
              <w:rPr>
                <w:rFonts w:ascii="Arial" w:hAnsi="Arial" w:cs="Arial"/>
                <w:b/>
                <w:sz w:val="16"/>
                <w:szCs w:val="16"/>
                <w:lang w:val="en-US" w:eastAsia="en-US"/>
              </w:rPr>
              <w:t xml:space="preserve"> </w:t>
            </w:r>
            <w:r>
              <w:rPr>
                <w:rFonts w:ascii="Arial" w:hAnsi="Arial" w:cs="Arial"/>
                <w:b/>
                <w:sz w:val="16"/>
                <w:szCs w:val="16"/>
                <w:lang w:eastAsia="en-US"/>
              </w:rPr>
              <w:t>фармаконагляду</w:t>
            </w:r>
            <w:r>
              <w:rPr>
                <w:rFonts w:ascii="Arial" w:hAnsi="Arial" w:cs="Arial"/>
                <w:b/>
                <w:sz w:val="16"/>
                <w:szCs w:val="16"/>
                <w:lang w:val="en-US" w:eastAsia="en-US"/>
              </w:rPr>
              <w:t xml:space="preserve"> </w:t>
            </w:r>
            <w:r>
              <w:rPr>
                <w:rFonts w:ascii="Arial" w:hAnsi="Arial" w:cs="Arial"/>
                <w:b/>
                <w:sz w:val="16"/>
                <w:szCs w:val="16"/>
                <w:lang w:eastAsia="en-US"/>
              </w:rPr>
              <w:t>в</w:t>
            </w:r>
            <w:r>
              <w:rPr>
                <w:rFonts w:ascii="Arial" w:hAnsi="Arial" w:cs="Arial"/>
                <w:b/>
                <w:sz w:val="16"/>
                <w:szCs w:val="16"/>
                <w:lang w:val="en-US" w:eastAsia="en-US"/>
              </w:rPr>
              <w:t xml:space="preserve"> </w:t>
            </w:r>
            <w:r>
              <w:rPr>
                <w:rFonts w:ascii="Arial" w:hAnsi="Arial" w:cs="Arial"/>
                <w:b/>
                <w:sz w:val="16"/>
                <w:szCs w:val="16"/>
                <w:lang w:eastAsia="en-US"/>
              </w:rPr>
              <w:t>Україні</w:t>
            </w:r>
            <w:r>
              <w:rPr>
                <w:rFonts w:ascii="Arial" w:hAnsi="Arial" w:cs="Arial"/>
                <w:b/>
                <w:sz w:val="16"/>
                <w:szCs w:val="16"/>
                <w:lang w:val="en-US" w:eastAsia="en-US"/>
              </w:rPr>
              <w:t xml:space="preserve"> (</w:t>
            </w:r>
            <w:r>
              <w:rPr>
                <w:rFonts w:ascii="Arial" w:hAnsi="Arial" w:cs="Arial"/>
                <w:b/>
                <w:sz w:val="16"/>
                <w:szCs w:val="16"/>
                <w:lang w:eastAsia="en-US"/>
              </w:rPr>
              <w:t>лист</w:t>
            </w:r>
            <w:r>
              <w:rPr>
                <w:rFonts w:ascii="Arial" w:hAnsi="Arial" w:cs="Arial"/>
                <w:b/>
                <w:sz w:val="16"/>
                <w:szCs w:val="16"/>
                <w:lang w:val="en-US" w:eastAsia="en-US"/>
              </w:rPr>
              <w:t xml:space="preserve"> </w:t>
            </w:r>
            <w:r>
              <w:rPr>
                <w:rFonts w:ascii="Arial" w:hAnsi="Arial" w:cs="Arial"/>
                <w:b/>
                <w:sz w:val="16"/>
                <w:szCs w:val="16"/>
                <w:lang w:eastAsia="en-US"/>
              </w:rPr>
              <w:t>від</w:t>
            </w:r>
            <w:r>
              <w:rPr>
                <w:rFonts w:ascii="Arial" w:hAnsi="Arial" w:cs="Arial"/>
                <w:b/>
                <w:sz w:val="16"/>
                <w:szCs w:val="16"/>
                <w:lang w:val="en-US" w:eastAsia="en-US"/>
              </w:rPr>
              <w:t xml:space="preserve"> </w:t>
            </w:r>
            <w:r>
              <w:rPr>
                <w:rFonts w:ascii="Arial" w:hAnsi="Arial" w:cs="Arial"/>
                <w:b/>
                <w:sz w:val="16"/>
                <w:szCs w:val="16"/>
                <w:lang w:eastAsia="en-US"/>
              </w:rPr>
              <w:t>заявника</w:t>
            </w:r>
            <w:r>
              <w:rPr>
                <w:rFonts w:ascii="Arial" w:hAnsi="Arial" w:cs="Arial"/>
                <w:b/>
                <w:sz w:val="16"/>
                <w:szCs w:val="16"/>
                <w:lang w:val="en-US" w:eastAsia="en-US"/>
              </w:rPr>
              <w:t xml:space="preserve"> </w:t>
            </w:r>
            <w:r>
              <w:rPr>
                <w:rFonts w:ascii="Arial" w:hAnsi="Arial" w:cs="Arial"/>
                <w:b/>
                <w:sz w:val="16"/>
                <w:szCs w:val="16"/>
                <w:lang w:eastAsia="en-US"/>
              </w:rPr>
              <w:t>Такеда</w:t>
            </w:r>
            <w:r>
              <w:rPr>
                <w:rFonts w:ascii="Arial" w:hAnsi="Arial" w:cs="Arial"/>
                <w:b/>
                <w:sz w:val="16"/>
                <w:szCs w:val="16"/>
                <w:lang w:val="en-US" w:eastAsia="en-US"/>
              </w:rPr>
              <w:t xml:space="preserve"> </w:t>
            </w:r>
            <w:r>
              <w:rPr>
                <w:rFonts w:ascii="Arial" w:hAnsi="Arial" w:cs="Arial"/>
                <w:b/>
                <w:sz w:val="16"/>
                <w:szCs w:val="16"/>
                <w:lang w:eastAsia="en-US"/>
              </w:rPr>
              <w:t>ГмбХ</w:t>
            </w:r>
            <w:r>
              <w:rPr>
                <w:rFonts w:ascii="Arial" w:hAnsi="Arial" w:cs="Arial"/>
                <w:b/>
                <w:sz w:val="16"/>
                <w:szCs w:val="16"/>
                <w:lang w:val="en-US" w:eastAsia="en-US"/>
              </w:rPr>
              <w:t xml:space="preserve">, </w:t>
            </w:r>
            <w:r>
              <w:rPr>
                <w:rFonts w:ascii="Arial" w:hAnsi="Arial" w:cs="Arial"/>
                <w:b/>
                <w:sz w:val="16"/>
                <w:szCs w:val="16"/>
                <w:lang w:eastAsia="en-US"/>
              </w:rPr>
              <w:t>Німеччина</w:t>
            </w:r>
            <w:r>
              <w:rPr>
                <w:rFonts w:ascii="Arial" w:hAnsi="Arial" w:cs="Arial"/>
                <w:b/>
                <w:sz w:val="16"/>
                <w:szCs w:val="16"/>
                <w:lang w:val="en-US" w:eastAsia="en-US"/>
              </w:rPr>
              <w:t xml:space="preserve"> №0231 /</w:t>
            </w:r>
            <w:r>
              <w:rPr>
                <w:rFonts w:ascii="Arial" w:hAnsi="Arial" w:cs="Arial"/>
                <w:b/>
                <w:sz w:val="16"/>
                <w:szCs w:val="16"/>
                <w:lang w:eastAsia="en-US"/>
              </w:rPr>
              <w:t>МД</w:t>
            </w:r>
            <w:r>
              <w:rPr>
                <w:rFonts w:ascii="Arial" w:hAnsi="Arial" w:cs="Arial"/>
                <w:b/>
                <w:sz w:val="16"/>
                <w:szCs w:val="16"/>
                <w:lang w:val="en-US" w:eastAsia="en-US"/>
              </w:rPr>
              <w:t xml:space="preserve"> </w:t>
            </w:r>
            <w:r>
              <w:rPr>
                <w:rFonts w:ascii="Arial" w:hAnsi="Arial" w:cs="Arial"/>
                <w:b/>
                <w:sz w:val="16"/>
                <w:szCs w:val="16"/>
                <w:lang w:eastAsia="en-US"/>
              </w:rPr>
              <w:t>від</w:t>
            </w:r>
            <w:r>
              <w:rPr>
                <w:rFonts w:ascii="Arial" w:hAnsi="Arial" w:cs="Arial"/>
                <w:b/>
                <w:sz w:val="16"/>
                <w:szCs w:val="16"/>
                <w:lang w:val="en-US" w:eastAsia="en-US"/>
              </w:rPr>
              <w:t xml:space="preserve"> 16.08.2022</w:t>
            </w:r>
            <w:r>
              <w:rPr>
                <w:rFonts w:ascii="Arial" w:hAnsi="Arial" w:cs="Arial"/>
                <w:b/>
                <w:sz w:val="16"/>
                <w:szCs w:val="16"/>
                <w:lang w:eastAsia="en-US"/>
              </w:rPr>
              <w:t>р</w:t>
            </w:r>
            <w:r>
              <w:rPr>
                <w:rFonts w:ascii="Arial" w:hAnsi="Arial" w:cs="Arial"/>
                <w:b/>
                <w:sz w:val="16"/>
                <w:szCs w:val="16"/>
                <w:lang w:val="en-US" w:eastAsia="en-US"/>
              </w:rPr>
              <w:t xml:space="preserve">.). </w:t>
            </w:r>
            <w:r>
              <w:rPr>
                <w:rFonts w:ascii="Arial" w:hAnsi="Arial" w:cs="Arial"/>
                <w:sz w:val="16"/>
                <w:szCs w:val="16"/>
                <w:lang w:eastAsia="en-US"/>
              </w:rPr>
              <w:t>Зміни</w:t>
            </w:r>
            <w:r>
              <w:rPr>
                <w:rFonts w:ascii="Arial" w:hAnsi="Arial" w:cs="Arial"/>
                <w:sz w:val="16"/>
                <w:szCs w:val="16"/>
                <w:lang w:val="en-US" w:eastAsia="en-US"/>
              </w:rPr>
              <w:t xml:space="preserve"> </w:t>
            </w:r>
            <w:r>
              <w:rPr>
                <w:rFonts w:ascii="Arial" w:hAnsi="Arial" w:cs="Arial"/>
                <w:sz w:val="16"/>
                <w:szCs w:val="16"/>
                <w:lang w:eastAsia="en-US"/>
              </w:rPr>
              <w:t>І</w:t>
            </w:r>
            <w:r>
              <w:rPr>
                <w:rFonts w:ascii="Arial" w:hAnsi="Arial" w:cs="Arial"/>
                <w:sz w:val="16"/>
                <w:szCs w:val="16"/>
                <w:lang w:val="en-US" w:eastAsia="en-US"/>
              </w:rPr>
              <w:t xml:space="preserve"> </w:t>
            </w:r>
            <w:r>
              <w:rPr>
                <w:rFonts w:ascii="Arial" w:hAnsi="Arial" w:cs="Arial"/>
                <w:sz w:val="16"/>
                <w:szCs w:val="16"/>
                <w:lang w:eastAsia="en-US"/>
              </w:rPr>
              <w:t>типу</w:t>
            </w:r>
            <w:r>
              <w:rPr>
                <w:rFonts w:ascii="Arial" w:hAnsi="Arial" w:cs="Arial"/>
                <w:sz w:val="16"/>
                <w:szCs w:val="16"/>
                <w:lang w:val="en-US" w:eastAsia="en-US"/>
              </w:rPr>
              <w:t xml:space="preserve"> - </w:t>
            </w:r>
            <w:r>
              <w:rPr>
                <w:rFonts w:ascii="Arial" w:hAnsi="Arial" w:cs="Arial"/>
                <w:sz w:val="16"/>
                <w:szCs w:val="16"/>
                <w:lang w:eastAsia="en-US"/>
              </w:rPr>
              <w:t>Зміни</w:t>
            </w:r>
            <w:r>
              <w:rPr>
                <w:rFonts w:ascii="Arial" w:hAnsi="Arial" w:cs="Arial"/>
                <w:sz w:val="16"/>
                <w:szCs w:val="16"/>
                <w:lang w:val="en-US" w:eastAsia="en-US"/>
              </w:rPr>
              <w:t xml:space="preserve"> </w:t>
            </w:r>
            <w:r>
              <w:rPr>
                <w:rFonts w:ascii="Arial" w:hAnsi="Arial" w:cs="Arial"/>
                <w:sz w:val="16"/>
                <w:szCs w:val="16"/>
                <w:lang w:eastAsia="en-US"/>
              </w:rPr>
              <w:t>щодо</w:t>
            </w:r>
            <w:r>
              <w:rPr>
                <w:rFonts w:ascii="Arial" w:hAnsi="Arial" w:cs="Arial"/>
                <w:sz w:val="16"/>
                <w:szCs w:val="16"/>
                <w:lang w:val="en-US" w:eastAsia="en-US"/>
              </w:rPr>
              <w:t xml:space="preserve"> </w:t>
            </w:r>
            <w:r>
              <w:rPr>
                <w:rFonts w:ascii="Arial" w:hAnsi="Arial" w:cs="Arial"/>
                <w:sz w:val="16"/>
                <w:szCs w:val="16"/>
                <w:lang w:eastAsia="en-US"/>
              </w:rPr>
              <w:t>безпеки</w:t>
            </w:r>
            <w:r>
              <w:rPr>
                <w:rFonts w:ascii="Arial" w:hAnsi="Arial" w:cs="Arial"/>
                <w:sz w:val="16"/>
                <w:szCs w:val="16"/>
                <w:lang w:val="en-US" w:eastAsia="en-US"/>
              </w:rPr>
              <w:t>/</w:t>
            </w:r>
            <w:r>
              <w:rPr>
                <w:rFonts w:ascii="Arial" w:hAnsi="Arial" w:cs="Arial"/>
                <w:sz w:val="16"/>
                <w:szCs w:val="16"/>
                <w:lang w:eastAsia="en-US"/>
              </w:rPr>
              <w:t>ефективності</w:t>
            </w:r>
            <w:r>
              <w:rPr>
                <w:rFonts w:ascii="Arial" w:hAnsi="Arial" w:cs="Arial"/>
                <w:sz w:val="16"/>
                <w:szCs w:val="16"/>
                <w:lang w:val="en-US" w:eastAsia="en-US"/>
              </w:rPr>
              <w:t xml:space="preserve"> </w:t>
            </w:r>
            <w:r>
              <w:rPr>
                <w:rFonts w:ascii="Arial" w:hAnsi="Arial" w:cs="Arial"/>
                <w:sz w:val="16"/>
                <w:szCs w:val="16"/>
                <w:lang w:eastAsia="en-US"/>
              </w:rPr>
              <w:t>та</w:t>
            </w:r>
            <w:r>
              <w:rPr>
                <w:rFonts w:ascii="Arial" w:hAnsi="Arial" w:cs="Arial"/>
                <w:sz w:val="16"/>
                <w:szCs w:val="16"/>
                <w:lang w:val="en-US" w:eastAsia="en-US"/>
              </w:rPr>
              <w:t xml:space="preserve"> </w:t>
            </w:r>
            <w:r>
              <w:rPr>
                <w:rFonts w:ascii="Arial" w:hAnsi="Arial" w:cs="Arial"/>
                <w:sz w:val="16"/>
                <w:szCs w:val="16"/>
                <w:lang w:eastAsia="en-US"/>
              </w:rPr>
              <w:t>фармаконагляду</w:t>
            </w:r>
            <w:r>
              <w:rPr>
                <w:rFonts w:ascii="Arial" w:hAnsi="Arial" w:cs="Arial"/>
                <w:sz w:val="16"/>
                <w:szCs w:val="16"/>
                <w:lang w:val="en-US" w:eastAsia="en-US"/>
              </w:rPr>
              <w:t xml:space="preserve">. </w:t>
            </w:r>
            <w:r>
              <w:rPr>
                <w:rFonts w:ascii="Arial" w:hAnsi="Arial" w:cs="Arial"/>
                <w:sz w:val="16"/>
                <w:szCs w:val="16"/>
                <w:lang w:eastAsia="en-US"/>
              </w:rPr>
              <w:t>Введення</w:t>
            </w:r>
            <w:r>
              <w:rPr>
                <w:rFonts w:ascii="Arial" w:hAnsi="Arial" w:cs="Arial"/>
                <w:sz w:val="16"/>
                <w:szCs w:val="16"/>
                <w:lang w:val="en-US" w:eastAsia="en-US"/>
              </w:rPr>
              <w:t xml:space="preserve"> </w:t>
            </w:r>
            <w:r>
              <w:rPr>
                <w:rFonts w:ascii="Arial" w:hAnsi="Arial" w:cs="Arial"/>
                <w:sz w:val="16"/>
                <w:szCs w:val="16"/>
                <w:lang w:eastAsia="en-US"/>
              </w:rPr>
              <w:t>або</w:t>
            </w:r>
            <w:r>
              <w:rPr>
                <w:rFonts w:ascii="Arial" w:hAnsi="Arial" w:cs="Arial"/>
                <w:sz w:val="16"/>
                <w:szCs w:val="16"/>
                <w:lang w:val="en-US" w:eastAsia="en-US"/>
              </w:rPr>
              <w:t xml:space="preserve"> </w:t>
            </w:r>
            <w:r>
              <w:rPr>
                <w:rFonts w:ascii="Arial" w:hAnsi="Arial" w:cs="Arial"/>
                <w:sz w:val="16"/>
                <w:szCs w:val="16"/>
                <w:lang w:eastAsia="en-US"/>
              </w:rPr>
              <w:t>зміни</w:t>
            </w:r>
            <w:r>
              <w:rPr>
                <w:rFonts w:ascii="Arial" w:hAnsi="Arial" w:cs="Arial"/>
                <w:sz w:val="16"/>
                <w:szCs w:val="16"/>
                <w:lang w:val="en-US" w:eastAsia="en-US"/>
              </w:rPr>
              <w:t xml:space="preserve"> </w:t>
            </w:r>
            <w:r>
              <w:rPr>
                <w:rFonts w:ascii="Arial" w:hAnsi="Arial" w:cs="Arial"/>
                <w:sz w:val="16"/>
                <w:szCs w:val="16"/>
                <w:lang w:eastAsia="en-US"/>
              </w:rPr>
              <w:t>до</w:t>
            </w:r>
            <w:r>
              <w:rPr>
                <w:rFonts w:ascii="Arial" w:hAnsi="Arial" w:cs="Arial"/>
                <w:sz w:val="16"/>
                <w:szCs w:val="16"/>
                <w:lang w:val="en-US" w:eastAsia="en-US"/>
              </w:rPr>
              <w:t xml:space="preserve"> </w:t>
            </w:r>
            <w:r>
              <w:rPr>
                <w:rFonts w:ascii="Arial" w:hAnsi="Arial" w:cs="Arial"/>
                <w:sz w:val="16"/>
                <w:szCs w:val="16"/>
                <w:lang w:eastAsia="en-US"/>
              </w:rPr>
              <w:t>узагальнених</w:t>
            </w:r>
            <w:r>
              <w:rPr>
                <w:rFonts w:ascii="Arial" w:hAnsi="Arial" w:cs="Arial"/>
                <w:sz w:val="16"/>
                <w:szCs w:val="16"/>
                <w:lang w:val="en-US" w:eastAsia="en-US"/>
              </w:rPr>
              <w:t xml:space="preserve"> </w:t>
            </w:r>
            <w:r>
              <w:rPr>
                <w:rFonts w:ascii="Arial" w:hAnsi="Arial" w:cs="Arial"/>
                <w:sz w:val="16"/>
                <w:szCs w:val="16"/>
                <w:lang w:eastAsia="en-US"/>
              </w:rPr>
              <w:t>даних</w:t>
            </w:r>
            <w:r>
              <w:rPr>
                <w:rFonts w:ascii="Arial" w:hAnsi="Arial" w:cs="Arial"/>
                <w:sz w:val="16"/>
                <w:szCs w:val="16"/>
                <w:lang w:val="en-US" w:eastAsia="en-US"/>
              </w:rPr>
              <w:t xml:space="preserve"> </w:t>
            </w:r>
            <w:r>
              <w:rPr>
                <w:rFonts w:ascii="Arial" w:hAnsi="Arial" w:cs="Arial"/>
                <w:sz w:val="16"/>
                <w:szCs w:val="16"/>
                <w:lang w:eastAsia="en-US"/>
              </w:rPr>
              <w:t>про</w:t>
            </w:r>
            <w:r>
              <w:rPr>
                <w:rFonts w:ascii="Arial" w:hAnsi="Arial" w:cs="Arial"/>
                <w:sz w:val="16"/>
                <w:szCs w:val="16"/>
                <w:lang w:val="en-US" w:eastAsia="en-US"/>
              </w:rPr>
              <w:t xml:space="preserve"> </w:t>
            </w:r>
            <w:r>
              <w:rPr>
                <w:rFonts w:ascii="Arial" w:hAnsi="Arial" w:cs="Arial"/>
                <w:sz w:val="16"/>
                <w:szCs w:val="16"/>
                <w:lang w:eastAsia="en-US"/>
              </w:rPr>
              <w:t>систему</w:t>
            </w:r>
            <w:r>
              <w:rPr>
                <w:rFonts w:ascii="Arial" w:hAnsi="Arial" w:cs="Arial"/>
                <w:sz w:val="16"/>
                <w:szCs w:val="16"/>
                <w:lang w:val="en-US" w:eastAsia="en-US"/>
              </w:rPr>
              <w:t xml:space="preserve"> </w:t>
            </w:r>
            <w:r>
              <w:rPr>
                <w:rFonts w:ascii="Arial" w:hAnsi="Arial" w:cs="Arial"/>
                <w:sz w:val="16"/>
                <w:szCs w:val="16"/>
                <w:lang w:eastAsia="en-US"/>
              </w:rPr>
              <w:t>фармаконагляду</w:t>
            </w:r>
            <w:r>
              <w:rPr>
                <w:rFonts w:ascii="Arial" w:hAnsi="Arial" w:cs="Arial"/>
                <w:sz w:val="16"/>
                <w:szCs w:val="16"/>
                <w:lang w:val="en-US" w:eastAsia="en-US"/>
              </w:rPr>
              <w:t xml:space="preserve"> (</w:t>
            </w:r>
            <w:r>
              <w:rPr>
                <w:rFonts w:ascii="Arial" w:hAnsi="Arial" w:cs="Arial"/>
                <w:sz w:val="16"/>
                <w:szCs w:val="16"/>
                <w:lang w:eastAsia="en-US"/>
              </w:rPr>
              <w:t>введення</w:t>
            </w:r>
            <w:r>
              <w:rPr>
                <w:rFonts w:ascii="Arial" w:hAnsi="Arial" w:cs="Arial"/>
                <w:sz w:val="16"/>
                <w:szCs w:val="16"/>
                <w:lang w:val="en-US" w:eastAsia="en-US"/>
              </w:rPr>
              <w:t xml:space="preserve"> </w:t>
            </w:r>
            <w:r>
              <w:rPr>
                <w:rFonts w:ascii="Arial" w:hAnsi="Arial" w:cs="Arial"/>
                <w:sz w:val="16"/>
                <w:szCs w:val="16"/>
                <w:lang w:eastAsia="en-US"/>
              </w:rPr>
              <w:t>узагальнених</w:t>
            </w:r>
            <w:r>
              <w:rPr>
                <w:rFonts w:ascii="Arial" w:hAnsi="Arial" w:cs="Arial"/>
                <w:sz w:val="16"/>
                <w:szCs w:val="16"/>
                <w:lang w:val="en-US" w:eastAsia="en-US"/>
              </w:rPr>
              <w:t xml:space="preserve"> </w:t>
            </w:r>
            <w:r>
              <w:rPr>
                <w:rFonts w:ascii="Arial" w:hAnsi="Arial" w:cs="Arial"/>
                <w:sz w:val="16"/>
                <w:szCs w:val="16"/>
                <w:lang w:eastAsia="en-US"/>
              </w:rPr>
              <w:t>даних</w:t>
            </w:r>
            <w:r>
              <w:rPr>
                <w:rFonts w:ascii="Arial" w:hAnsi="Arial" w:cs="Arial"/>
                <w:sz w:val="16"/>
                <w:szCs w:val="16"/>
                <w:lang w:val="en-US" w:eastAsia="en-US"/>
              </w:rPr>
              <w:t xml:space="preserve"> </w:t>
            </w:r>
            <w:r>
              <w:rPr>
                <w:rFonts w:ascii="Arial" w:hAnsi="Arial" w:cs="Arial"/>
                <w:sz w:val="16"/>
                <w:szCs w:val="16"/>
                <w:lang w:eastAsia="en-US"/>
              </w:rPr>
              <w:t>про</w:t>
            </w:r>
            <w:r>
              <w:rPr>
                <w:rFonts w:ascii="Arial" w:hAnsi="Arial" w:cs="Arial"/>
                <w:sz w:val="16"/>
                <w:szCs w:val="16"/>
                <w:lang w:val="en-US" w:eastAsia="en-US"/>
              </w:rPr>
              <w:t xml:space="preserve"> </w:t>
            </w:r>
            <w:r>
              <w:rPr>
                <w:rFonts w:ascii="Arial" w:hAnsi="Arial" w:cs="Arial"/>
                <w:sz w:val="16"/>
                <w:szCs w:val="16"/>
                <w:lang w:eastAsia="en-US"/>
              </w:rPr>
              <w:t>систему</w:t>
            </w:r>
            <w:r>
              <w:rPr>
                <w:rFonts w:ascii="Arial" w:hAnsi="Arial" w:cs="Arial"/>
                <w:sz w:val="16"/>
                <w:szCs w:val="16"/>
                <w:lang w:val="en-US" w:eastAsia="en-US"/>
              </w:rPr>
              <w:t xml:space="preserve"> </w:t>
            </w:r>
            <w:r>
              <w:rPr>
                <w:rFonts w:ascii="Arial" w:hAnsi="Arial" w:cs="Arial"/>
                <w:sz w:val="16"/>
                <w:szCs w:val="16"/>
                <w:lang w:eastAsia="en-US"/>
              </w:rPr>
              <w:t>фармаконагляду</w:t>
            </w:r>
            <w:r>
              <w:rPr>
                <w:rFonts w:ascii="Arial" w:hAnsi="Arial" w:cs="Arial"/>
                <w:sz w:val="16"/>
                <w:szCs w:val="16"/>
                <w:lang w:val="en-US" w:eastAsia="en-US"/>
              </w:rPr>
              <w:t xml:space="preserve">, </w:t>
            </w:r>
            <w:r>
              <w:rPr>
                <w:rFonts w:ascii="Arial" w:hAnsi="Arial" w:cs="Arial"/>
                <w:sz w:val="16"/>
                <w:szCs w:val="16"/>
                <w:lang w:eastAsia="en-US"/>
              </w:rPr>
              <w:t>зміна</w:t>
            </w:r>
            <w:r>
              <w:rPr>
                <w:rFonts w:ascii="Arial" w:hAnsi="Arial" w:cs="Arial"/>
                <w:sz w:val="16"/>
                <w:szCs w:val="16"/>
                <w:lang w:val="en-US" w:eastAsia="en-US"/>
              </w:rPr>
              <w:t xml:space="preserve"> </w:t>
            </w:r>
            <w:r>
              <w:rPr>
                <w:rFonts w:ascii="Arial" w:hAnsi="Arial" w:cs="Arial"/>
                <w:sz w:val="16"/>
                <w:szCs w:val="16"/>
                <w:lang w:eastAsia="en-US"/>
              </w:rPr>
              <w:t>уповноваженої</w:t>
            </w:r>
            <w:r>
              <w:rPr>
                <w:rFonts w:ascii="Arial" w:hAnsi="Arial" w:cs="Arial"/>
                <w:sz w:val="16"/>
                <w:szCs w:val="16"/>
                <w:lang w:val="en-US" w:eastAsia="en-US"/>
              </w:rPr>
              <w:t xml:space="preserve"> </w:t>
            </w:r>
            <w:r>
              <w:rPr>
                <w:rFonts w:ascii="Arial" w:hAnsi="Arial" w:cs="Arial"/>
                <w:sz w:val="16"/>
                <w:szCs w:val="16"/>
                <w:lang w:eastAsia="en-US"/>
              </w:rPr>
              <w:t>особи</w:t>
            </w:r>
            <w:r>
              <w:rPr>
                <w:rFonts w:ascii="Arial" w:hAnsi="Arial" w:cs="Arial"/>
                <w:sz w:val="16"/>
                <w:szCs w:val="16"/>
                <w:lang w:val="en-US" w:eastAsia="en-US"/>
              </w:rPr>
              <w:t xml:space="preserve">, </w:t>
            </w:r>
            <w:r>
              <w:rPr>
                <w:rFonts w:ascii="Arial" w:hAnsi="Arial" w:cs="Arial"/>
                <w:sz w:val="16"/>
                <w:szCs w:val="16"/>
                <w:lang w:eastAsia="en-US"/>
              </w:rPr>
              <w:t>відповідальної</w:t>
            </w:r>
            <w:r>
              <w:rPr>
                <w:rFonts w:ascii="Arial" w:hAnsi="Arial" w:cs="Arial"/>
                <w:sz w:val="16"/>
                <w:szCs w:val="16"/>
                <w:lang w:val="en-US" w:eastAsia="en-US"/>
              </w:rPr>
              <w:t xml:space="preserve"> </w:t>
            </w:r>
            <w:r>
              <w:rPr>
                <w:rFonts w:ascii="Arial" w:hAnsi="Arial" w:cs="Arial"/>
                <w:sz w:val="16"/>
                <w:szCs w:val="16"/>
                <w:lang w:eastAsia="en-US"/>
              </w:rPr>
              <w:t>за</w:t>
            </w:r>
            <w:r>
              <w:rPr>
                <w:rFonts w:ascii="Arial" w:hAnsi="Arial" w:cs="Arial"/>
                <w:sz w:val="16"/>
                <w:szCs w:val="16"/>
                <w:lang w:val="en-US" w:eastAsia="en-US"/>
              </w:rPr>
              <w:t xml:space="preserve"> </w:t>
            </w:r>
            <w:r>
              <w:rPr>
                <w:rFonts w:ascii="Arial" w:hAnsi="Arial" w:cs="Arial"/>
                <w:sz w:val="16"/>
                <w:szCs w:val="16"/>
                <w:lang w:eastAsia="en-US"/>
              </w:rPr>
              <w:t>здійснення</w:t>
            </w:r>
            <w:r>
              <w:rPr>
                <w:rFonts w:ascii="Arial" w:hAnsi="Arial" w:cs="Arial"/>
                <w:sz w:val="16"/>
                <w:szCs w:val="16"/>
                <w:lang w:val="en-US" w:eastAsia="en-US"/>
              </w:rPr>
              <w:t xml:space="preserve"> </w:t>
            </w:r>
            <w:r>
              <w:rPr>
                <w:rFonts w:ascii="Arial" w:hAnsi="Arial" w:cs="Arial"/>
                <w:sz w:val="16"/>
                <w:szCs w:val="16"/>
                <w:lang w:eastAsia="en-US"/>
              </w:rPr>
              <w:t>фармаконагляду</w:t>
            </w:r>
            <w:r>
              <w:rPr>
                <w:rFonts w:ascii="Arial" w:hAnsi="Arial" w:cs="Arial"/>
                <w:sz w:val="16"/>
                <w:szCs w:val="16"/>
                <w:lang w:val="en-US" w:eastAsia="en-US"/>
              </w:rPr>
              <w:t xml:space="preserve">; </w:t>
            </w:r>
            <w:r>
              <w:rPr>
                <w:rFonts w:ascii="Arial" w:hAnsi="Arial" w:cs="Arial"/>
                <w:sz w:val="16"/>
                <w:szCs w:val="16"/>
                <w:lang w:eastAsia="en-US"/>
              </w:rPr>
              <w:t>контактної</w:t>
            </w:r>
            <w:r>
              <w:rPr>
                <w:rFonts w:ascii="Arial" w:hAnsi="Arial" w:cs="Arial"/>
                <w:sz w:val="16"/>
                <w:szCs w:val="16"/>
                <w:lang w:val="en-US" w:eastAsia="en-US"/>
              </w:rPr>
              <w:t xml:space="preserve"> </w:t>
            </w:r>
            <w:r>
              <w:rPr>
                <w:rFonts w:ascii="Arial" w:hAnsi="Arial" w:cs="Arial"/>
                <w:sz w:val="16"/>
                <w:szCs w:val="16"/>
                <w:lang w:eastAsia="en-US"/>
              </w:rPr>
              <w:t>особи</w:t>
            </w:r>
            <w:r>
              <w:rPr>
                <w:rFonts w:ascii="Arial" w:hAnsi="Arial" w:cs="Arial"/>
                <w:sz w:val="16"/>
                <w:szCs w:val="16"/>
                <w:lang w:val="en-US" w:eastAsia="en-US"/>
              </w:rPr>
              <w:t xml:space="preserve"> </w:t>
            </w:r>
            <w:r>
              <w:rPr>
                <w:rFonts w:ascii="Arial" w:hAnsi="Arial" w:cs="Arial"/>
                <w:sz w:val="16"/>
                <w:szCs w:val="16"/>
                <w:lang w:eastAsia="en-US"/>
              </w:rPr>
              <w:t>з</w:t>
            </w:r>
            <w:r>
              <w:rPr>
                <w:rFonts w:ascii="Arial" w:hAnsi="Arial" w:cs="Arial"/>
                <w:sz w:val="16"/>
                <w:szCs w:val="16"/>
                <w:lang w:val="en-US" w:eastAsia="en-US"/>
              </w:rPr>
              <w:t xml:space="preserve"> </w:t>
            </w:r>
            <w:r>
              <w:rPr>
                <w:rFonts w:ascii="Arial" w:hAnsi="Arial" w:cs="Arial"/>
                <w:sz w:val="16"/>
                <w:szCs w:val="16"/>
                <w:lang w:eastAsia="en-US"/>
              </w:rPr>
              <w:t>фармаконагляду</w:t>
            </w:r>
            <w:r>
              <w:rPr>
                <w:rFonts w:ascii="Arial" w:hAnsi="Arial" w:cs="Arial"/>
                <w:sz w:val="16"/>
                <w:szCs w:val="16"/>
                <w:lang w:val="en-US" w:eastAsia="en-US"/>
              </w:rPr>
              <w:t xml:space="preserve"> </w:t>
            </w:r>
            <w:r>
              <w:rPr>
                <w:rFonts w:ascii="Arial" w:hAnsi="Arial" w:cs="Arial"/>
                <w:sz w:val="16"/>
                <w:szCs w:val="16"/>
                <w:lang w:eastAsia="en-US"/>
              </w:rPr>
              <w:t>заявника</w:t>
            </w:r>
            <w:r>
              <w:rPr>
                <w:rFonts w:ascii="Arial" w:hAnsi="Arial" w:cs="Arial"/>
                <w:sz w:val="16"/>
                <w:szCs w:val="16"/>
                <w:lang w:val="en-US" w:eastAsia="en-US"/>
              </w:rPr>
              <w:t xml:space="preserve"> </w:t>
            </w:r>
            <w:r>
              <w:rPr>
                <w:rFonts w:ascii="Arial" w:hAnsi="Arial" w:cs="Arial"/>
                <w:sz w:val="16"/>
                <w:szCs w:val="16"/>
                <w:lang w:eastAsia="en-US"/>
              </w:rPr>
              <w:t>для</w:t>
            </w:r>
            <w:r>
              <w:rPr>
                <w:rFonts w:ascii="Arial" w:hAnsi="Arial" w:cs="Arial"/>
                <w:sz w:val="16"/>
                <w:szCs w:val="16"/>
                <w:lang w:val="en-US" w:eastAsia="en-US"/>
              </w:rPr>
              <w:t xml:space="preserve"> </w:t>
            </w:r>
            <w:r>
              <w:rPr>
                <w:rFonts w:ascii="Arial" w:hAnsi="Arial" w:cs="Arial"/>
                <w:sz w:val="16"/>
                <w:szCs w:val="16"/>
                <w:lang w:eastAsia="en-US"/>
              </w:rPr>
              <w:t>здійснення</w:t>
            </w:r>
            <w:r>
              <w:rPr>
                <w:rFonts w:ascii="Arial" w:hAnsi="Arial" w:cs="Arial"/>
                <w:sz w:val="16"/>
                <w:szCs w:val="16"/>
                <w:lang w:val="en-US" w:eastAsia="en-US"/>
              </w:rPr>
              <w:t xml:space="preserve"> </w:t>
            </w:r>
            <w:r>
              <w:rPr>
                <w:rFonts w:ascii="Arial" w:hAnsi="Arial" w:cs="Arial"/>
                <w:sz w:val="16"/>
                <w:szCs w:val="16"/>
                <w:lang w:eastAsia="en-US"/>
              </w:rPr>
              <w:t>фармаконагляду</w:t>
            </w:r>
            <w:r>
              <w:rPr>
                <w:rFonts w:ascii="Arial" w:hAnsi="Arial" w:cs="Arial"/>
                <w:sz w:val="16"/>
                <w:szCs w:val="16"/>
                <w:lang w:val="en-US" w:eastAsia="en-US"/>
              </w:rPr>
              <w:t xml:space="preserve"> </w:t>
            </w:r>
            <w:r>
              <w:rPr>
                <w:rFonts w:ascii="Arial" w:hAnsi="Arial" w:cs="Arial"/>
                <w:sz w:val="16"/>
                <w:szCs w:val="16"/>
                <w:lang w:eastAsia="en-US"/>
              </w:rPr>
              <w:t>в</w:t>
            </w:r>
            <w:r>
              <w:rPr>
                <w:rFonts w:ascii="Arial" w:hAnsi="Arial" w:cs="Arial"/>
                <w:sz w:val="16"/>
                <w:szCs w:val="16"/>
                <w:lang w:val="en-US" w:eastAsia="en-US"/>
              </w:rPr>
              <w:t xml:space="preserve"> </w:t>
            </w:r>
            <w:r>
              <w:rPr>
                <w:rFonts w:ascii="Arial" w:hAnsi="Arial" w:cs="Arial"/>
                <w:sz w:val="16"/>
                <w:szCs w:val="16"/>
                <w:lang w:eastAsia="en-US"/>
              </w:rPr>
              <w:t>Україні</w:t>
            </w:r>
            <w:r>
              <w:rPr>
                <w:rFonts w:ascii="Arial" w:hAnsi="Arial" w:cs="Arial"/>
                <w:sz w:val="16"/>
                <w:szCs w:val="16"/>
                <w:lang w:val="en-US" w:eastAsia="en-US"/>
              </w:rPr>
              <w:t xml:space="preserve">, </w:t>
            </w:r>
            <w:r>
              <w:rPr>
                <w:rFonts w:ascii="Arial" w:hAnsi="Arial" w:cs="Arial"/>
                <w:sz w:val="16"/>
                <w:szCs w:val="16"/>
                <w:lang w:eastAsia="en-US"/>
              </w:rPr>
              <w:t>якщо</w:t>
            </w:r>
            <w:r>
              <w:rPr>
                <w:rFonts w:ascii="Arial" w:hAnsi="Arial" w:cs="Arial"/>
                <w:sz w:val="16"/>
                <w:szCs w:val="16"/>
                <w:lang w:val="en-US" w:eastAsia="en-US"/>
              </w:rPr>
              <w:t xml:space="preserve"> </w:t>
            </w:r>
            <w:r>
              <w:rPr>
                <w:rFonts w:ascii="Arial" w:hAnsi="Arial" w:cs="Arial"/>
                <w:sz w:val="16"/>
                <w:szCs w:val="16"/>
                <w:lang w:eastAsia="en-US"/>
              </w:rPr>
              <w:t>вона</w:t>
            </w:r>
            <w:r>
              <w:rPr>
                <w:rFonts w:ascii="Arial" w:hAnsi="Arial" w:cs="Arial"/>
                <w:sz w:val="16"/>
                <w:szCs w:val="16"/>
                <w:lang w:val="en-US" w:eastAsia="en-US"/>
              </w:rPr>
              <w:t xml:space="preserve"> </w:t>
            </w:r>
            <w:r>
              <w:rPr>
                <w:rFonts w:ascii="Arial" w:hAnsi="Arial" w:cs="Arial"/>
                <w:sz w:val="16"/>
                <w:szCs w:val="16"/>
                <w:lang w:eastAsia="en-US"/>
              </w:rPr>
              <w:t>відмінна</w:t>
            </w:r>
            <w:r>
              <w:rPr>
                <w:rFonts w:ascii="Arial" w:hAnsi="Arial" w:cs="Arial"/>
                <w:sz w:val="16"/>
                <w:szCs w:val="16"/>
                <w:lang w:val="en-US" w:eastAsia="en-US"/>
              </w:rPr>
              <w:t xml:space="preserve"> </w:t>
            </w:r>
            <w:r>
              <w:rPr>
                <w:rFonts w:ascii="Arial" w:hAnsi="Arial" w:cs="Arial"/>
                <w:sz w:val="16"/>
                <w:szCs w:val="16"/>
                <w:lang w:eastAsia="en-US"/>
              </w:rPr>
              <w:t>від</w:t>
            </w:r>
            <w:r>
              <w:rPr>
                <w:rFonts w:ascii="Arial" w:hAnsi="Arial" w:cs="Arial"/>
                <w:sz w:val="16"/>
                <w:szCs w:val="16"/>
                <w:lang w:val="en-US" w:eastAsia="en-US"/>
              </w:rPr>
              <w:t xml:space="preserve"> </w:t>
            </w:r>
            <w:r>
              <w:rPr>
                <w:rFonts w:ascii="Arial" w:hAnsi="Arial" w:cs="Arial"/>
                <w:sz w:val="16"/>
                <w:szCs w:val="16"/>
                <w:lang w:eastAsia="en-US"/>
              </w:rPr>
              <w:t>уповноваженої</w:t>
            </w:r>
            <w:r>
              <w:rPr>
                <w:rFonts w:ascii="Arial" w:hAnsi="Arial" w:cs="Arial"/>
                <w:sz w:val="16"/>
                <w:szCs w:val="16"/>
                <w:lang w:val="en-US" w:eastAsia="en-US"/>
              </w:rPr>
              <w:t xml:space="preserve"> </w:t>
            </w:r>
            <w:r>
              <w:rPr>
                <w:rFonts w:ascii="Arial" w:hAnsi="Arial" w:cs="Arial"/>
                <w:sz w:val="16"/>
                <w:szCs w:val="16"/>
                <w:lang w:eastAsia="en-US"/>
              </w:rPr>
              <w:t>особи</w:t>
            </w:r>
            <w:r>
              <w:rPr>
                <w:rFonts w:ascii="Arial" w:hAnsi="Arial" w:cs="Arial"/>
                <w:sz w:val="16"/>
                <w:szCs w:val="16"/>
                <w:lang w:val="en-US" w:eastAsia="en-US"/>
              </w:rPr>
              <w:t xml:space="preserve">, </w:t>
            </w:r>
            <w:r>
              <w:rPr>
                <w:rFonts w:ascii="Arial" w:hAnsi="Arial" w:cs="Arial"/>
                <w:sz w:val="16"/>
                <w:szCs w:val="16"/>
                <w:lang w:eastAsia="en-US"/>
              </w:rPr>
              <w:t>відповідальної</w:t>
            </w:r>
            <w:r>
              <w:rPr>
                <w:rFonts w:ascii="Arial" w:hAnsi="Arial" w:cs="Arial"/>
                <w:sz w:val="16"/>
                <w:szCs w:val="16"/>
                <w:lang w:val="en-US" w:eastAsia="en-US"/>
              </w:rPr>
              <w:t xml:space="preserve"> </w:t>
            </w:r>
            <w:r>
              <w:rPr>
                <w:rFonts w:ascii="Arial" w:hAnsi="Arial" w:cs="Arial"/>
                <w:sz w:val="16"/>
                <w:szCs w:val="16"/>
                <w:lang w:eastAsia="en-US"/>
              </w:rPr>
              <w:t>за</w:t>
            </w:r>
            <w:r>
              <w:rPr>
                <w:rFonts w:ascii="Arial" w:hAnsi="Arial" w:cs="Arial"/>
                <w:sz w:val="16"/>
                <w:szCs w:val="16"/>
                <w:lang w:val="en-US" w:eastAsia="en-US"/>
              </w:rPr>
              <w:t xml:space="preserve"> </w:t>
            </w:r>
            <w:r>
              <w:rPr>
                <w:rFonts w:ascii="Arial" w:hAnsi="Arial" w:cs="Arial"/>
                <w:sz w:val="16"/>
                <w:szCs w:val="16"/>
                <w:lang w:eastAsia="en-US"/>
              </w:rPr>
              <w:t>здійснення</w:t>
            </w:r>
            <w:r>
              <w:rPr>
                <w:rFonts w:ascii="Arial" w:hAnsi="Arial" w:cs="Arial"/>
                <w:sz w:val="16"/>
                <w:szCs w:val="16"/>
                <w:lang w:val="en-US" w:eastAsia="en-US"/>
              </w:rPr>
              <w:t xml:space="preserve"> </w:t>
            </w:r>
            <w:r>
              <w:rPr>
                <w:rFonts w:ascii="Arial" w:hAnsi="Arial" w:cs="Arial"/>
                <w:sz w:val="16"/>
                <w:szCs w:val="16"/>
                <w:lang w:eastAsia="en-US"/>
              </w:rPr>
              <w:t>фармаконагляду</w:t>
            </w:r>
            <w:r>
              <w:rPr>
                <w:rFonts w:ascii="Arial" w:hAnsi="Arial" w:cs="Arial"/>
                <w:sz w:val="16"/>
                <w:szCs w:val="16"/>
                <w:lang w:val="en-US" w:eastAsia="en-US"/>
              </w:rPr>
              <w:t xml:space="preserve"> (</w:t>
            </w:r>
            <w:r>
              <w:rPr>
                <w:rFonts w:ascii="Arial" w:hAnsi="Arial" w:cs="Arial"/>
                <w:sz w:val="16"/>
                <w:szCs w:val="16"/>
                <w:lang w:eastAsia="en-US"/>
              </w:rPr>
              <w:t>включаючи</w:t>
            </w:r>
            <w:r>
              <w:rPr>
                <w:rFonts w:ascii="Arial" w:hAnsi="Arial" w:cs="Arial"/>
                <w:sz w:val="16"/>
                <w:szCs w:val="16"/>
                <w:lang w:val="en-US" w:eastAsia="en-US"/>
              </w:rPr>
              <w:t xml:space="preserve"> </w:t>
            </w:r>
            <w:r>
              <w:rPr>
                <w:rFonts w:ascii="Arial" w:hAnsi="Arial" w:cs="Arial"/>
                <w:sz w:val="16"/>
                <w:szCs w:val="16"/>
                <w:lang w:eastAsia="en-US"/>
              </w:rPr>
              <w:t>контактні</w:t>
            </w:r>
            <w:r>
              <w:rPr>
                <w:rFonts w:ascii="Arial" w:hAnsi="Arial" w:cs="Arial"/>
                <w:sz w:val="16"/>
                <w:szCs w:val="16"/>
                <w:lang w:val="en-US" w:eastAsia="en-US"/>
              </w:rPr>
              <w:t xml:space="preserve"> </w:t>
            </w:r>
            <w:r>
              <w:rPr>
                <w:rFonts w:ascii="Arial" w:hAnsi="Arial" w:cs="Arial"/>
                <w:sz w:val="16"/>
                <w:szCs w:val="16"/>
                <w:lang w:eastAsia="en-US"/>
              </w:rPr>
              <w:t>дані</w:t>
            </w:r>
            <w:r>
              <w:rPr>
                <w:rFonts w:ascii="Arial" w:hAnsi="Arial" w:cs="Arial"/>
                <w:sz w:val="16"/>
                <w:szCs w:val="16"/>
                <w:lang w:val="en-US" w:eastAsia="en-US"/>
              </w:rPr>
              <w:t xml:space="preserve">) </w:t>
            </w:r>
            <w:r>
              <w:rPr>
                <w:rFonts w:ascii="Arial" w:hAnsi="Arial" w:cs="Arial"/>
                <w:sz w:val="16"/>
                <w:szCs w:val="16"/>
                <w:lang w:eastAsia="en-US"/>
              </w:rPr>
              <w:t>та</w:t>
            </w:r>
            <w:r>
              <w:rPr>
                <w:rFonts w:ascii="Arial" w:hAnsi="Arial" w:cs="Arial"/>
                <w:sz w:val="16"/>
                <w:szCs w:val="16"/>
                <w:lang w:val="en-US" w:eastAsia="en-US"/>
              </w:rPr>
              <w:t>/</w:t>
            </w:r>
            <w:r>
              <w:rPr>
                <w:rFonts w:ascii="Arial" w:hAnsi="Arial" w:cs="Arial"/>
                <w:sz w:val="16"/>
                <w:szCs w:val="16"/>
                <w:lang w:eastAsia="en-US"/>
              </w:rPr>
              <w:t>або</w:t>
            </w:r>
            <w:r>
              <w:rPr>
                <w:rFonts w:ascii="Arial" w:hAnsi="Arial" w:cs="Arial"/>
                <w:sz w:val="16"/>
                <w:szCs w:val="16"/>
                <w:lang w:val="en-US" w:eastAsia="en-US"/>
              </w:rPr>
              <w:t xml:space="preserve"> </w:t>
            </w:r>
            <w:r>
              <w:rPr>
                <w:rFonts w:ascii="Arial" w:hAnsi="Arial" w:cs="Arial"/>
                <w:sz w:val="16"/>
                <w:szCs w:val="16"/>
                <w:lang w:eastAsia="en-US"/>
              </w:rPr>
              <w:t>зміни</w:t>
            </w:r>
            <w:r>
              <w:rPr>
                <w:rFonts w:ascii="Arial" w:hAnsi="Arial" w:cs="Arial"/>
                <w:sz w:val="16"/>
                <w:szCs w:val="16"/>
                <w:lang w:val="en-US" w:eastAsia="en-US"/>
              </w:rPr>
              <w:t xml:space="preserve"> </w:t>
            </w:r>
            <w:r>
              <w:rPr>
                <w:rFonts w:ascii="Arial" w:hAnsi="Arial" w:cs="Arial"/>
                <w:sz w:val="16"/>
                <w:szCs w:val="16"/>
                <w:lang w:eastAsia="en-US"/>
              </w:rPr>
              <w:t>у</w:t>
            </w:r>
            <w:r>
              <w:rPr>
                <w:rFonts w:ascii="Arial" w:hAnsi="Arial" w:cs="Arial"/>
                <w:sz w:val="16"/>
                <w:szCs w:val="16"/>
                <w:lang w:val="en-US" w:eastAsia="en-US"/>
              </w:rPr>
              <w:t xml:space="preserve"> </w:t>
            </w:r>
            <w:r>
              <w:rPr>
                <w:rFonts w:ascii="Arial" w:hAnsi="Arial" w:cs="Arial"/>
                <w:sz w:val="16"/>
                <w:szCs w:val="16"/>
                <w:lang w:eastAsia="en-US"/>
              </w:rPr>
              <w:t>розміщенні</w:t>
            </w:r>
            <w:r>
              <w:rPr>
                <w:rFonts w:ascii="Arial" w:hAnsi="Arial" w:cs="Arial"/>
                <w:sz w:val="16"/>
                <w:szCs w:val="16"/>
                <w:lang w:val="en-US" w:eastAsia="en-US"/>
              </w:rPr>
              <w:t xml:space="preserve"> </w:t>
            </w:r>
            <w:r>
              <w:rPr>
                <w:rFonts w:ascii="Arial" w:hAnsi="Arial" w:cs="Arial"/>
                <w:sz w:val="16"/>
                <w:szCs w:val="16"/>
                <w:lang w:eastAsia="en-US"/>
              </w:rPr>
              <w:t>мастер</w:t>
            </w:r>
            <w:r>
              <w:rPr>
                <w:rFonts w:ascii="Arial" w:hAnsi="Arial" w:cs="Arial"/>
                <w:sz w:val="16"/>
                <w:szCs w:val="16"/>
                <w:lang w:val="en-US" w:eastAsia="en-US"/>
              </w:rPr>
              <w:t>-</w:t>
            </w:r>
            <w:r>
              <w:rPr>
                <w:rFonts w:ascii="Arial" w:hAnsi="Arial" w:cs="Arial"/>
                <w:sz w:val="16"/>
                <w:szCs w:val="16"/>
                <w:lang w:eastAsia="en-US"/>
              </w:rPr>
              <w:t>файла</w:t>
            </w:r>
            <w:r>
              <w:rPr>
                <w:rFonts w:ascii="Arial" w:hAnsi="Arial" w:cs="Arial"/>
                <w:sz w:val="16"/>
                <w:szCs w:val="16"/>
                <w:lang w:val="en-US" w:eastAsia="en-US"/>
              </w:rPr>
              <w:t xml:space="preserve"> </w:t>
            </w:r>
            <w:r>
              <w:rPr>
                <w:rFonts w:ascii="Arial" w:hAnsi="Arial" w:cs="Arial"/>
                <w:sz w:val="16"/>
                <w:szCs w:val="16"/>
                <w:lang w:eastAsia="en-US"/>
              </w:rPr>
              <w:t>системи</w:t>
            </w:r>
            <w:r>
              <w:rPr>
                <w:rFonts w:ascii="Arial" w:hAnsi="Arial" w:cs="Arial"/>
                <w:sz w:val="16"/>
                <w:szCs w:val="16"/>
                <w:lang w:val="en-US" w:eastAsia="en-US"/>
              </w:rPr>
              <w:t xml:space="preserve"> </w:t>
            </w:r>
            <w:r>
              <w:rPr>
                <w:rFonts w:ascii="Arial" w:hAnsi="Arial" w:cs="Arial"/>
                <w:sz w:val="16"/>
                <w:szCs w:val="16"/>
                <w:lang w:eastAsia="en-US"/>
              </w:rPr>
              <w:t>фармаконагляду</w:t>
            </w:r>
            <w:r>
              <w:rPr>
                <w:rFonts w:ascii="Arial" w:hAnsi="Arial" w:cs="Arial"/>
                <w:sz w:val="16"/>
                <w:szCs w:val="16"/>
                <w:lang w:val="en-US" w:eastAsia="en-US"/>
              </w:rPr>
              <w:t xml:space="preserve">). </w:t>
            </w:r>
            <w:r>
              <w:rPr>
                <w:rFonts w:ascii="Arial" w:hAnsi="Arial" w:cs="Arial"/>
                <w:sz w:val="16"/>
                <w:szCs w:val="16"/>
                <w:lang w:eastAsia="en-US"/>
              </w:rPr>
              <w:t>Зміна</w:t>
            </w:r>
            <w:r>
              <w:rPr>
                <w:rFonts w:ascii="Arial" w:hAnsi="Arial" w:cs="Arial"/>
                <w:sz w:val="16"/>
                <w:szCs w:val="16"/>
                <w:lang w:val="en-US" w:eastAsia="en-US"/>
              </w:rPr>
              <w:t xml:space="preserve"> </w:t>
            </w:r>
            <w:r>
              <w:rPr>
                <w:rFonts w:ascii="Arial" w:hAnsi="Arial" w:cs="Arial"/>
                <w:sz w:val="16"/>
                <w:szCs w:val="16"/>
                <w:lang w:eastAsia="en-US"/>
              </w:rPr>
              <w:t>контактних</w:t>
            </w:r>
            <w:r>
              <w:rPr>
                <w:rFonts w:ascii="Arial" w:hAnsi="Arial" w:cs="Arial"/>
                <w:sz w:val="16"/>
                <w:szCs w:val="16"/>
                <w:lang w:val="en-US" w:eastAsia="en-US"/>
              </w:rPr>
              <w:t xml:space="preserve"> </w:t>
            </w:r>
            <w:r>
              <w:rPr>
                <w:rFonts w:ascii="Arial" w:hAnsi="Arial" w:cs="Arial"/>
                <w:sz w:val="16"/>
                <w:szCs w:val="16"/>
                <w:lang w:eastAsia="en-US"/>
              </w:rPr>
              <w:t>даних</w:t>
            </w:r>
            <w:r>
              <w:rPr>
                <w:rFonts w:ascii="Arial" w:hAnsi="Arial" w:cs="Arial"/>
                <w:sz w:val="16"/>
                <w:szCs w:val="16"/>
                <w:lang w:val="en-US" w:eastAsia="en-US"/>
              </w:rPr>
              <w:t xml:space="preserve"> </w:t>
            </w:r>
            <w:r>
              <w:rPr>
                <w:rFonts w:ascii="Arial" w:hAnsi="Arial" w:cs="Arial"/>
                <w:sz w:val="16"/>
                <w:szCs w:val="16"/>
                <w:lang w:eastAsia="en-US"/>
              </w:rPr>
              <w:t>уповноваженої</w:t>
            </w:r>
            <w:r>
              <w:rPr>
                <w:rFonts w:ascii="Arial" w:hAnsi="Arial" w:cs="Arial"/>
                <w:sz w:val="16"/>
                <w:szCs w:val="16"/>
                <w:lang w:val="en-US" w:eastAsia="en-US"/>
              </w:rPr>
              <w:t xml:space="preserve"> </w:t>
            </w:r>
            <w:r>
              <w:rPr>
                <w:rFonts w:ascii="Arial" w:hAnsi="Arial" w:cs="Arial"/>
                <w:sz w:val="16"/>
                <w:szCs w:val="16"/>
                <w:lang w:eastAsia="en-US"/>
              </w:rPr>
              <w:t>особи</w:t>
            </w:r>
            <w:r>
              <w:rPr>
                <w:rFonts w:ascii="Arial" w:hAnsi="Arial" w:cs="Arial"/>
                <w:sz w:val="16"/>
                <w:szCs w:val="16"/>
                <w:lang w:val="en-US" w:eastAsia="en-US"/>
              </w:rPr>
              <w:t xml:space="preserve"> </w:t>
            </w:r>
            <w:r>
              <w:rPr>
                <w:rFonts w:ascii="Arial" w:hAnsi="Arial" w:cs="Arial"/>
                <w:sz w:val="16"/>
                <w:szCs w:val="16"/>
                <w:lang w:eastAsia="en-US"/>
              </w:rPr>
              <w:t>заявника</w:t>
            </w:r>
            <w:r>
              <w:rPr>
                <w:rFonts w:ascii="Arial" w:hAnsi="Arial" w:cs="Arial"/>
                <w:sz w:val="16"/>
                <w:szCs w:val="16"/>
                <w:lang w:val="en-US" w:eastAsia="en-US"/>
              </w:rPr>
              <w:t xml:space="preserve">, </w:t>
            </w:r>
            <w:r>
              <w:rPr>
                <w:rFonts w:ascii="Arial" w:hAnsi="Arial" w:cs="Arial"/>
                <w:sz w:val="16"/>
                <w:szCs w:val="16"/>
                <w:lang w:eastAsia="en-US"/>
              </w:rPr>
              <w:t>відповідальної</w:t>
            </w:r>
            <w:r>
              <w:rPr>
                <w:rFonts w:ascii="Arial" w:hAnsi="Arial" w:cs="Arial"/>
                <w:sz w:val="16"/>
                <w:szCs w:val="16"/>
                <w:lang w:val="en-US" w:eastAsia="en-US"/>
              </w:rPr>
              <w:t xml:space="preserve"> </w:t>
            </w:r>
            <w:r>
              <w:rPr>
                <w:rFonts w:ascii="Arial" w:hAnsi="Arial" w:cs="Arial"/>
                <w:sz w:val="16"/>
                <w:szCs w:val="16"/>
                <w:lang w:eastAsia="en-US"/>
              </w:rPr>
              <w:t>за</w:t>
            </w:r>
            <w:r>
              <w:rPr>
                <w:rFonts w:ascii="Arial" w:hAnsi="Arial" w:cs="Arial"/>
                <w:sz w:val="16"/>
                <w:szCs w:val="16"/>
                <w:lang w:val="en-US" w:eastAsia="en-US"/>
              </w:rPr>
              <w:t xml:space="preserve"> </w:t>
            </w:r>
            <w:r>
              <w:rPr>
                <w:rFonts w:ascii="Arial" w:hAnsi="Arial" w:cs="Arial"/>
                <w:sz w:val="16"/>
                <w:szCs w:val="16"/>
                <w:lang w:eastAsia="en-US"/>
              </w:rPr>
              <w:t>фармаконагляд</w:t>
            </w:r>
            <w:r>
              <w:rPr>
                <w:rFonts w:ascii="Arial" w:hAnsi="Arial" w:cs="Arial"/>
                <w:sz w:val="16"/>
                <w:szCs w:val="16"/>
                <w:lang w:val="en-US" w:eastAsia="en-US"/>
              </w:rPr>
              <w:t xml:space="preserve">. </w:t>
            </w:r>
            <w:r>
              <w:rPr>
                <w:rFonts w:ascii="Arial" w:hAnsi="Arial" w:cs="Arial"/>
                <w:sz w:val="16"/>
                <w:szCs w:val="16"/>
                <w:lang w:eastAsia="en-US"/>
              </w:rPr>
              <w:t>Зміна</w:t>
            </w:r>
            <w:r>
              <w:rPr>
                <w:rFonts w:ascii="Arial" w:hAnsi="Arial" w:cs="Arial"/>
                <w:sz w:val="16"/>
                <w:szCs w:val="16"/>
                <w:lang w:val="en-US" w:eastAsia="en-US"/>
              </w:rPr>
              <w:t xml:space="preserve"> </w:t>
            </w:r>
            <w:r>
              <w:rPr>
                <w:rFonts w:ascii="Arial" w:hAnsi="Arial" w:cs="Arial"/>
                <w:sz w:val="16"/>
                <w:szCs w:val="16"/>
                <w:lang w:eastAsia="en-US"/>
              </w:rPr>
              <w:t>контактної</w:t>
            </w:r>
            <w:r>
              <w:rPr>
                <w:rFonts w:ascii="Arial" w:hAnsi="Arial" w:cs="Arial"/>
                <w:sz w:val="16"/>
                <w:szCs w:val="16"/>
                <w:lang w:val="en-US" w:eastAsia="en-US"/>
              </w:rPr>
              <w:t xml:space="preserve"> </w:t>
            </w:r>
            <w:r>
              <w:rPr>
                <w:rFonts w:ascii="Arial" w:hAnsi="Arial" w:cs="Arial"/>
                <w:sz w:val="16"/>
                <w:szCs w:val="16"/>
                <w:lang w:eastAsia="en-US"/>
              </w:rPr>
              <w:t>особи</w:t>
            </w:r>
            <w:r>
              <w:rPr>
                <w:rFonts w:ascii="Arial" w:hAnsi="Arial" w:cs="Arial"/>
                <w:sz w:val="16"/>
                <w:szCs w:val="16"/>
                <w:lang w:val="en-US" w:eastAsia="en-US"/>
              </w:rPr>
              <w:t xml:space="preserve"> </w:t>
            </w:r>
            <w:r>
              <w:rPr>
                <w:rFonts w:ascii="Arial" w:hAnsi="Arial" w:cs="Arial"/>
                <w:sz w:val="16"/>
                <w:szCs w:val="16"/>
                <w:lang w:eastAsia="en-US"/>
              </w:rPr>
              <w:t>заявника</w:t>
            </w:r>
            <w:r>
              <w:rPr>
                <w:rFonts w:ascii="Arial" w:hAnsi="Arial" w:cs="Arial"/>
                <w:sz w:val="16"/>
                <w:szCs w:val="16"/>
                <w:lang w:val="en-US" w:eastAsia="en-US"/>
              </w:rPr>
              <w:t xml:space="preserve">, </w:t>
            </w:r>
            <w:r>
              <w:rPr>
                <w:rFonts w:ascii="Arial" w:hAnsi="Arial" w:cs="Arial"/>
                <w:sz w:val="16"/>
                <w:szCs w:val="16"/>
                <w:lang w:eastAsia="en-US"/>
              </w:rPr>
              <w:t>відповідальної</w:t>
            </w:r>
            <w:r>
              <w:rPr>
                <w:rFonts w:ascii="Arial" w:hAnsi="Arial" w:cs="Arial"/>
                <w:sz w:val="16"/>
                <w:szCs w:val="16"/>
                <w:lang w:val="en-US" w:eastAsia="en-US"/>
              </w:rPr>
              <w:t xml:space="preserve"> </w:t>
            </w:r>
            <w:r>
              <w:rPr>
                <w:rFonts w:ascii="Arial" w:hAnsi="Arial" w:cs="Arial"/>
                <w:sz w:val="16"/>
                <w:szCs w:val="16"/>
                <w:lang w:eastAsia="en-US"/>
              </w:rPr>
              <w:t>за</w:t>
            </w:r>
            <w:r>
              <w:rPr>
                <w:rFonts w:ascii="Arial" w:hAnsi="Arial" w:cs="Arial"/>
                <w:sz w:val="16"/>
                <w:szCs w:val="16"/>
                <w:lang w:val="en-US" w:eastAsia="en-US"/>
              </w:rPr>
              <w:t xml:space="preserve"> </w:t>
            </w:r>
            <w:r>
              <w:rPr>
                <w:rFonts w:ascii="Arial" w:hAnsi="Arial" w:cs="Arial"/>
                <w:sz w:val="16"/>
                <w:szCs w:val="16"/>
                <w:lang w:eastAsia="en-US"/>
              </w:rPr>
              <w:t>фармаконагляд</w:t>
            </w:r>
            <w:r>
              <w:rPr>
                <w:rFonts w:ascii="Arial" w:hAnsi="Arial" w:cs="Arial"/>
                <w:sz w:val="16"/>
                <w:szCs w:val="16"/>
                <w:lang w:val="en-US" w:eastAsia="en-US"/>
              </w:rPr>
              <w:t xml:space="preserve"> </w:t>
            </w:r>
            <w:r>
              <w:rPr>
                <w:rFonts w:ascii="Arial" w:hAnsi="Arial" w:cs="Arial"/>
                <w:sz w:val="16"/>
                <w:szCs w:val="16"/>
                <w:lang w:eastAsia="en-US"/>
              </w:rPr>
              <w:t>в</w:t>
            </w:r>
            <w:r>
              <w:rPr>
                <w:rFonts w:ascii="Arial" w:hAnsi="Arial" w:cs="Arial"/>
                <w:sz w:val="16"/>
                <w:szCs w:val="16"/>
                <w:lang w:val="en-US" w:eastAsia="en-US"/>
              </w:rPr>
              <w:t xml:space="preserve"> </w:t>
            </w:r>
            <w:r>
              <w:rPr>
                <w:rFonts w:ascii="Arial" w:hAnsi="Arial" w:cs="Arial"/>
                <w:sz w:val="16"/>
                <w:szCs w:val="16"/>
                <w:lang w:eastAsia="en-US"/>
              </w:rPr>
              <w:t>Україні</w:t>
            </w:r>
            <w:r>
              <w:rPr>
                <w:rFonts w:ascii="Arial" w:hAnsi="Arial" w:cs="Arial"/>
                <w:sz w:val="16"/>
                <w:szCs w:val="16"/>
                <w:lang w:val="en-US" w:eastAsia="en-US"/>
              </w:rPr>
              <w:t xml:space="preserve">. </w:t>
            </w:r>
            <w:r>
              <w:rPr>
                <w:rFonts w:ascii="Arial" w:hAnsi="Arial" w:cs="Arial"/>
                <w:sz w:val="16"/>
                <w:szCs w:val="16"/>
                <w:lang w:eastAsia="en-US"/>
              </w:rPr>
              <w:t xml:space="preserve">Діюча редакція: Самоненко Марина Володимирівна. Пропонована редакція: Венгер Людмила Анатоліївна / </w:t>
            </w:r>
            <w:r>
              <w:rPr>
                <w:rFonts w:ascii="Arial" w:hAnsi="Arial" w:cs="Arial"/>
                <w:sz w:val="16"/>
                <w:szCs w:val="16"/>
                <w:lang w:val="en-US" w:eastAsia="en-US"/>
              </w:rPr>
              <w:t>Liudmyla</w:t>
            </w:r>
            <w:r w:rsidRPr="003D03F3">
              <w:rPr>
                <w:rFonts w:ascii="Arial" w:hAnsi="Arial" w:cs="Arial"/>
                <w:sz w:val="16"/>
                <w:szCs w:val="16"/>
                <w:lang w:eastAsia="en-US"/>
              </w:rPr>
              <w:t xml:space="preserve"> </w:t>
            </w:r>
            <w:r>
              <w:rPr>
                <w:rFonts w:ascii="Arial" w:hAnsi="Arial" w:cs="Arial"/>
                <w:sz w:val="16"/>
                <w:szCs w:val="16"/>
                <w:lang w:val="en-US" w:eastAsia="en-US"/>
              </w:rPr>
              <w:t>Venher</w:t>
            </w:r>
            <w:r>
              <w:rPr>
                <w:rFonts w:ascii="Arial" w:hAnsi="Arial" w:cs="Arial"/>
                <w:sz w:val="16"/>
                <w:szCs w:val="16"/>
                <w:lang w:eastAsia="en-US"/>
              </w:rPr>
              <w:t>.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r>
              <w:rPr>
                <w:rFonts w:ascii="Arial" w:hAnsi="Arial" w:cs="Arial"/>
                <w:b/>
                <w:sz w:val="16"/>
                <w:szCs w:val="16"/>
                <w:lang w:eastAsia="en-US"/>
              </w:rPr>
              <w:t xml:space="preserve"> </w:t>
            </w:r>
          </w:p>
        </w:tc>
      </w:tr>
    </w:tbl>
    <w:p w:rsidR="003D03F3" w:rsidRDefault="003D03F3" w:rsidP="003D03F3">
      <w:pPr>
        <w:jc w:val="center"/>
        <w:rPr>
          <w:rFonts w:ascii="Arial" w:eastAsia="Times New Roman" w:hAnsi="Arial" w:cs="Arial"/>
          <w:b/>
          <w:sz w:val="22"/>
          <w:szCs w:val="22"/>
          <w:lang w:eastAsia="uk-UA"/>
        </w:rPr>
      </w:pPr>
    </w:p>
    <w:p w:rsidR="003D03F3" w:rsidRDefault="003D03F3" w:rsidP="003D03F3">
      <w:pPr>
        <w:jc w:val="center"/>
        <w:rPr>
          <w:rFonts w:ascii="Arial" w:hAnsi="Arial" w:cs="Arial"/>
          <w:b/>
          <w:sz w:val="22"/>
          <w:szCs w:val="22"/>
        </w:rPr>
      </w:pPr>
    </w:p>
    <w:p w:rsidR="003D03F3" w:rsidRDefault="003D03F3" w:rsidP="003D03F3">
      <w:pPr>
        <w:ind w:right="20"/>
        <w:rPr>
          <w:rFonts w:ascii="Arial" w:hAnsi="Arial" w:cs="Arial"/>
          <w:b/>
          <w:i/>
          <w:sz w:val="18"/>
          <w:szCs w:val="18"/>
        </w:rPr>
      </w:pPr>
    </w:p>
    <w:tbl>
      <w:tblPr>
        <w:tblW w:w="0" w:type="auto"/>
        <w:tblLook w:val="04A0" w:firstRow="1" w:lastRow="0" w:firstColumn="1" w:lastColumn="0" w:noHBand="0" w:noVBand="1"/>
      </w:tblPr>
      <w:tblGrid>
        <w:gridCol w:w="7421"/>
        <w:gridCol w:w="7422"/>
      </w:tblGrid>
      <w:tr w:rsidR="003D03F3" w:rsidTr="003D03F3">
        <w:tc>
          <w:tcPr>
            <w:tcW w:w="7421" w:type="dxa"/>
            <w:hideMark/>
          </w:tcPr>
          <w:p w:rsidR="003D03F3" w:rsidRDefault="003D03F3">
            <w:pPr>
              <w:rPr>
                <w:rStyle w:val="cs95e872d03"/>
                <w:sz w:val="28"/>
                <w:szCs w:val="28"/>
              </w:rPr>
            </w:pPr>
            <w:r>
              <w:rPr>
                <w:rStyle w:val="cs7a65ad241"/>
                <w:rFonts w:ascii="Arial" w:hAnsi="Arial" w:cs="Arial"/>
                <w:sz w:val="28"/>
                <w:szCs w:val="28"/>
              </w:rPr>
              <w:t xml:space="preserve">Начальник </w:t>
            </w:r>
          </w:p>
          <w:p w:rsidR="003D03F3" w:rsidRDefault="003D03F3">
            <w:pPr>
              <w:ind w:right="20"/>
              <w:rPr>
                <w:rStyle w:val="cs7864ebcf1"/>
                <w:rFonts w:ascii="Arial" w:hAnsi="Arial" w:cs="Arial"/>
                <w:b w:val="0"/>
                <w:sz w:val="28"/>
                <w:szCs w:val="28"/>
              </w:rPr>
            </w:pPr>
            <w:r>
              <w:rPr>
                <w:rStyle w:val="cs7a65ad241"/>
                <w:rFonts w:ascii="Arial" w:hAnsi="Arial" w:cs="Arial"/>
                <w:sz w:val="28"/>
                <w:szCs w:val="28"/>
              </w:rPr>
              <w:t>Фармацевтичного управління</w:t>
            </w:r>
          </w:p>
        </w:tc>
        <w:tc>
          <w:tcPr>
            <w:tcW w:w="7422" w:type="dxa"/>
          </w:tcPr>
          <w:p w:rsidR="003D03F3" w:rsidRDefault="003D03F3">
            <w:pPr>
              <w:pStyle w:val="cs95e872d0"/>
              <w:rPr>
                <w:rStyle w:val="cs7864ebcf1"/>
                <w:rFonts w:ascii="Arial" w:hAnsi="Arial" w:cs="Arial"/>
                <w:sz w:val="28"/>
                <w:szCs w:val="28"/>
              </w:rPr>
            </w:pPr>
          </w:p>
          <w:p w:rsidR="003D03F3" w:rsidRDefault="003D03F3">
            <w:pPr>
              <w:pStyle w:val="cs95e872d0"/>
              <w:jc w:val="right"/>
              <w:rPr>
                <w:rStyle w:val="cs7864ebcf1"/>
                <w:rFonts w:ascii="Arial" w:hAnsi="Arial" w:cs="Arial"/>
                <w:sz w:val="28"/>
                <w:szCs w:val="28"/>
              </w:rPr>
            </w:pPr>
            <w:r>
              <w:rPr>
                <w:rStyle w:val="cs7a65ad241"/>
                <w:rFonts w:ascii="Arial" w:hAnsi="Arial" w:cs="Arial"/>
              </w:rPr>
              <w:t>Тарас ЛЯСКОВСЬКИЙ</w:t>
            </w:r>
          </w:p>
        </w:tc>
      </w:tr>
    </w:tbl>
    <w:p w:rsidR="003D03F3" w:rsidRDefault="003D03F3" w:rsidP="003D03F3">
      <w:pPr>
        <w:pStyle w:val="31"/>
        <w:spacing w:after="0"/>
        <w:ind w:left="0"/>
        <w:rPr>
          <w:rFonts w:ascii="Arial" w:hAnsi="Arial" w:cs="Arial"/>
        </w:rPr>
      </w:pPr>
    </w:p>
    <w:p w:rsidR="007F3466" w:rsidRDefault="00E36438" w:rsidP="00FC73F7">
      <w:pPr>
        <w:pStyle w:val="31"/>
        <w:spacing w:after="0"/>
        <w:ind w:left="0"/>
        <w:rPr>
          <w:b/>
          <w:sz w:val="28"/>
          <w:szCs w:val="28"/>
          <w:lang w:val="uk-UA"/>
        </w:rPr>
      </w:pPr>
      <w:r>
        <w:rPr>
          <w:b/>
          <w:sz w:val="28"/>
          <w:szCs w:val="28"/>
          <w:lang w:val="uk-UA"/>
        </w:rPr>
        <w:t xml:space="preserve">     </w:t>
      </w:r>
    </w:p>
    <w:sectPr w:rsidR="007F3466" w:rsidSect="003D03F3">
      <w:pgSz w:w="16838" w:h="11906" w:orient="landscape"/>
      <w:pgMar w:top="1701" w:right="899"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6A1" w:rsidRDefault="004926A1" w:rsidP="00B217C6">
      <w:r>
        <w:separator/>
      </w:r>
    </w:p>
  </w:endnote>
  <w:endnote w:type="continuationSeparator" w:id="0">
    <w:p w:rsidR="004926A1" w:rsidRDefault="004926A1"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0B5" w:rsidRDefault="00E420B5"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E420B5" w:rsidRDefault="00E420B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0B5" w:rsidRDefault="00E420B5">
    <w:pPr>
      <w:pStyle w:val="a5"/>
      <w:rPr>
        <w:lang w:val="uk-UA"/>
      </w:rPr>
    </w:pPr>
  </w:p>
  <w:p w:rsidR="00E420B5" w:rsidRPr="007F3466" w:rsidRDefault="00E420B5">
    <w:pPr>
      <w:pStyle w:val="a5"/>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6A1" w:rsidRDefault="004926A1" w:rsidP="00B217C6">
      <w:r>
        <w:separator/>
      </w:r>
    </w:p>
  </w:footnote>
  <w:footnote w:type="continuationSeparator" w:id="0">
    <w:p w:rsidR="004926A1" w:rsidRDefault="004926A1"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0B5" w:rsidRDefault="00E420B5" w:rsidP="007C3C6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E420B5" w:rsidRDefault="00E420B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0B5" w:rsidRDefault="00E420B5" w:rsidP="0093125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34905">
      <w:rPr>
        <w:rStyle w:val="a7"/>
        <w:noProof/>
      </w:rPr>
      <w:t>3</w:t>
    </w:r>
    <w:r>
      <w:rPr>
        <w:rStyle w:val="a7"/>
      </w:rPr>
      <w:fldChar w:fldCharType="end"/>
    </w:r>
  </w:p>
  <w:p w:rsidR="00E420B5" w:rsidRDefault="00E420B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28BF"/>
    <w:multiLevelType w:val="hybridMultilevel"/>
    <w:tmpl w:val="D6DC51E8"/>
    <w:lvl w:ilvl="0" w:tplc="0E4A7818">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A3F2816"/>
    <w:multiLevelType w:val="hybridMultilevel"/>
    <w:tmpl w:val="60CA83C8"/>
    <w:lvl w:ilvl="0" w:tplc="CE4CBB98">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4"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num w:numId="1">
    <w:abstractNumId w:val="2"/>
  </w:num>
  <w:num w:numId="2">
    <w:abstractNumId w:val="5"/>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20FF"/>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03F3"/>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26A1"/>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4F7E"/>
    <w:rsid w:val="00505CFE"/>
    <w:rsid w:val="00506545"/>
    <w:rsid w:val="00506599"/>
    <w:rsid w:val="00507939"/>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E82"/>
    <w:rsid w:val="005A6654"/>
    <w:rsid w:val="005A7281"/>
    <w:rsid w:val="005B2696"/>
    <w:rsid w:val="005B2D8D"/>
    <w:rsid w:val="005B59B1"/>
    <w:rsid w:val="005B5F7B"/>
    <w:rsid w:val="005B63B3"/>
    <w:rsid w:val="005B7D18"/>
    <w:rsid w:val="005C4676"/>
    <w:rsid w:val="005C4F4D"/>
    <w:rsid w:val="005C694B"/>
    <w:rsid w:val="005D254E"/>
    <w:rsid w:val="005D3CBD"/>
    <w:rsid w:val="005E0972"/>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39A1"/>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54A"/>
    <w:rsid w:val="00850A30"/>
    <w:rsid w:val="00853A13"/>
    <w:rsid w:val="00854EA7"/>
    <w:rsid w:val="00857858"/>
    <w:rsid w:val="00860B88"/>
    <w:rsid w:val="0086404C"/>
    <w:rsid w:val="00864B20"/>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17FDD"/>
    <w:rsid w:val="00921ECE"/>
    <w:rsid w:val="0092345F"/>
    <w:rsid w:val="00923FF2"/>
    <w:rsid w:val="009253B0"/>
    <w:rsid w:val="00925DA2"/>
    <w:rsid w:val="00927311"/>
    <w:rsid w:val="00931011"/>
    <w:rsid w:val="00931258"/>
    <w:rsid w:val="00931F7B"/>
    <w:rsid w:val="00932F84"/>
    <w:rsid w:val="00934905"/>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81BE8"/>
    <w:rsid w:val="00991514"/>
    <w:rsid w:val="00991D4E"/>
    <w:rsid w:val="00993BD3"/>
    <w:rsid w:val="009963A3"/>
    <w:rsid w:val="009963C9"/>
    <w:rsid w:val="009969D7"/>
    <w:rsid w:val="00997A81"/>
    <w:rsid w:val="009A1CB5"/>
    <w:rsid w:val="009A3200"/>
    <w:rsid w:val="009A38E2"/>
    <w:rsid w:val="009A79DC"/>
    <w:rsid w:val="009B3931"/>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32FF3"/>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3495"/>
    <w:rsid w:val="00AD4298"/>
    <w:rsid w:val="00AD44A4"/>
    <w:rsid w:val="00AD480E"/>
    <w:rsid w:val="00AE2C77"/>
    <w:rsid w:val="00AE4448"/>
    <w:rsid w:val="00AE4A19"/>
    <w:rsid w:val="00AE4ECF"/>
    <w:rsid w:val="00AE5EA3"/>
    <w:rsid w:val="00AF1D74"/>
    <w:rsid w:val="00AF5051"/>
    <w:rsid w:val="00AF6F8F"/>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A0607"/>
    <w:rsid w:val="00BA0BCD"/>
    <w:rsid w:val="00BA1F6F"/>
    <w:rsid w:val="00BA3CBE"/>
    <w:rsid w:val="00BA56C5"/>
    <w:rsid w:val="00BB107E"/>
    <w:rsid w:val="00BB2520"/>
    <w:rsid w:val="00BB6C17"/>
    <w:rsid w:val="00BC4106"/>
    <w:rsid w:val="00BC5599"/>
    <w:rsid w:val="00BC5CD9"/>
    <w:rsid w:val="00BC7669"/>
    <w:rsid w:val="00BC795A"/>
    <w:rsid w:val="00BD01C7"/>
    <w:rsid w:val="00BD02AF"/>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0B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5723"/>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213"/>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6BF308C-689D-4D54-9A86-41CADCC59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a"/>
    <w:link w:val="20"/>
    <w:semiHidden/>
    <w:unhideWhenUsed/>
    <w:qFormat/>
    <w:rsid w:val="003D03F3"/>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semiHidden/>
    <w:unhideWhenUsed/>
    <w:qFormat/>
    <w:rsid w:val="003D03F3"/>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semiHidden/>
    <w:rsid w:val="003D03F3"/>
    <w:rPr>
      <w:rFonts w:ascii="Calibri Light" w:eastAsia="Times New Roman" w:hAnsi="Calibri Light" w:cs="Times New Roman"/>
      <w:b/>
      <w:bCs/>
      <w:i/>
      <w:iCs/>
      <w:sz w:val="28"/>
      <w:szCs w:val="28"/>
      <w:lang w:val="ru-RU" w:eastAsia="ru-RU"/>
    </w:rPr>
  </w:style>
  <w:style w:type="paragraph" w:customStyle="1" w:styleId="11">
    <w:name w:val="Обычный1"/>
    <w:basedOn w:val="a"/>
    <w:qFormat/>
    <w:rsid w:val="003D03F3"/>
    <w:rPr>
      <w:rFonts w:eastAsia="Times New Roman"/>
      <w:sz w:val="24"/>
      <w:szCs w:val="24"/>
      <w:lang w:val="uk-UA" w:eastAsia="uk-UA"/>
    </w:rPr>
  </w:style>
  <w:style w:type="paragraph" w:customStyle="1" w:styleId="cs95e872d0">
    <w:name w:val="cs95e872d0"/>
    <w:basedOn w:val="a"/>
    <w:rsid w:val="003D03F3"/>
    <w:rPr>
      <w:rFonts w:eastAsia="Times New Roman"/>
      <w:sz w:val="24"/>
      <w:szCs w:val="24"/>
    </w:rPr>
  </w:style>
  <w:style w:type="paragraph" w:customStyle="1" w:styleId="110">
    <w:name w:val="Обычный11"/>
    <w:aliases w:val="Звичайний,Normal"/>
    <w:basedOn w:val="a"/>
    <w:uiPriority w:val="99"/>
    <w:qFormat/>
    <w:rsid w:val="003D03F3"/>
    <w:rPr>
      <w:rFonts w:eastAsia="Times New Roman"/>
      <w:sz w:val="24"/>
      <w:szCs w:val="24"/>
      <w:lang w:val="uk-UA" w:eastAsia="uk-UA"/>
    </w:rPr>
  </w:style>
  <w:style w:type="character" w:customStyle="1" w:styleId="cs7864ebcf1">
    <w:name w:val="cs7864ebcf1"/>
    <w:rsid w:val="003D03F3"/>
    <w:rPr>
      <w:rFonts w:ascii="Times New Roman" w:hAnsi="Times New Roman" w:cs="Times New Roman" w:hint="default"/>
      <w:b/>
      <w:bCs/>
      <w:i w:val="0"/>
      <w:iCs w:val="0"/>
      <w:color w:val="000000"/>
      <w:sz w:val="26"/>
      <w:szCs w:val="26"/>
    </w:rPr>
  </w:style>
  <w:style w:type="character" w:customStyle="1" w:styleId="cs95e872d03">
    <w:name w:val="cs95e872d03"/>
    <w:rsid w:val="003D03F3"/>
  </w:style>
  <w:style w:type="character" w:customStyle="1" w:styleId="cs7a65ad241">
    <w:name w:val="cs7a65ad241"/>
    <w:rsid w:val="003D03F3"/>
    <w:rPr>
      <w:rFonts w:ascii="Times New Roman" w:hAnsi="Times New Roman" w:cs="Times New Roman" w:hint="default"/>
      <w:b/>
      <w:bCs/>
      <w:i w:val="0"/>
      <w:iCs w:val="0"/>
      <w:color w:val="000000"/>
      <w:sz w:val="26"/>
      <w:szCs w:val="26"/>
    </w:rPr>
  </w:style>
  <w:style w:type="character" w:customStyle="1" w:styleId="60">
    <w:name w:val="Заголовок 6 Знак"/>
    <w:link w:val="6"/>
    <w:uiPriority w:val="9"/>
    <w:semiHidden/>
    <w:rsid w:val="003D03F3"/>
    <w:rPr>
      <w:rFonts w:ascii="Times New Roman" w:hAnsi="Times New Roman"/>
      <w:b/>
      <w:bCs/>
      <w:sz w:val="22"/>
      <w:szCs w:val="22"/>
      <w:lang w:val="en-US" w:eastAsia="en-US"/>
    </w:rPr>
  </w:style>
  <w:style w:type="character" w:customStyle="1" w:styleId="40">
    <w:name w:val="Заголовок 4 Знак"/>
    <w:link w:val="4"/>
    <w:rsid w:val="003D03F3"/>
    <w:rPr>
      <w:rFonts w:ascii="Times New Roman" w:hAnsi="Times New Roman"/>
      <w:b/>
      <w:bCs/>
      <w:sz w:val="28"/>
      <w:szCs w:val="28"/>
      <w:lang w:val="ru-RU" w:eastAsia="ru-RU"/>
    </w:rPr>
  </w:style>
  <w:style w:type="character" w:styleId="a8">
    <w:name w:val="Hyperlink"/>
    <w:uiPriority w:val="99"/>
    <w:semiHidden/>
    <w:unhideWhenUsed/>
    <w:rsid w:val="003D03F3"/>
    <w:rPr>
      <w:rFonts w:ascii="Segoe UI" w:hAnsi="Segoe UI" w:cs="Segoe UI" w:hint="default"/>
      <w:color w:val="0000FF"/>
      <w:sz w:val="18"/>
      <w:szCs w:val="18"/>
      <w:u w:val="single"/>
    </w:rPr>
  </w:style>
  <w:style w:type="character" w:styleId="a9">
    <w:name w:val="FollowedHyperlink"/>
    <w:uiPriority w:val="99"/>
    <w:semiHidden/>
    <w:unhideWhenUsed/>
    <w:rsid w:val="003D03F3"/>
    <w:rPr>
      <w:color w:val="954F72"/>
      <w:u w:val="single"/>
    </w:rPr>
  </w:style>
  <w:style w:type="paragraph" w:customStyle="1" w:styleId="msonormal0">
    <w:name w:val="msonormal"/>
    <w:basedOn w:val="a"/>
    <w:uiPriority w:val="99"/>
    <w:rsid w:val="003D03F3"/>
    <w:pPr>
      <w:spacing w:before="100" w:beforeAutospacing="1" w:after="100" w:afterAutospacing="1"/>
    </w:pPr>
    <w:rPr>
      <w:sz w:val="24"/>
      <w:szCs w:val="24"/>
      <w:lang w:val="en-US" w:eastAsia="en-US"/>
    </w:rPr>
  </w:style>
  <w:style w:type="paragraph" w:styleId="aa">
    <w:name w:val="Normal (Web)"/>
    <w:basedOn w:val="a"/>
    <w:uiPriority w:val="99"/>
    <w:semiHidden/>
    <w:unhideWhenUsed/>
    <w:rsid w:val="003D03F3"/>
    <w:pPr>
      <w:spacing w:before="100" w:beforeAutospacing="1" w:after="100" w:afterAutospacing="1"/>
    </w:pPr>
    <w:rPr>
      <w:rFonts w:eastAsia="Times New Roman"/>
      <w:sz w:val="24"/>
      <w:szCs w:val="24"/>
      <w:lang w:val="uk-UA" w:eastAsia="uk-UA"/>
    </w:rPr>
  </w:style>
  <w:style w:type="paragraph" w:styleId="ab">
    <w:name w:val="annotation text"/>
    <w:basedOn w:val="a"/>
    <w:link w:val="ac"/>
    <w:uiPriority w:val="99"/>
    <w:semiHidden/>
    <w:unhideWhenUsed/>
    <w:rsid w:val="003D03F3"/>
    <w:rPr>
      <w:rFonts w:eastAsia="Times New Roman"/>
      <w:lang w:val="uk-UA" w:eastAsia="uk-UA"/>
    </w:rPr>
  </w:style>
  <w:style w:type="character" w:customStyle="1" w:styleId="ac">
    <w:name w:val="Текст примечания Знак"/>
    <w:link w:val="ab"/>
    <w:uiPriority w:val="99"/>
    <w:semiHidden/>
    <w:rsid w:val="003D03F3"/>
    <w:rPr>
      <w:rFonts w:ascii="Times New Roman" w:eastAsia="Times New Roman" w:hAnsi="Times New Roman"/>
    </w:rPr>
  </w:style>
  <w:style w:type="paragraph" w:styleId="ad">
    <w:name w:val="Title"/>
    <w:basedOn w:val="a"/>
    <w:link w:val="ae"/>
    <w:uiPriority w:val="10"/>
    <w:qFormat/>
    <w:rsid w:val="003D03F3"/>
    <w:rPr>
      <w:sz w:val="24"/>
      <w:szCs w:val="24"/>
      <w:lang w:val="en-US" w:eastAsia="en-US"/>
    </w:rPr>
  </w:style>
  <w:style w:type="character" w:customStyle="1" w:styleId="ae">
    <w:name w:val="Заголовок Знак"/>
    <w:link w:val="ad"/>
    <w:uiPriority w:val="10"/>
    <w:rsid w:val="003D03F3"/>
    <w:rPr>
      <w:rFonts w:ascii="Times New Roman" w:hAnsi="Times New Roman"/>
      <w:sz w:val="24"/>
      <w:szCs w:val="24"/>
      <w:lang w:val="en-US" w:eastAsia="en-US"/>
    </w:rPr>
  </w:style>
  <w:style w:type="paragraph" w:styleId="af">
    <w:name w:val="Body Text Indent"/>
    <w:basedOn w:val="a"/>
    <w:link w:val="af0"/>
    <w:semiHidden/>
    <w:unhideWhenUsed/>
    <w:rsid w:val="003D03F3"/>
    <w:pPr>
      <w:spacing w:after="120"/>
      <w:ind w:left="283"/>
    </w:pPr>
    <w:rPr>
      <w:rFonts w:eastAsia="Times New Roman"/>
      <w:sz w:val="24"/>
      <w:szCs w:val="24"/>
    </w:rPr>
  </w:style>
  <w:style w:type="character" w:customStyle="1" w:styleId="af0">
    <w:name w:val="Основной текст с отступом Знак"/>
    <w:link w:val="af"/>
    <w:semiHidden/>
    <w:rsid w:val="003D03F3"/>
    <w:rPr>
      <w:rFonts w:ascii="Times New Roman" w:eastAsia="Times New Roman" w:hAnsi="Times New Roman"/>
      <w:sz w:val="24"/>
      <w:szCs w:val="24"/>
      <w:lang w:val="ru-RU" w:eastAsia="ru-RU"/>
    </w:rPr>
  </w:style>
  <w:style w:type="paragraph" w:styleId="21">
    <w:name w:val="Body Text 2"/>
    <w:basedOn w:val="a"/>
    <w:link w:val="22"/>
    <w:uiPriority w:val="99"/>
    <w:semiHidden/>
    <w:unhideWhenUsed/>
    <w:rsid w:val="003D03F3"/>
    <w:rPr>
      <w:sz w:val="24"/>
      <w:szCs w:val="24"/>
      <w:lang w:val="en-US" w:eastAsia="en-US"/>
    </w:rPr>
  </w:style>
  <w:style w:type="character" w:customStyle="1" w:styleId="22">
    <w:name w:val="Основной текст 2 Знак"/>
    <w:link w:val="21"/>
    <w:uiPriority w:val="99"/>
    <w:semiHidden/>
    <w:rsid w:val="003D03F3"/>
    <w:rPr>
      <w:rFonts w:ascii="Times New Roman" w:hAnsi="Times New Roman"/>
      <w:sz w:val="24"/>
      <w:szCs w:val="24"/>
      <w:lang w:val="en-US" w:eastAsia="en-US"/>
    </w:rPr>
  </w:style>
  <w:style w:type="paragraph" w:styleId="33">
    <w:name w:val="Body Text 3"/>
    <w:basedOn w:val="a"/>
    <w:link w:val="34"/>
    <w:uiPriority w:val="99"/>
    <w:semiHidden/>
    <w:unhideWhenUsed/>
    <w:rsid w:val="003D03F3"/>
    <w:pPr>
      <w:spacing w:after="120"/>
    </w:pPr>
    <w:rPr>
      <w:rFonts w:eastAsia="Times New Roman"/>
      <w:sz w:val="16"/>
      <w:szCs w:val="16"/>
      <w:lang w:val="uk-UA" w:eastAsia="uk-UA"/>
    </w:rPr>
  </w:style>
  <w:style w:type="character" w:customStyle="1" w:styleId="34">
    <w:name w:val="Основной текст 3 Знак"/>
    <w:link w:val="33"/>
    <w:uiPriority w:val="99"/>
    <w:semiHidden/>
    <w:rsid w:val="003D03F3"/>
    <w:rPr>
      <w:rFonts w:ascii="Times New Roman" w:eastAsia="Times New Roman" w:hAnsi="Times New Roman"/>
      <w:sz w:val="16"/>
      <w:szCs w:val="16"/>
    </w:rPr>
  </w:style>
  <w:style w:type="paragraph" w:styleId="af1">
    <w:name w:val="annotation subject"/>
    <w:basedOn w:val="ab"/>
    <w:next w:val="ab"/>
    <w:link w:val="af2"/>
    <w:uiPriority w:val="99"/>
    <w:semiHidden/>
    <w:unhideWhenUsed/>
    <w:rsid w:val="003D03F3"/>
    <w:rPr>
      <w:b/>
      <w:bCs/>
    </w:rPr>
  </w:style>
  <w:style w:type="character" w:customStyle="1" w:styleId="af2">
    <w:name w:val="Тема примечания Знак"/>
    <w:link w:val="af1"/>
    <w:uiPriority w:val="99"/>
    <w:semiHidden/>
    <w:rsid w:val="003D03F3"/>
    <w:rPr>
      <w:rFonts w:ascii="Times New Roman" w:eastAsia="Times New Roman" w:hAnsi="Times New Roman"/>
      <w:b/>
      <w:bCs/>
    </w:rPr>
  </w:style>
  <w:style w:type="paragraph" w:styleId="af3">
    <w:name w:val="Balloon Text"/>
    <w:basedOn w:val="a"/>
    <w:link w:val="af4"/>
    <w:uiPriority w:val="99"/>
    <w:semiHidden/>
    <w:unhideWhenUsed/>
    <w:rsid w:val="003D03F3"/>
    <w:rPr>
      <w:rFonts w:ascii="Tahoma" w:eastAsia="Times New Roman" w:hAnsi="Tahoma" w:cs="Tahoma"/>
      <w:sz w:val="16"/>
      <w:szCs w:val="16"/>
    </w:rPr>
  </w:style>
  <w:style w:type="character" w:customStyle="1" w:styleId="af4">
    <w:name w:val="Текст выноски Знак"/>
    <w:link w:val="af3"/>
    <w:uiPriority w:val="99"/>
    <w:semiHidden/>
    <w:rsid w:val="003D03F3"/>
    <w:rPr>
      <w:rFonts w:ascii="Tahoma" w:eastAsia="Times New Roman" w:hAnsi="Tahoma" w:cs="Tahoma"/>
      <w:sz w:val="16"/>
      <w:szCs w:val="16"/>
      <w:lang w:val="ru-RU" w:eastAsia="ru-RU"/>
    </w:rPr>
  </w:style>
  <w:style w:type="paragraph" w:styleId="af5">
    <w:name w:val="Revision"/>
    <w:uiPriority w:val="99"/>
    <w:semiHidden/>
    <w:rsid w:val="003D03F3"/>
    <w:rPr>
      <w:rFonts w:ascii="Times New Roman" w:eastAsia="Times New Roman" w:hAnsi="Times New Roman"/>
      <w:sz w:val="24"/>
      <w:szCs w:val="24"/>
      <w:lang w:val="uk-UA" w:eastAsia="uk-UA"/>
    </w:rPr>
  </w:style>
  <w:style w:type="paragraph" w:styleId="af6">
    <w:name w:val="List Paragraph"/>
    <w:basedOn w:val="a"/>
    <w:uiPriority w:val="34"/>
    <w:qFormat/>
    <w:rsid w:val="003D03F3"/>
    <w:pPr>
      <w:snapToGrid w:val="0"/>
      <w:ind w:left="720"/>
      <w:contextualSpacing/>
    </w:pPr>
    <w:rPr>
      <w:rFonts w:ascii="Arial" w:eastAsia="Times New Roman" w:hAnsi="Arial"/>
      <w:sz w:val="28"/>
    </w:rPr>
  </w:style>
  <w:style w:type="paragraph" w:customStyle="1" w:styleId="msolistparagraph0">
    <w:name w:val="msolistparagraph"/>
    <w:basedOn w:val="a"/>
    <w:uiPriority w:val="34"/>
    <w:qFormat/>
    <w:rsid w:val="003D03F3"/>
    <w:pPr>
      <w:ind w:left="720"/>
      <w:contextualSpacing/>
    </w:pPr>
    <w:rPr>
      <w:rFonts w:eastAsia="Times New Roman"/>
      <w:sz w:val="24"/>
      <w:szCs w:val="24"/>
      <w:lang w:val="uk-UA" w:eastAsia="uk-UA"/>
    </w:rPr>
  </w:style>
  <w:style w:type="paragraph" w:customStyle="1" w:styleId="Encryption">
    <w:name w:val="Encryption"/>
    <w:basedOn w:val="a"/>
    <w:uiPriority w:val="99"/>
    <w:qFormat/>
    <w:rsid w:val="003D03F3"/>
    <w:pPr>
      <w:jc w:val="both"/>
    </w:pPr>
    <w:rPr>
      <w:rFonts w:eastAsia="Times New Roman"/>
      <w:b/>
      <w:bCs/>
      <w:i/>
      <w:iCs/>
      <w:sz w:val="24"/>
      <w:szCs w:val="24"/>
      <w:lang w:val="uk-UA" w:eastAsia="uk-UA"/>
    </w:rPr>
  </w:style>
  <w:style w:type="character" w:customStyle="1" w:styleId="Heading2Char">
    <w:name w:val="Heading 2 Char"/>
    <w:link w:val="210"/>
    <w:locked/>
    <w:rsid w:val="003D03F3"/>
    <w:rPr>
      <w:rFonts w:ascii="Arial" w:eastAsia="Times New Roman" w:hAnsi="Arial" w:cs="Arial"/>
      <w:b/>
      <w:caps/>
      <w:sz w:val="16"/>
      <w:lang w:val="ru-RU" w:eastAsia="ru-RU"/>
    </w:rPr>
  </w:style>
  <w:style w:type="paragraph" w:customStyle="1" w:styleId="210">
    <w:name w:val="Заголовок 21"/>
    <w:basedOn w:val="a"/>
    <w:link w:val="Heading2Char"/>
    <w:rsid w:val="003D03F3"/>
    <w:rPr>
      <w:rFonts w:ascii="Arial" w:eastAsia="Times New Roman" w:hAnsi="Arial" w:cs="Arial"/>
      <w:b/>
      <w:caps/>
      <w:sz w:val="16"/>
    </w:rPr>
  </w:style>
  <w:style w:type="character" w:customStyle="1" w:styleId="Heading4Char">
    <w:name w:val="Heading 4 Char"/>
    <w:link w:val="41"/>
    <w:locked/>
    <w:rsid w:val="003D03F3"/>
    <w:rPr>
      <w:rFonts w:ascii="Arial" w:eastAsia="Times New Roman" w:hAnsi="Arial" w:cs="Arial"/>
      <w:b/>
      <w:lang w:val="ru-RU" w:eastAsia="ru-RU"/>
    </w:rPr>
  </w:style>
  <w:style w:type="paragraph" w:customStyle="1" w:styleId="41">
    <w:name w:val="Заголовок 41"/>
    <w:basedOn w:val="a"/>
    <w:link w:val="Heading4Char"/>
    <w:rsid w:val="003D03F3"/>
    <w:rPr>
      <w:rFonts w:ascii="Arial" w:eastAsia="Times New Roman" w:hAnsi="Arial" w:cs="Arial"/>
      <w:b/>
    </w:rPr>
  </w:style>
  <w:style w:type="paragraph" w:customStyle="1" w:styleId="BodyTextIndent2">
    <w:name w:val="Body Text Indent2"/>
    <w:basedOn w:val="a"/>
    <w:uiPriority w:val="99"/>
    <w:rsid w:val="003D03F3"/>
    <w:pPr>
      <w:jc w:val="center"/>
    </w:pPr>
    <w:rPr>
      <w:rFonts w:ascii="Arial" w:eastAsia="Times New Roman" w:hAnsi="Arial"/>
      <w:b/>
      <w:i/>
      <w:sz w:val="18"/>
      <w:lang w:val="uk-UA"/>
    </w:rPr>
  </w:style>
  <w:style w:type="character" w:customStyle="1" w:styleId="BodyTextIndentChar">
    <w:name w:val="Body Text Indent Char"/>
    <w:link w:val="12"/>
    <w:locked/>
    <w:rsid w:val="003D03F3"/>
    <w:rPr>
      <w:rFonts w:ascii="Arial" w:eastAsia="Times New Roman" w:hAnsi="Arial" w:cs="Arial"/>
      <w:sz w:val="18"/>
      <w:lang w:val="ru-RU" w:eastAsia="ru-RU"/>
    </w:rPr>
  </w:style>
  <w:style w:type="paragraph" w:customStyle="1" w:styleId="12">
    <w:name w:val="Основной текст с отступом1"/>
    <w:basedOn w:val="a"/>
    <w:link w:val="BodyTextIndentChar"/>
    <w:rsid w:val="003D03F3"/>
    <w:pPr>
      <w:spacing w:before="120" w:after="120"/>
    </w:pPr>
    <w:rPr>
      <w:rFonts w:ascii="Arial" w:eastAsia="Times New Roman" w:hAnsi="Arial" w:cs="Arial"/>
      <w:sz w:val="18"/>
    </w:rPr>
  </w:style>
  <w:style w:type="paragraph" w:customStyle="1" w:styleId="23">
    <w:name w:val="Основной текст с отступом2"/>
    <w:basedOn w:val="a"/>
    <w:uiPriority w:val="99"/>
    <w:rsid w:val="003D03F3"/>
    <w:pPr>
      <w:ind w:firstLine="708"/>
      <w:jc w:val="both"/>
    </w:pPr>
    <w:rPr>
      <w:rFonts w:ascii="Arial" w:eastAsia="Times New Roman" w:hAnsi="Arial"/>
      <w:b/>
      <w:sz w:val="18"/>
      <w:lang w:val="uk-UA"/>
    </w:rPr>
  </w:style>
  <w:style w:type="paragraph" w:customStyle="1" w:styleId="35">
    <w:name w:val="Основной текст с отступом3"/>
    <w:basedOn w:val="a"/>
    <w:uiPriority w:val="99"/>
    <w:rsid w:val="003D03F3"/>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uiPriority w:val="99"/>
    <w:rsid w:val="003D03F3"/>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uiPriority w:val="99"/>
    <w:rsid w:val="003D03F3"/>
    <w:pPr>
      <w:ind w:firstLine="708"/>
      <w:jc w:val="both"/>
    </w:pPr>
    <w:rPr>
      <w:rFonts w:ascii="Arial" w:eastAsia="Times New Roman" w:hAnsi="Arial"/>
      <w:b/>
      <w:sz w:val="18"/>
      <w:lang w:val="uk-UA" w:eastAsia="uk-UA"/>
    </w:rPr>
  </w:style>
  <w:style w:type="paragraph" w:customStyle="1" w:styleId="cse71256d6">
    <w:name w:val="cse71256d6"/>
    <w:basedOn w:val="a"/>
    <w:uiPriority w:val="99"/>
    <w:rsid w:val="003D03F3"/>
    <w:pPr>
      <w:ind w:left="1440"/>
    </w:pPr>
    <w:rPr>
      <w:rFonts w:eastAsia="Times New Roman"/>
      <w:sz w:val="24"/>
      <w:szCs w:val="24"/>
      <w:lang w:val="uk-UA" w:eastAsia="uk-UA"/>
    </w:rPr>
  </w:style>
  <w:style w:type="paragraph" w:customStyle="1" w:styleId="61">
    <w:name w:val="Основной текст с отступом6"/>
    <w:basedOn w:val="a"/>
    <w:uiPriority w:val="99"/>
    <w:rsid w:val="003D03F3"/>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uiPriority w:val="99"/>
    <w:rsid w:val="003D03F3"/>
    <w:pPr>
      <w:ind w:firstLine="708"/>
      <w:jc w:val="both"/>
    </w:pPr>
    <w:rPr>
      <w:rFonts w:ascii="Arial" w:eastAsia="Times New Roman" w:hAnsi="Arial"/>
      <w:b/>
      <w:sz w:val="18"/>
      <w:lang w:val="uk-UA" w:eastAsia="uk-UA"/>
    </w:rPr>
  </w:style>
  <w:style w:type="paragraph" w:customStyle="1" w:styleId="8">
    <w:name w:val="Основной текст с отступом8"/>
    <w:basedOn w:val="a"/>
    <w:uiPriority w:val="99"/>
    <w:rsid w:val="003D03F3"/>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uiPriority w:val="99"/>
    <w:rsid w:val="003D03F3"/>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uiPriority w:val="99"/>
    <w:rsid w:val="003D03F3"/>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uiPriority w:val="99"/>
    <w:rsid w:val="003D03F3"/>
    <w:pPr>
      <w:ind w:firstLine="708"/>
      <w:jc w:val="both"/>
    </w:pPr>
    <w:rPr>
      <w:rFonts w:ascii="Arial" w:eastAsia="Times New Roman" w:hAnsi="Arial"/>
      <w:b/>
      <w:sz w:val="18"/>
      <w:lang w:val="uk-UA" w:eastAsia="uk-UA"/>
    </w:rPr>
  </w:style>
  <w:style w:type="paragraph" w:customStyle="1" w:styleId="1100">
    <w:name w:val="Основной текст с отступом110"/>
    <w:basedOn w:val="a"/>
    <w:uiPriority w:val="99"/>
    <w:rsid w:val="003D03F3"/>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uiPriority w:val="99"/>
    <w:rsid w:val="003D03F3"/>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uiPriority w:val="99"/>
    <w:rsid w:val="003D03F3"/>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uiPriority w:val="99"/>
    <w:rsid w:val="003D03F3"/>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uiPriority w:val="99"/>
    <w:rsid w:val="003D03F3"/>
    <w:pPr>
      <w:ind w:firstLine="708"/>
      <w:jc w:val="both"/>
    </w:pPr>
    <w:rPr>
      <w:rFonts w:ascii="Arial" w:eastAsia="Times New Roman" w:hAnsi="Arial"/>
      <w:b/>
      <w:sz w:val="18"/>
      <w:lang w:val="uk-UA" w:eastAsia="uk-UA"/>
    </w:rPr>
  </w:style>
  <w:style w:type="paragraph" w:customStyle="1" w:styleId="16">
    <w:name w:val="Основной текст с отступом16"/>
    <w:basedOn w:val="a"/>
    <w:uiPriority w:val="99"/>
    <w:rsid w:val="003D03F3"/>
    <w:pPr>
      <w:ind w:firstLine="708"/>
      <w:jc w:val="both"/>
    </w:pPr>
    <w:rPr>
      <w:rFonts w:ascii="Arial" w:eastAsia="Times New Roman" w:hAnsi="Arial"/>
      <w:b/>
      <w:sz w:val="18"/>
      <w:lang w:val="uk-UA" w:eastAsia="uk-UA"/>
    </w:rPr>
  </w:style>
  <w:style w:type="paragraph" w:customStyle="1" w:styleId="17">
    <w:name w:val="Основной текст с отступом17"/>
    <w:basedOn w:val="a"/>
    <w:uiPriority w:val="99"/>
    <w:rsid w:val="003D03F3"/>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uiPriority w:val="99"/>
    <w:rsid w:val="003D03F3"/>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uiPriority w:val="99"/>
    <w:rsid w:val="003D03F3"/>
    <w:pPr>
      <w:ind w:firstLine="708"/>
      <w:jc w:val="both"/>
    </w:pPr>
    <w:rPr>
      <w:rFonts w:ascii="Arial" w:eastAsia="Times New Roman" w:hAnsi="Arial"/>
      <w:b/>
      <w:sz w:val="18"/>
      <w:lang w:val="uk-UA" w:eastAsia="uk-UA"/>
    </w:rPr>
  </w:style>
  <w:style w:type="paragraph" w:customStyle="1" w:styleId="200">
    <w:name w:val="Основной текст с отступом20"/>
    <w:basedOn w:val="a"/>
    <w:uiPriority w:val="99"/>
    <w:rsid w:val="003D03F3"/>
    <w:pPr>
      <w:ind w:firstLine="708"/>
      <w:jc w:val="both"/>
    </w:pPr>
    <w:rPr>
      <w:rFonts w:ascii="Arial" w:eastAsia="Times New Roman" w:hAnsi="Arial"/>
      <w:b/>
      <w:sz w:val="18"/>
      <w:lang w:val="uk-UA" w:eastAsia="uk-UA"/>
    </w:rPr>
  </w:style>
  <w:style w:type="paragraph" w:customStyle="1" w:styleId="cs80d9435b">
    <w:name w:val="cs80d9435b"/>
    <w:basedOn w:val="a"/>
    <w:uiPriority w:val="99"/>
    <w:semiHidden/>
    <w:rsid w:val="003D03F3"/>
    <w:pPr>
      <w:jc w:val="both"/>
    </w:pPr>
    <w:rPr>
      <w:rFonts w:ascii="Arial" w:eastAsia="Times New Roman" w:hAnsi="Arial"/>
      <w:sz w:val="24"/>
      <w:szCs w:val="24"/>
      <w:lang w:val="uk-UA" w:eastAsia="uk-UA"/>
    </w:rPr>
  </w:style>
  <w:style w:type="paragraph" w:customStyle="1" w:styleId="211">
    <w:name w:val="Основной текст с отступом21"/>
    <w:basedOn w:val="a"/>
    <w:uiPriority w:val="99"/>
    <w:rsid w:val="003D03F3"/>
    <w:pPr>
      <w:ind w:firstLine="708"/>
      <w:jc w:val="both"/>
    </w:pPr>
    <w:rPr>
      <w:rFonts w:ascii="Arial" w:eastAsia="Times New Roman" w:hAnsi="Arial"/>
      <w:b/>
      <w:sz w:val="18"/>
      <w:lang w:val="uk-UA" w:eastAsia="uk-UA"/>
    </w:rPr>
  </w:style>
  <w:style w:type="paragraph" w:customStyle="1" w:styleId="230">
    <w:name w:val="Основной текст с отступом23"/>
    <w:basedOn w:val="a"/>
    <w:uiPriority w:val="99"/>
    <w:rsid w:val="003D03F3"/>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uiPriority w:val="99"/>
    <w:rsid w:val="003D03F3"/>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uiPriority w:val="99"/>
    <w:rsid w:val="003D03F3"/>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uiPriority w:val="99"/>
    <w:rsid w:val="003D03F3"/>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uiPriority w:val="99"/>
    <w:rsid w:val="003D03F3"/>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uiPriority w:val="99"/>
    <w:rsid w:val="003D03F3"/>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uiPriority w:val="99"/>
    <w:rsid w:val="003D03F3"/>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uiPriority w:val="99"/>
    <w:rsid w:val="003D03F3"/>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uiPriority w:val="99"/>
    <w:rsid w:val="003D03F3"/>
    <w:pPr>
      <w:ind w:firstLine="708"/>
      <w:jc w:val="both"/>
    </w:pPr>
    <w:rPr>
      <w:rFonts w:ascii="Arial" w:eastAsia="Times New Roman" w:hAnsi="Arial"/>
      <w:b/>
      <w:sz w:val="18"/>
      <w:lang w:val="uk-UA" w:eastAsia="uk-UA"/>
    </w:rPr>
  </w:style>
  <w:style w:type="paragraph" w:customStyle="1" w:styleId="36">
    <w:name w:val="Основной текст с отступом36"/>
    <w:basedOn w:val="a"/>
    <w:uiPriority w:val="99"/>
    <w:rsid w:val="003D03F3"/>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uiPriority w:val="99"/>
    <w:rsid w:val="003D03F3"/>
    <w:pPr>
      <w:ind w:firstLine="708"/>
      <w:jc w:val="both"/>
    </w:pPr>
    <w:rPr>
      <w:rFonts w:ascii="Arial" w:eastAsia="Times New Roman" w:hAnsi="Arial"/>
      <w:b/>
      <w:sz w:val="18"/>
      <w:lang w:val="uk-UA" w:eastAsia="uk-UA"/>
    </w:rPr>
  </w:style>
  <w:style w:type="paragraph" w:customStyle="1" w:styleId="csfeeeeb43">
    <w:name w:val="csfeeeeb43"/>
    <w:basedOn w:val="a"/>
    <w:uiPriority w:val="99"/>
    <w:semiHidden/>
    <w:rsid w:val="003D03F3"/>
    <w:rPr>
      <w:rFonts w:ascii="Arial" w:eastAsia="Times New Roman" w:hAnsi="Arial"/>
      <w:sz w:val="24"/>
      <w:szCs w:val="24"/>
      <w:lang w:val="uk-UA" w:eastAsia="uk-UA"/>
    </w:rPr>
  </w:style>
  <w:style w:type="paragraph" w:customStyle="1" w:styleId="38">
    <w:name w:val="Основной текст с отступом38"/>
    <w:basedOn w:val="a"/>
    <w:uiPriority w:val="99"/>
    <w:rsid w:val="003D03F3"/>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uiPriority w:val="99"/>
    <w:rsid w:val="003D03F3"/>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uiPriority w:val="99"/>
    <w:rsid w:val="003D03F3"/>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uiPriority w:val="99"/>
    <w:rsid w:val="003D03F3"/>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uiPriority w:val="99"/>
    <w:rsid w:val="003D03F3"/>
    <w:pPr>
      <w:ind w:firstLine="708"/>
      <w:jc w:val="both"/>
    </w:pPr>
    <w:rPr>
      <w:rFonts w:ascii="Arial" w:eastAsia="Times New Roman" w:hAnsi="Arial"/>
      <w:b/>
      <w:sz w:val="18"/>
      <w:lang w:val="uk-UA" w:eastAsia="uk-UA"/>
    </w:rPr>
  </w:style>
  <w:style w:type="paragraph" w:customStyle="1" w:styleId="43">
    <w:name w:val="Основной текст с отступом43"/>
    <w:basedOn w:val="a"/>
    <w:uiPriority w:val="99"/>
    <w:rsid w:val="003D03F3"/>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uiPriority w:val="99"/>
    <w:rsid w:val="003D03F3"/>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uiPriority w:val="99"/>
    <w:rsid w:val="003D03F3"/>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uiPriority w:val="99"/>
    <w:rsid w:val="003D03F3"/>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uiPriority w:val="99"/>
    <w:rsid w:val="003D03F3"/>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uiPriority w:val="99"/>
    <w:rsid w:val="003D03F3"/>
    <w:pPr>
      <w:ind w:firstLine="708"/>
      <w:jc w:val="both"/>
    </w:pPr>
    <w:rPr>
      <w:rFonts w:ascii="Arial" w:eastAsia="Times New Roman" w:hAnsi="Arial"/>
      <w:b/>
      <w:sz w:val="18"/>
      <w:lang w:val="uk-UA" w:eastAsia="uk-UA"/>
    </w:rPr>
  </w:style>
  <w:style w:type="paragraph" w:customStyle="1" w:styleId="49">
    <w:name w:val="Основной текст с отступом49"/>
    <w:basedOn w:val="a"/>
    <w:uiPriority w:val="99"/>
    <w:rsid w:val="003D03F3"/>
    <w:pPr>
      <w:ind w:firstLine="708"/>
      <w:jc w:val="both"/>
    </w:pPr>
    <w:rPr>
      <w:rFonts w:ascii="Arial" w:eastAsia="Times New Roman" w:hAnsi="Arial"/>
      <w:b/>
      <w:sz w:val="18"/>
      <w:lang w:val="uk-UA" w:eastAsia="uk-UA"/>
    </w:rPr>
  </w:style>
  <w:style w:type="paragraph" w:customStyle="1" w:styleId="50">
    <w:name w:val="Основной текст с отступом50"/>
    <w:basedOn w:val="a"/>
    <w:uiPriority w:val="99"/>
    <w:rsid w:val="003D03F3"/>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uiPriority w:val="99"/>
    <w:rsid w:val="003D03F3"/>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uiPriority w:val="99"/>
    <w:rsid w:val="003D03F3"/>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uiPriority w:val="99"/>
    <w:rsid w:val="003D03F3"/>
    <w:pPr>
      <w:ind w:firstLine="708"/>
      <w:jc w:val="both"/>
    </w:pPr>
    <w:rPr>
      <w:rFonts w:ascii="Arial" w:eastAsia="Times New Roman" w:hAnsi="Arial"/>
      <w:b/>
      <w:sz w:val="18"/>
      <w:lang w:val="uk-UA" w:eastAsia="uk-UA"/>
    </w:rPr>
  </w:style>
  <w:style w:type="paragraph" w:customStyle="1" w:styleId="57">
    <w:name w:val="Основной текст с отступом57"/>
    <w:basedOn w:val="a"/>
    <w:uiPriority w:val="99"/>
    <w:rsid w:val="003D03F3"/>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uiPriority w:val="99"/>
    <w:rsid w:val="003D03F3"/>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uiPriority w:val="99"/>
    <w:rsid w:val="003D03F3"/>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uiPriority w:val="99"/>
    <w:rsid w:val="003D03F3"/>
    <w:pPr>
      <w:ind w:firstLine="708"/>
      <w:jc w:val="both"/>
    </w:pPr>
    <w:rPr>
      <w:rFonts w:ascii="Arial" w:eastAsia="Times New Roman" w:hAnsi="Arial"/>
      <w:b/>
      <w:sz w:val="18"/>
      <w:lang w:val="uk-UA" w:eastAsia="uk-UA"/>
    </w:rPr>
  </w:style>
  <w:style w:type="paragraph" w:customStyle="1" w:styleId="24">
    <w:name w:val="Обычный2"/>
    <w:uiPriority w:val="99"/>
    <w:rsid w:val="003D03F3"/>
    <w:rPr>
      <w:rFonts w:ascii="Times New Roman" w:eastAsia="Times New Roman" w:hAnsi="Times New Roman"/>
      <w:sz w:val="24"/>
      <w:lang w:val="uk-UA" w:eastAsia="ru-RU"/>
    </w:rPr>
  </w:style>
  <w:style w:type="paragraph" w:customStyle="1" w:styleId="220">
    <w:name w:val="Основной текст с отступом22"/>
    <w:basedOn w:val="a"/>
    <w:uiPriority w:val="99"/>
    <w:rsid w:val="003D03F3"/>
    <w:pPr>
      <w:spacing w:before="120" w:after="120"/>
    </w:pPr>
    <w:rPr>
      <w:rFonts w:ascii="Arial" w:eastAsia="Times New Roman" w:hAnsi="Arial"/>
      <w:sz w:val="18"/>
    </w:rPr>
  </w:style>
  <w:style w:type="paragraph" w:customStyle="1" w:styleId="221">
    <w:name w:val="Заголовок 22"/>
    <w:basedOn w:val="a"/>
    <w:uiPriority w:val="99"/>
    <w:rsid w:val="003D03F3"/>
    <w:rPr>
      <w:rFonts w:ascii="Arial" w:eastAsia="Times New Roman" w:hAnsi="Arial"/>
      <w:b/>
      <w:caps/>
      <w:sz w:val="16"/>
    </w:rPr>
  </w:style>
  <w:style w:type="paragraph" w:customStyle="1" w:styleId="421">
    <w:name w:val="Заголовок 42"/>
    <w:basedOn w:val="a"/>
    <w:uiPriority w:val="99"/>
    <w:rsid w:val="003D03F3"/>
    <w:rPr>
      <w:rFonts w:ascii="Arial" w:eastAsia="Times New Roman" w:hAnsi="Arial"/>
      <w:b/>
    </w:rPr>
  </w:style>
  <w:style w:type="paragraph" w:customStyle="1" w:styleId="3a">
    <w:name w:val="Обычный3"/>
    <w:uiPriority w:val="99"/>
    <w:rsid w:val="003D03F3"/>
    <w:rPr>
      <w:rFonts w:ascii="Times New Roman" w:eastAsia="Times New Roman" w:hAnsi="Times New Roman"/>
      <w:sz w:val="24"/>
      <w:lang w:val="uk-UA" w:eastAsia="ru-RU"/>
    </w:rPr>
  </w:style>
  <w:style w:type="paragraph" w:customStyle="1" w:styleId="240">
    <w:name w:val="Основной текст с отступом24"/>
    <w:basedOn w:val="a"/>
    <w:uiPriority w:val="99"/>
    <w:rsid w:val="003D03F3"/>
    <w:pPr>
      <w:spacing w:before="120" w:after="120"/>
    </w:pPr>
    <w:rPr>
      <w:rFonts w:ascii="Arial" w:eastAsia="Times New Roman" w:hAnsi="Arial"/>
      <w:sz w:val="18"/>
    </w:rPr>
  </w:style>
  <w:style w:type="paragraph" w:customStyle="1" w:styleId="231">
    <w:name w:val="Заголовок 23"/>
    <w:basedOn w:val="a"/>
    <w:uiPriority w:val="99"/>
    <w:rsid w:val="003D03F3"/>
    <w:rPr>
      <w:rFonts w:ascii="Arial" w:eastAsia="Times New Roman" w:hAnsi="Arial"/>
      <w:b/>
      <w:caps/>
      <w:sz w:val="16"/>
    </w:rPr>
  </w:style>
  <w:style w:type="paragraph" w:customStyle="1" w:styleId="430">
    <w:name w:val="Заголовок 43"/>
    <w:basedOn w:val="a"/>
    <w:uiPriority w:val="99"/>
    <w:rsid w:val="003D03F3"/>
    <w:rPr>
      <w:rFonts w:ascii="Arial" w:eastAsia="Times New Roman" w:hAnsi="Arial"/>
      <w:b/>
    </w:rPr>
  </w:style>
  <w:style w:type="paragraph" w:customStyle="1" w:styleId="BodyTextIndent">
    <w:name w:val="Body Text Indent"/>
    <w:basedOn w:val="a"/>
    <w:uiPriority w:val="99"/>
    <w:rsid w:val="003D03F3"/>
    <w:pPr>
      <w:spacing w:before="120" w:after="120"/>
    </w:pPr>
    <w:rPr>
      <w:rFonts w:ascii="Arial" w:eastAsia="Times New Roman" w:hAnsi="Arial"/>
      <w:sz w:val="18"/>
    </w:rPr>
  </w:style>
  <w:style w:type="paragraph" w:customStyle="1" w:styleId="Heading2">
    <w:name w:val="Heading 2"/>
    <w:basedOn w:val="a"/>
    <w:uiPriority w:val="99"/>
    <w:rsid w:val="003D03F3"/>
    <w:rPr>
      <w:rFonts w:ascii="Arial" w:eastAsia="Times New Roman" w:hAnsi="Arial"/>
      <w:b/>
      <w:caps/>
      <w:sz w:val="16"/>
    </w:rPr>
  </w:style>
  <w:style w:type="paragraph" w:customStyle="1" w:styleId="Heading4">
    <w:name w:val="Heading 4"/>
    <w:basedOn w:val="a"/>
    <w:uiPriority w:val="99"/>
    <w:rsid w:val="003D03F3"/>
    <w:rPr>
      <w:rFonts w:ascii="Arial" w:eastAsia="Times New Roman" w:hAnsi="Arial"/>
      <w:b/>
    </w:rPr>
  </w:style>
  <w:style w:type="paragraph" w:customStyle="1" w:styleId="62">
    <w:name w:val="Основной текст с отступом62"/>
    <w:basedOn w:val="a"/>
    <w:uiPriority w:val="99"/>
    <w:rsid w:val="003D03F3"/>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uiPriority w:val="99"/>
    <w:rsid w:val="003D03F3"/>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uiPriority w:val="99"/>
    <w:rsid w:val="003D03F3"/>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uiPriority w:val="99"/>
    <w:rsid w:val="003D03F3"/>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uiPriority w:val="99"/>
    <w:rsid w:val="003D03F3"/>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uiPriority w:val="99"/>
    <w:rsid w:val="003D03F3"/>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uiPriority w:val="99"/>
    <w:rsid w:val="003D03F3"/>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uiPriority w:val="99"/>
    <w:rsid w:val="003D03F3"/>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uiPriority w:val="99"/>
    <w:rsid w:val="003D03F3"/>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uiPriority w:val="99"/>
    <w:rsid w:val="003D03F3"/>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uiPriority w:val="99"/>
    <w:rsid w:val="003D03F3"/>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3D03F3"/>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3D03F3"/>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uiPriority w:val="99"/>
    <w:rsid w:val="003D03F3"/>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uiPriority w:val="99"/>
    <w:rsid w:val="003D03F3"/>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uiPriority w:val="99"/>
    <w:rsid w:val="003D03F3"/>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uiPriority w:val="99"/>
    <w:rsid w:val="003D03F3"/>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uiPriority w:val="99"/>
    <w:rsid w:val="003D03F3"/>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uiPriority w:val="99"/>
    <w:rsid w:val="003D03F3"/>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uiPriority w:val="99"/>
    <w:rsid w:val="003D03F3"/>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uiPriority w:val="99"/>
    <w:rsid w:val="003D03F3"/>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uiPriority w:val="99"/>
    <w:rsid w:val="003D03F3"/>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uiPriority w:val="99"/>
    <w:rsid w:val="003D03F3"/>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uiPriority w:val="99"/>
    <w:rsid w:val="003D03F3"/>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uiPriority w:val="99"/>
    <w:rsid w:val="003D03F3"/>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uiPriority w:val="99"/>
    <w:rsid w:val="003D03F3"/>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uiPriority w:val="99"/>
    <w:rsid w:val="003D03F3"/>
    <w:pPr>
      <w:ind w:firstLine="708"/>
      <w:jc w:val="both"/>
    </w:pPr>
    <w:rPr>
      <w:rFonts w:ascii="Arial" w:eastAsia="Times New Roman" w:hAnsi="Arial"/>
      <w:b/>
      <w:sz w:val="18"/>
      <w:lang w:val="uk-UA" w:eastAsia="uk-UA"/>
    </w:rPr>
  </w:style>
  <w:style w:type="paragraph" w:customStyle="1" w:styleId="89">
    <w:name w:val="Основной текст с отступом89"/>
    <w:basedOn w:val="a"/>
    <w:uiPriority w:val="99"/>
    <w:rsid w:val="003D03F3"/>
    <w:pPr>
      <w:ind w:firstLine="708"/>
      <w:jc w:val="both"/>
    </w:pPr>
    <w:rPr>
      <w:rFonts w:ascii="Arial" w:eastAsia="Times New Roman" w:hAnsi="Arial"/>
      <w:b/>
      <w:sz w:val="18"/>
      <w:lang w:val="uk-UA" w:eastAsia="uk-UA"/>
    </w:rPr>
  </w:style>
  <w:style w:type="paragraph" w:customStyle="1" w:styleId="91">
    <w:name w:val="Основной текст с отступом91"/>
    <w:basedOn w:val="a"/>
    <w:uiPriority w:val="99"/>
    <w:rsid w:val="003D03F3"/>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uiPriority w:val="99"/>
    <w:rsid w:val="003D03F3"/>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uiPriority w:val="99"/>
    <w:rsid w:val="003D03F3"/>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uiPriority w:val="99"/>
    <w:rsid w:val="003D03F3"/>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uiPriority w:val="99"/>
    <w:rsid w:val="003D03F3"/>
    <w:pPr>
      <w:ind w:firstLine="708"/>
      <w:jc w:val="both"/>
    </w:pPr>
    <w:rPr>
      <w:rFonts w:ascii="Arial" w:eastAsia="Times New Roman" w:hAnsi="Arial"/>
      <w:b/>
      <w:sz w:val="18"/>
      <w:lang w:val="uk-UA" w:eastAsia="uk-UA"/>
    </w:rPr>
  </w:style>
  <w:style w:type="paragraph" w:customStyle="1" w:styleId="97">
    <w:name w:val="Основной текст с отступом97"/>
    <w:basedOn w:val="a"/>
    <w:uiPriority w:val="99"/>
    <w:rsid w:val="003D03F3"/>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uiPriority w:val="99"/>
    <w:rsid w:val="003D03F3"/>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uiPriority w:val="99"/>
    <w:rsid w:val="003D03F3"/>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uiPriority w:val="99"/>
    <w:rsid w:val="003D03F3"/>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uiPriority w:val="99"/>
    <w:rsid w:val="003D03F3"/>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uiPriority w:val="99"/>
    <w:rsid w:val="003D03F3"/>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uiPriority w:val="99"/>
    <w:rsid w:val="003D03F3"/>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uiPriority w:val="99"/>
    <w:rsid w:val="003D03F3"/>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uiPriority w:val="99"/>
    <w:rsid w:val="003D03F3"/>
    <w:pPr>
      <w:ind w:firstLine="708"/>
      <w:jc w:val="both"/>
    </w:pPr>
    <w:rPr>
      <w:rFonts w:ascii="Arial" w:eastAsia="Times New Roman" w:hAnsi="Arial"/>
      <w:b/>
      <w:sz w:val="18"/>
      <w:lang w:val="uk-UA" w:eastAsia="uk-UA"/>
    </w:rPr>
  </w:style>
  <w:style w:type="paragraph" w:customStyle="1" w:styleId="109">
    <w:name w:val="Основной текст с отступом109"/>
    <w:basedOn w:val="a"/>
    <w:uiPriority w:val="99"/>
    <w:rsid w:val="003D03F3"/>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uiPriority w:val="99"/>
    <w:rsid w:val="003D03F3"/>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uiPriority w:val="99"/>
    <w:rsid w:val="003D03F3"/>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uiPriority w:val="99"/>
    <w:rsid w:val="003D03F3"/>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uiPriority w:val="99"/>
    <w:rsid w:val="003D03F3"/>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uiPriority w:val="99"/>
    <w:rsid w:val="003D03F3"/>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uiPriority w:val="99"/>
    <w:rsid w:val="003D03F3"/>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uiPriority w:val="99"/>
    <w:rsid w:val="003D03F3"/>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uiPriority w:val="99"/>
    <w:rsid w:val="003D03F3"/>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uiPriority w:val="99"/>
    <w:rsid w:val="003D03F3"/>
    <w:pPr>
      <w:ind w:firstLine="708"/>
      <w:jc w:val="both"/>
    </w:pPr>
    <w:rPr>
      <w:rFonts w:ascii="Arial" w:eastAsia="Times New Roman" w:hAnsi="Arial"/>
      <w:b/>
      <w:sz w:val="18"/>
      <w:lang w:val="uk-UA" w:eastAsia="uk-UA"/>
    </w:rPr>
  </w:style>
  <w:style w:type="paragraph" w:customStyle="1" w:styleId="1200">
    <w:name w:val="Основной текст с отступом120"/>
    <w:basedOn w:val="a"/>
    <w:uiPriority w:val="99"/>
    <w:rsid w:val="003D03F3"/>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uiPriority w:val="99"/>
    <w:rsid w:val="003D03F3"/>
    <w:pPr>
      <w:ind w:firstLine="708"/>
      <w:jc w:val="both"/>
    </w:pPr>
    <w:rPr>
      <w:rFonts w:ascii="Arial" w:eastAsia="Times New Roman" w:hAnsi="Arial"/>
      <w:b/>
      <w:sz w:val="18"/>
      <w:lang w:val="uk-UA" w:eastAsia="uk-UA"/>
    </w:rPr>
  </w:style>
  <w:style w:type="paragraph" w:customStyle="1" w:styleId="122">
    <w:name w:val="Основной текст с отступом122"/>
    <w:basedOn w:val="a"/>
    <w:uiPriority w:val="99"/>
    <w:rsid w:val="003D03F3"/>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uiPriority w:val="99"/>
    <w:rsid w:val="003D03F3"/>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uiPriority w:val="99"/>
    <w:rsid w:val="003D03F3"/>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uiPriority w:val="99"/>
    <w:rsid w:val="003D03F3"/>
    <w:pPr>
      <w:ind w:firstLine="708"/>
      <w:jc w:val="both"/>
    </w:pPr>
    <w:rPr>
      <w:rFonts w:ascii="Arial" w:eastAsia="Times New Roman" w:hAnsi="Arial"/>
      <w:b/>
      <w:sz w:val="18"/>
      <w:lang w:val="uk-UA" w:eastAsia="uk-UA"/>
    </w:rPr>
  </w:style>
  <w:style w:type="paragraph" w:customStyle="1" w:styleId="127">
    <w:name w:val="Основной текст с отступом127"/>
    <w:basedOn w:val="a"/>
    <w:uiPriority w:val="99"/>
    <w:rsid w:val="003D03F3"/>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uiPriority w:val="99"/>
    <w:rsid w:val="003D03F3"/>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uiPriority w:val="99"/>
    <w:rsid w:val="003D03F3"/>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uiPriority w:val="99"/>
    <w:rsid w:val="003D03F3"/>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uiPriority w:val="99"/>
    <w:rsid w:val="003D03F3"/>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uiPriority w:val="99"/>
    <w:rsid w:val="003D03F3"/>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uiPriority w:val="99"/>
    <w:rsid w:val="003D03F3"/>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3D03F3"/>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uiPriority w:val="99"/>
    <w:rsid w:val="003D03F3"/>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uiPriority w:val="99"/>
    <w:rsid w:val="003D03F3"/>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uiPriority w:val="99"/>
    <w:rsid w:val="003D03F3"/>
    <w:pPr>
      <w:ind w:firstLine="708"/>
      <w:jc w:val="both"/>
    </w:pPr>
    <w:rPr>
      <w:rFonts w:ascii="Arial" w:eastAsia="Times New Roman" w:hAnsi="Arial"/>
      <w:b/>
      <w:sz w:val="18"/>
      <w:lang w:val="uk-UA" w:eastAsia="uk-UA"/>
    </w:rPr>
  </w:style>
  <w:style w:type="paragraph" w:customStyle="1" w:styleId="139">
    <w:name w:val="Основной текст с отступом139"/>
    <w:basedOn w:val="a"/>
    <w:uiPriority w:val="99"/>
    <w:rsid w:val="003D03F3"/>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uiPriority w:val="99"/>
    <w:rsid w:val="003D03F3"/>
    <w:pPr>
      <w:ind w:firstLine="708"/>
      <w:jc w:val="both"/>
    </w:pPr>
    <w:rPr>
      <w:rFonts w:ascii="Arial" w:eastAsia="Times New Roman" w:hAnsi="Arial"/>
      <w:b/>
      <w:sz w:val="18"/>
      <w:lang w:val="uk-UA"/>
    </w:rPr>
  </w:style>
  <w:style w:type="paragraph" w:customStyle="1" w:styleId="1410">
    <w:name w:val="Основной текст с отступом141"/>
    <w:basedOn w:val="a"/>
    <w:uiPriority w:val="99"/>
    <w:rsid w:val="003D03F3"/>
    <w:pPr>
      <w:ind w:firstLine="708"/>
      <w:jc w:val="both"/>
    </w:pPr>
    <w:rPr>
      <w:rFonts w:ascii="Arial" w:eastAsia="Times New Roman" w:hAnsi="Arial"/>
      <w:b/>
      <w:sz w:val="18"/>
      <w:lang w:val="uk-UA" w:eastAsia="uk-UA"/>
    </w:rPr>
  </w:style>
  <w:style w:type="character" w:customStyle="1" w:styleId="Arial9">
    <w:name w:val="Arial9(без отступов) Знак"/>
    <w:link w:val="Arial90"/>
    <w:semiHidden/>
    <w:locked/>
    <w:rsid w:val="003D03F3"/>
    <w:rPr>
      <w:rFonts w:ascii="Arial" w:hAnsi="Arial" w:cs="Arial"/>
      <w:sz w:val="18"/>
      <w:szCs w:val="18"/>
      <w:lang w:val="ru-RU"/>
    </w:rPr>
  </w:style>
  <w:style w:type="paragraph" w:customStyle="1" w:styleId="Arial90">
    <w:name w:val="Arial9(без отступов)"/>
    <w:link w:val="Arial9"/>
    <w:semiHidden/>
    <w:rsid w:val="003D03F3"/>
    <w:pPr>
      <w:ind w:left="-113"/>
    </w:pPr>
    <w:rPr>
      <w:rFonts w:ascii="Arial" w:hAnsi="Arial" w:cs="Arial"/>
      <w:sz w:val="18"/>
      <w:szCs w:val="18"/>
      <w:lang w:val="ru-RU" w:eastAsia="uk-UA"/>
    </w:rPr>
  </w:style>
  <w:style w:type="paragraph" w:customStyle="1" w:styleId="Arial91">
    <w:name w:val="Arial9(жирн)"/>
    <w:uiPriority w:val="99"/>
    <w:semiHidden/>
    <w:rsid w:val="003D03F3"/>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3D03F3"/>
    <w:rPr>
      <w:rFonts w:ascii="Arial" w:hAnsi="Arial" w:cs="Arial"/>
      <w:sz w:val="18"/>
      <w:lang w:val="x-none" w:eastAsia="ru-RU"/>
    </w:rPr>
  </w:style>
  <w:style w:type="paragraph" w:customStyle="1" w:styleId="Arial960">
    <w:name w:val="Arial9+6пт"/>
    <w:basedOn w:val="a"/>
    <w:link w:val="Arial96"/>
    <w:rsid w:val="003D03F3"/>
    <w:pPr>
      <w:snapToGrid w:val="0"/>
      <w:spacing w:before="120"/>
    </w:pPr>
    <w:rPr>
      <w:rFonts w:ascii="Arial" w:hAnsi="Arial" w:cs="Arial"/>
      <w:sz w:val="18"/>
      <w:lang w:val="x-none"/>
    </w:rPr>
  </w:style>
  <w:style w:type="character" w:customStyle="1" w:styleId="af7">
    <w:name w:val="Название Знак"/>
    <w:link w:val="af8"/>
    <w:locked/>
    <w:rsid w:val="003D03F3"/>
    <w:rPr>
      <w:rFonts w:ascii="Cambria" w:hAnsi="Cambria"/>
      <w:color w:val="17365D"/>
      <w:spacing w:val="5"/>
    </w:rPr>
  </w:style>
  <w:style w:type="paragraph" w:customStyle="1" w:styleId="af8">
    <w:name w:val="Название"/>
    <w:basedOn w:val="a"/>
    <w:link w:val="af7"/>
    <w:rsid w:val="003D03F3"/>
    <w:rPr>
      <w:rFonts w:ascii="Cambria" w:hAnsi="Cambria"/>
      <w:color w:val="17365D"/>
      <w:spacing w:val="5"/>
      <w:lang w:val="uk-UA" w:eastAsia="uk-UA"/>
    </w:rPr>
  </w:style>
  <w:style w:type="character" w:customStyle="1" w:styleId="af9">
    <w:name w:val="Верхній колонтитул Знак"/>
    <w:link w:val="1a"/>
    <w:uiPriority w:val="99"/>
    <w:locked/>
    <w:rsid w:val="003D03F3"/>
  </w:style>
  <w:style w:type="paragraph" w:customStyle="1" w:styleId="1a">
    <w:name w:val="Верхній колонтитул1"/>
    <w:basedOn w:val="a"/>
    <w:link w:val="af9"/>
    <w:uiPriority w:val="99"/>
    <w:rsid w:val="003D03F3"/>
    <w:rPr>
      <w:rFonts w:ascii="Calibri" w:hAnsi="Calibri"/>
      <w:lang w:val="uk-UA" w:eastAsia="uk-UA"/>
    </w:rPr>
  </w:style>
  <w:style w:type="character" w:customStyle="1" w:styleId="afa">
    <w:name w:val="Нижній колонтитул Знак"/>
    <w:link w:val="1b"/>
    <w:uiPriority w:val="99"/>
    <w:locked/>
    <w:rsid w:val="003D03F3"/>
  </w:style>
  <w:style w:type="paragraph" w:customStyle="1" w:styleId="1b">
    <w:name w:val="Нижній колонтитул1"/>
    <w:basedOn w:val="a"/>
    <w:link w:val="afa"/>
    <w:uiPriority w:val="99"/>
    <w:rsid w:val="003D03F3"/>
    <w:rPr>
      <w:rFonts w:ascii="Calibri" w:hAnsi="Calibri"/>
      <w:lang w:val="uk-UA" w:eastAsia="uk-UA"/>
    </w:rPr>
  </w:style>
  <w:style w:type="character" w:customStyle="1" w:styleId="afb">
    <w:name w:val="Назва Знак"/>
    <w:link w:val="1c"/>
    <w:locked/>
    <w:rsid w:val="003D03F3"/>
    <w:rPr>
      <w:rFonts w:ascii="Calibri Light" w:hAnsi="Calibri Light" w:cs="Calibri Light"/>
      <w:spacing w:val="-10"/>
    </w:rPr>
  </w:style>
  <w:style w:type="paragraph" w:customStyle="1" w:styleId="1c">
    <w:name w:val="Назва1"/>
    <w:basedOn w:val="a"/>
    <w:link w:val="afb"/>
    <w:rsid w:val="003D03F3"/>
    <w:rPr>
      <w:rFonts w:ascii="Calibri Light" w:hAnsi="Calibri Light" w:cs="Calibri Light"/>
      <w:spacing w:val="-10"/>
      <w:lang w:val="uk-UA" w:eastAsia="uk-UA"/>
    </w:rPr>
  </w:style>
  <w:style w:type="character" w:customStyle="1" w:styleId="25">
    <w:name w:val="Основний текст 2 Знак"/>
    <w:link w:val="212"/>
    <w:locked/>
    <w:rsid w:val="003D03F3"/>
  </w:style>
  <w:style w:type="paragraph" w:customStyle="1" w:styleId="212">
    <w:name w:val="Основний текст 21"/>
    <w:basedOn w:val="a"/>
    <w:link w:val="25"/>
    <w:rsid w:val="003D03F3"/>
    <w:rPr>
      <w:rFonts w:ascii="Calibri" w:hAnsi="Calibri"/>
      <w:lang w:val="uk-UA" w:eastAsia="uk-UA"/>
    </w:rPr>
  </w:style>
  <w:style w:type="character" w:customStyle="1" w:styleId="afc">
    <w:name w:val="Текст у виносці Знак"/>
    <w:link w:val="1d"/>
    <w:locked/>
    <w:rsid w:val="003D03F3"/>
    <w:rPr>
      <w:rFonts w:ascii="Segoe UI" w:hAnsi="Segoe UI" w:cs="Segoe UI"/>
    </w:rPr>
  </w:style>
  <w:style w:type="paragraph" w:customStyle="1" w:styleId="1d">
    <w:name w:val="Текст у виносці1"/>
    <w:basedOn w:val="a"/>
    <w:link w:val="afc"/>
    <w:rsid w:val="003D03F3"/>
    <w:rPr>
      <w:rFonts w:ascii="Segoe UI" w:hAnsi="Segoe UI" w:cs="Segoe UI"/>
      <w:lang w:val="uk-UA" w:eastAsia="uk-UA"/>
    </w:rPr>
  </w:style>
  <w:style w:type="character" w:styleId="afd">
    <w:name w:val="annotation reference"/>
    <w:semiHidden/>
    <w:unhideWhenUsed/>
    <w:rsid w:val="003D03F3"/>
    <w:rPr>
      <w:sz w:val="16"/>
      <w:szCs w:val="16"/>
    </w:rPr>
  </w:style>
  <w:style w:type="character" w:styleId="afe">
    <w:name w:val="line number"/>
    <w:uiPriority w:val="99"/>
    <w:semiHidden/>
    <w:unhideWhenUsed/>
    <w:rsid w:val="003D03F3"/>
    <w:rPr>
      <w:rFonts w:ascii="Segoe UI" w:hAnsi="Segoe UI" w:cs="Segoe UI" w:hint="default"/>
      <w:color w:val="000000"/>
      <w:sz w:val="18"/>
      <w:szCs w:val="18"/>
    </w:rPr>
  </w:style>
  <w:style w:type="character" w:customStyle="1" w:styleId="csb3e8c9cf24">
    <w:name w:val="csb3e8c9cf24"/>
    <w:rsid w:val="003D03F3"/>
    <w:rPr>
      <w:rFonts w:ascii="Arial" w:hAnsi="Arial" w:cs="Arial" w:hint="default"/>
      <w:b/>
      <w:bCs/>
      <w:i w:val="0"/>
      <w:iCs w:val="0"/>
      <w:color w:val="000000"/>
      <w:sz w:val="18"/>
      <w:szCs w:val="18"/>
    </w:rPr>
  </w:style>
  <w:style w:type="character" w:customStyle="1" w:styleId="csab6e076947">
    <w:name w:val="csab6e076947"/>
    <w:rsid w:val="003D03F3"/>
    <w:rPr>
      <w:rFonts w:ascii="Arial" w:hAnsi="Arial" w:cs="Arial" w:hint="default"/>
      <w:b w:val="0"/>
      <w:bCs w:val="0"/>
      <w:i w:val="0"/>
      <w:iCs w:val="0"/>
      <w:color w:val="000000"/>
      <w:sz w:val="18"/>
      <w:szCs w:val="18"/>
    </w:rPr>
  </w:style>
  <w:style w:type="character" w:customStyle="1" w:styleId="csab6e076986">
    <w:name w:val="csab6e076986"/>
    <w:rsid w:val="003D03F3"/>
    <w:rPr>
      <w:rFonts w:ascii="Arial" w:hAnsi="Arial" w:cs="Arial" w:hint="default"/>
      <w:b w:val="0"/>
      <w:bCs w:val="0"/>
      <w:i w:val="0"/>
      <w:iCs w:val="0"/>
      <w:color w:val="000000"/>
      <w:sz w:val="18"/>
      <w:szCs w:val="18"/>
    </w:rPr>
  </w:style>
  <w:style w:type="character" w:customStyle="1" w:styleId="csf229d0ff18">
    <w:name w:val="csf229d0ff18"/>
    <w:rsid w:val="003D03F3"/>
    <w:rPr>
      <w:rFonts w:ascii="Arial" w:hAnsi="Arial" w:cs="Arial" w:hint="default"/>
      <w:b w:val="0"/>
      <w:bCs w:val="0"/>
      <w:i w:val="0"/>
      <w:iCs w:val="0"/>
      <w:color w:val="000000"/>
      <w:sz w:val="18"/>
      <w:szCs w:val="18"/>
    </w:rPr>
  </w:style>
  <w:style w:type="character" w:customStyle="1" w:styleId="csf229d0ff2">
    <w:name w:val="csf229d0ff2"/>
    <w:rsid w:val="003D03F3"/>
    <w:rPr>
      <w:rFonts w:ascii="Arial" w:hAnsi="Arial" w:cs="Arial" w:hint="default"/>
      <w:b w:val="0"/>
      <w:bCs w:val="0"/>
      <w:i w:val="0"/>
      <w:iCs w:val="0"/>
      <w:color w:val="000000"/>
      <w:sz w:val="18"/>
      <w:szCs w:val="18"/>
    </w:rPr>
  </w:style>
  <w:style w:type="character" w:customStyle="1" w:styleId="csf229d0ff9">
    <w:name w:val="csf229d0ff9"/>
    <w:rsid w:val="003D03F3"/>
    <w:rPr>
      <w:rFonts w:ascii="Arial" w:hAnsi="Arial" w:cs="Arial" w:hint="default"/>
      <w:b w:val="0"/>
      <w:bCs w:val="0"/>
      <w:i w:val="0"/>
      <w:iCs w:val="0"/>
      <w:color w:val="000000"/>
      <w:sz w:val="18"/>
      <w:szCs w:val="18"/>
    </w:rPr>
  </w:style>
  <w:style w:type="character" w:customStyle="1" w:styleId="csab6e076950">
    <w:name w:val="csab6e076950"/>
    <w:rsid w:val="003D03F3"/>
    <w:rPr>
      <w:rFonts w:ascii="Arial" w:hAnsi="Arial" w:cs="Arial" w:hint="default"/>
      <w:b w:val="0"/>
      <w:bCs w:val="0"/>
      <w:i w:val="0"/>
      <w:iCs w:val="0"/>
      <w:color w:val="000000"/>
      <w:sz w:val="18"/>
      <w:szCs w:val="18"/>
    </w:rPr>
  </w:style>
  <w:style w:type="character" w:customStyle="1" w:styleId="csab6e0769107">
    <w:name w:val="csab6e0769107"/>
    <w:rsid w:val="003D03F3"/>
    <w:rPr>
      <w:rFonts w:ascii="Arial" w:hAnsi="Arial" w:cs="Arial" w:hint="default"/>
      <w:b w:val="0"/>
      <w:bCs w:val="0"/>
      <w:i w:val="0"/>
      <w:iCs w:val="0"/>
      <w:color w:val="000000"/>
      <w:sz w:val="18"/>
      <w:szCs w:val="18"/>
    </w:rPr>
  </w:style>
  <w:style w:type="character" w:customStyle="1" w:styleId="csab6e076910">
    <w:name w:val="csab6e076910"/>
    <w:rsid w:val="003D03F3"/>
    <w:rPr>
      <w:rFonts w:ascii="Arial" w:hAnsi="Arial" w:cs="Arial" w:hint="default"/>
      <w:b w:val="0"/>
      <w:bCs w:val="0"/>
      <w:i w:val="0"/>
      <w:iCs w:val="0"/>
      <w:color w:val="000000"/>
      <w:sz w:val="18"/>
      <w:szCs w:val="18"/>
    </w:rPr>
  </w:style>
  <w:style w:type="character" w:customStyle="1" w:styleId="csab6e076929">
    <w:name w:val="csab6e076929"/>
    <w:rsid w:val="003D03F3"/>
    <w:rPr>
      <w:rFonts w:ascii="Arial" w:hAnsi="Arial" w:cs="Arial" w:hint="default"/>
      <w:b w:val="0"/>
      <w:bCs w:val="0"/>
      <w:i w:val="0"/>
      <w:iCs w:val="0"/>
      <w:color w:val="000000"/>
      <w:sz w:val="18"/>
      <w:szCs w:val="18"/>
    </w:rPr>
  </w:style>
  <w:style w:type="character" w:customStyle="1" w:styleId="csf229d0ff17">
    <w:name w:val="csf229d0ff17"/>
    <w:rsid w:val="003D03F3"/>
    <w:rPr>
      <w:rFonts w:ascii="Arial" w:hAnsi="Arial" w:cs="Arial" w:hint="default"/>
      <w:b w:val="0"/>
      <w:bCs w:val="0"/>
      <w:i w:val="0"/>
      <w:iCs w:val="0"/>
      <w:color w:val="000000"/>
      <w:sz w:val="18"/>
      <w:szCs w:val="18"/>
    </w:rPr>
  </w:style>
  <w:style w:type="character" w:customStyle="1" w:styleId="csab6e076981">
    <w:name w:val="csab6e076981"/>
    <w:rsid w:val="003D03F3"/>
    <w:rPr>
      <w:rFonts w:ascii="Arial" w:hAnsi="Arial" w:cs="Arial" w:hint="default"/>
      <w:b w:val="0"/>
      <w:bCs w:val="0"/>
      <w:i w:val="0"/>
      <w:iCs w:val="0"/>
      <w:color w:val="000000"/>
      <w:sz w:val="18"/>
      <w:szCs w:val="18"/>
    </w:rPr>
  </w:style>
  <w:style w:type="character" w:customStyle="1" w:styleId="csab6e076982">
    <w:name w:val="csab6e076982"/>
    <w:rsid w:val="003D03F3"/>
    <w:rPr>
      <w:rFonts w:ascii="Arial" w:hAnsi="Arial" w:cs="Arial" w:hint="default"/>
      <w:b w:val="0"/>
      <w:bCs w:val="0"/>
      <w:i w:val="0"/>
      <w:iCs w:val="0"/>
      <w:color w:val="000000"/>
      <w:sz w:val="18"/>
      <w:szCs w:val="18"/>
    </w:rPr>
  </w:style>
  <w:style w:type="character" w:customStyle="1" w:styleId="csf229d0ff11">
    <w:name w:val="csf229d0ff11"/>
    <w:rsid w:val="003D03F3"/>
    <w:rPr>
      <w:rFonts w:ascii="Arial" w:hAnsi="Arial" w:cs="Arial" w:hint="default"/>
      <w:b w:val="0"/>
      <w:bCs w:val="0"/>
      <w:i w:val="0"/>
      <w:iCs w:val="0"/>
      <w:color w:val="000000"/>
      <w:sz w:val="18"/>
      <w:szCs w:val="18"/>
    </w:rPr>
  </w:style>
  <w:style w:type="character" w:customStyle="1" w:styleId="csf229d0ff32">
    <w:name w:val="csf229d0ff32"/>
    <w:rsid w:val="003D03F3"/>
    <w:rPr>
      <w:rFonts w:ascii="Arial" w:hAnsi="Arial" w:cs="Arial" w:hint="default"/>
      <w:b w:val="0"/>
      <w:bCs w:val="0"/>
      <w:i w:val="0"/>
      <w:iCs w:val="0"/>
      <w:color w:val="000000"/>
      <w:sz w:val="18"/>
      <w:szCs w:val="18"/>
    </w:rPr>
  </w:style>
  <w:style w:type="character" w:customStyle="1" w:styleId="csafaf574182">
    <w:name w:val="csafaf574182"/>
    <w:rsid w:val="003D03F3"/>
    <w:rPr>
      <w:rFonts w:ascii="Arial" w:hAnsi="Arial" w:cs="Arial" w:hint="default"/>
      <w:b/>
      <w:bCs/>
      <w:i w:val="0"/>
      <w:iCs w:val="0"/>
      <w:color w:val="000000"/>
      <w:sz w:val="18"/>
      <w:szCs w:val="18"/>
    </w:rPr>
  </w:style>
  <w:style w:type="character" w:customStyle="1" w:styleId="csab6e076980">
    <w:name w:val="csab6e076980"/>
    <w:rsid w:val="003D03F3"/>
    <w:rPr>
      <w:rFonts w:ascii="Arial" w:hAnsi="Arial" w:cs="Arial" w:hint="default"/>
      <w:b w:val="0"/>
      <w:bCs w:val="0"/>
      <w:i w:val="0"/>
      <w:iCs w:val="0"/>
      <w:color w:val="000000"/>
      <w:sz w:val="18"/>
      <w:szCs w:val="18"/>
    </w:rPr>
  </w:style>
  <w:style w:type="character" w:customStyle="1" w:styleId="csf229d0ff53">
    <w:name w:val="csf229d0ff53"/>
    <w:rsid w:val="003D03F3"/>
    <w:rPr>
      <w:rFonts w:ascii="Arial" w:hAnsi="Arial" w:cs="Arial" w:hint="default"/>
      <w:b w:val="0"/>
      <w:bCs w:val="0"/>
      <w:i w:val="0"/>
      <w:iCs w:val="0"/>
      <w:color w:val="000000"/>
      <w:sz w:val="18"/>
      <w:szCs w:val="18"/>
    </w:rPr>
  </w:style>
  <w:style w:type="character" w:customStyle="1" w:styleId="csb3e8c9cf8">
    <w:name w:val="csb3e8c9cf8"/>
    <w:rsid w:val="003D03F3"/>
    <w:rPr>
      <w:rFonts w:ascii="Arial" w:hAnsi="Arial" w:cs="Arial" w:hint="default"/>
      <w:b/>
      <w:bCs/>
      <w:i w:val="0"/>
      <w:iCs w:val="0"/>
      <w:color w:val="000000"/>
      <w:sz w:val="18"/>
      <w:szCs w:val="18"/>
    </w:rPr>
  </w:style>
  <w:style w:type="character" w:customStyle="1" w:styleId="csab6e076961">
    <w:name w:val="csab6e076961"/>
    <w:rsid w:val="003D03F3"/>
    <w:rPr>
      <w:rFonts w:ascii="Arial" w:hAnsi="Arial" w:cs="Arial" w:hint="default"/>
      <w:b w:val="0"/>
      <w:bCs w:val="0"/>
      <w:i w:val="0"/>
      <w:iCs w:val="0"/>
      <w:color w:val="000000"/>
      <w:sz w:val="18"/>
      <w:szCs w:val="18"/>
    </w:rPr>
  </w:style>
  <w:style w:type="character" w:customStyle="1" w:styleId="csf229d0ff27">
    <w:name w:val="csf229d0ff27"/>
    <w:rsid w:val="003D03F3"/>
    <w:rPr>
      <w:rFonts w:ascii="Arial" w:hAnsi="Arial" w:cs="Arial" w:hint="default"/>
      <w:b w:val="0"/>
      <w:bCs w:val="0"/>
      <w:i w:val="0"/>
      <w:iCs w:val="0"/>
      <w:color w:val="000000"/>
      <w:sz w:val="18"/>
      <w:szCs w:val="18"/>
    </w:rPr>
  </w:style>
  <w:style w:type="character" w:customStyle="1" w:styleId="csf229d0ff3">
    <w:name w:val="csf229d0ff3"/>
    <w:rsid w:val="003D03F3"/>
    <w:rPr>
      <w:rFonts w:ascii="Arial" w:hAnsi="Arial" w:cs="Arial" w:hint="default"/>
      <w:b w:val="0"/>
      <w:bCs w:val="0"/>
      <w:i w:val="0"/>
      <w:iCs w:val="0"/>
      <w:color w:val="000000"/>
      <w:sz w:val="18"/>
      <w:szCs w:val="18"/>
    </w:rPr>
  </w:style>
  <w:style w:type="character" w:customStyle="1" w:styleId="csab6e0769122">
    <w:name w:val="csab6e0769122"/>
    <w:rsid w:val="003D03F3"/>
    <w:rPr>
      <w:rFonts w:ascii="Arial" w:hAnsi="Arial" w:cs="Arial" w:hint="default"/>
      <w:b w:val="0"/>
      <w:bCs w:val="0"/>
      <w:i w:val="0"/>
      <w:iCs w:val="0"/>
      <w:color w:val="000000"/>
      <w:sz w:val="18"/>
      <w:szCs w:val="18"/>
    </w:rPr>
  </w:style>
  <w:style w:type="character" w:customStyle="1" w:styleId="csab6e076957">
    <w:name w:val="csab6e076957"/>
    <w:rsid w:val="003D03F3"/>
    <w:rPr>
      <w:rFonts w:ascii="Arial" w:hAnsi="Arial" w:cs="Arial" w:hint="default"/>
      <w:b w:val="0"/>
      <w:bCs w:val="0"/>
      <w:i w:val="0"/>
      <w:iCs w:val="0"/>
      <w:color w:val="000000"/>
      <w:sz w:val="18"/>
      <w:szCs w:val="18"/>
    </w:rPr>
  </w:style>
  <w:style w:type="character" w:customStyle="1" w:styleId="csab6e076941">
    <w:name w:val="csab6e076941"/>
    <w:rsid w:val="003D03F3"/>
    <w:rPr>
      <w:rFonts w:ascii="Arial" w:hAnsi="Arial" w:cs="Arial" w:hint="default"/>
      <w:b w:val="0"/>
      <w:bCs w:val="0"/>
      <w:i w:val="0"/>
      <w:iCs w:val="0"/>
      <w:color w:val="000000"/>
      <w:sz w:val="18"/>
      <w:szCs w:val="18"/>
    </w:rPr>
  </w:style>
  <w:style w:type="character" w:customStyle="1" w:styleId="csab6e076991">
    <w:name w:val="csab6e076991"/>
    <w:rsid w:val="003D03F3"/>
    <w:rPr>
      <w:rFonts w:ascii="Arial" w:hAnsi="Arial" w:cs="Arial" w:hint="default"/>
      <w:b w:val="0"/>
      <w:bCs w:val="0"/>
      <w:i w:val="0"/>
      <w:iCs w:val="0"/>
      <w:color w:val="000000"/>
      <w:sz w:val="18"/>
      <w:szCs w:val="18"/>
    </w:rPr>
  </w:style>
  <w:style w:type="character" w:customStyle="1" w:styleId="csab6e0769156">
    <w:name w:val="csab6e0769156"/>
    <w:rsid w:val="003D03F3"/>
    <w:rPr>
      <w:rFonts w:ascii="Arial" w:hAnsi="Arial" w:cs="Arial" w:hint="default"/>
      <w:b w:val="0"/>
      <w:bCs w:val="0"/>
      <w:i w:val="0"/>
      <w:iCs w:val="0"/>
      <w:color w:val="000000"/>
      <w:sz w:val="18"/>
      <w:szCs w:val="18"/>
    </w:rPr>
  </w:style>
  <w:style w:type="character" w:customStyle="1" w:styleId="csafaf5741248">
    <w:name w:val="csafaf5741248"/>
    <w:rsid w:val="003D03F3"/>
    <w:rPr>
      <w:rFonts w:ascii="Arial" w:hAnsi="Arial" w:cs="Arial" w:hint="default"/>
      <w:b/>
      <w:bCs/>
      <w:i w:val="0"/>
      <w:iCs w:val="0"/>
      <w:color w:val="000000"/>
      <w:sz w:val="18"/>
      <w:szCs w:val="18"/>
    </w:rPr>
  </w:style>
  <w:style w:type="character" w:customStyle="1" w:styleId="csab6e0769276">
    <w:name w:val="csab6e0769276"/>
    <w:rsid w:val="003D03F3"/>
    <w:rPr>
      <w:rFonts w:ascii="Arial" w:hAnsi="Arial" w:cs="Arial" w:hint="default"/>
      <w:b w:val="0"/>
      <w:bCs w:val="0"/>
      <w:i w:val="0"/>
      <w:iCs w:val="0"/>
      <w:color w:val="000000"/>
      <w:sz w:val="18"/>
      <w:szCs w:val="18"/>
    </w:rPr>
  </w:style>
  <w:style w:type="character" w:customStyle="1" w:styleId="csab6e0769219">
    <w:name w:val="csab6e0769219"/>
    <w:rsid w:val="003D03F3"/>
    <w:rPr>
      <w:rFonts w:ascii="Arial" w:hAnsi="Arial" w:cs="Arial" w:hint="default"/>
      <w:b w:val="0"/>
      <w:bCs w:val="0"/>
      <w:i w:val="0"/>
      <w:iCs w:val="0"/>
      <w:color w:val="000000"/>
      <w:sz w:val="18"/>
      <w:szCs w:val="18"/>
    </w:rPr>
  </w:style>
  <w:style w:type="character" w:customStyle="1" w:styleId="csafaf574111">
    <w:name w:val="csafaf574111"/>
    <w:rsid w:val="003D03F3"/>
    <w:rPr>
      <w:rFonts w:ascii="Arial" w:hAnsi="Arial" w:cs="Arial" w:hint="default"/>
      <w:b/>
      <w:bCs/>
      <w:i w:val="0"/>
      <w:iCs w:val="0"/>
      <w:color w:val="000000"/>
      <w:sz w:val="18"/>
      <w:szCs w:val="18"/>
    </w:rPr>
  </w:style>
  <w:style w:type="character" w:customStyle="1" w:styleId="csf229d0ff13">
    <w:name w:val="csf229d0ff13"/>
    <w:rsid w:val="003D03F3"/>
    <w:rPr>
      <w:rFonts w:ascii="Arial" w:hAnsi="Arial" w:cs="Arial" w:hint="default"/>
      <w:b w:val="0"/>
      <w:bCs w:val="0"/>
      <w:i w:val="0"/>
      <w:iCs w:val="0"/>
      <w:color w:val="000000"/>
      <w:sz w:val="18"/>
      <w:szCs w:val="18"/>
    </w:rPr>
  </w:style>
  <w:style w:type="character" w:customStyle="1" w:styleId="csab6e0769131">
    <w:name w:val="csab6e0769131"/>
    <w:rsid w:val="003D03F3"/>
    <w:rPr>
      <w:rFonts w:ascii="Arial" w:hAnsi="Arial" w:cs="Arial" w:hint="default"/>
      <w:b w:val="0"/>
      <w:bCs w:val="0"/>
      <w:i w:val="0"/>
      <w:iCs w:val="0"/>
      <w:color w:val="000000"/>
      <w:sz w:val="18"/>
      <w:szCs w:val="18"/>
    </w:rPr>
  </w:style>
  <w:style w:type="character" w:customStyle="1" w:styleId="csafaf574199">
    <w:name w:val="csafaf574199"/>
    <w:rsid w:val="003D03F3"/>
    <w:rPr>
      <w:rFonts w:ascii="Arial" w:hAnsi="Arial" w:cs="Arial" w:hint="default"/>
      <w:b/>
      <w:bCs/>
      <w:i w:val="0"/>
      <w:iCs w:val="0"/>
      <w:color w:val="000000"/>
      <w:sz w:val="18"/>
      <w:szCs w:val="18"/>
    </w:rPr>
  </w:style>
  <w:style w:type="character" w:customStyle="1" w:styleId="csafaf5741100">
    <w:name w:val="csafaf5741100"/>
    <w:rsid w:val="003D03F3"/>
    <w:rPr>
      <w:rFonts w:ascii="Arial" w:hAnsi="Arial" w:cs="Arial" w:hint="default"/>
      <w:b/>
      <w:bCs/>
      <w:i w:val="0"/>
      <w:iCs w:val="0"/>
      <w:color w:val="000000"/>
      <w:sz w:val="18"/>
      <w:szCs w:val="18"/>
    </w:rPr>
  </w:style>
  <w:style w:type="character" w:customStyle="1" w:styleId="csf229d0ff16">
    <w:name w:val="csf229d0ff16"/>
    <w:rsid w:val="003D03F3"/>
    <w:rPr>
      <w:rFonts w:ascii="Arial" w:hAnsi="Arial" w:cs="Arial" w:hint="default"/>
      <w:b w:val="0"/>
      <w:bCs w:val="0"/>
      <w:i w:val="0"/>
      <w:iCs w:val="0"/>
      <w:color w:val="000000"/>
      <w:sz w:val="18"/>
      <w:szCs w:val="18"/>
    </w:rPr>
  </w:style>
  <w:style w:type="character" w:customStyle="1" w:styleId="cs188c92b51">
    <w:name w:val="cs188c92b51"/>
    <w:rsid w:val="003D03F3"/>
    <w:rPr>
      <w:rFonts w:ascii="Times New Roman" w:hAnsi="Times New Roman" w:cs="Times New Roman" w:hint="default"/>
      <w:b w:val="0"/>
      <w:bCs w:val="0"/>
      <w:i w:val="0"/>
      <w:iCs w:val="0"/>
      <w:color w:val="000000"/>
      <w:sz w:val="26"/>
      <w:szCs w:val="26"/>
    </w:rPr>
  </w:style>
  <w:style w:type="character" w:customStyle="1" w:styleId="csab6e076931">
    <w:name w:val="csab6e076931"/>
    <w:rsid w:val="003D03F3"/>
    <w:rPr>
      <w:rFonts w:ascii="Arial" w:hAnsi="Arial" w:cs="Arial" w:hint="default"/>
      <w:b w:val="0"/>
      <w:bCs w:val="0"/>
      <w:i w:val="0"/>
      <w:iCs w:val="0"/>
      <w:color w:val="000000"/>
      <w:sz w:val="18"/>
      <w:szCs w:val="18"/>
    </w:rPr>
  </w:style>
  <w:style w:type="character" w:customStyle="1" w:styleId="csab6e076928">
    <w:name w:val="csab6e076928"/>
    <w:rsid w:val="003D03F3"/>
    <w:rPr>
      <w:rFonts w:ascii="Arial" w:hAnsi="Arial" w:cs="Arial" w:hint="default"/>
      <w:b w:val="0"/>
      <w:bCs w:val="0"/>
      <w:i w:val="0"/>
      <w:iCs w:val="0"/>
      <w:color w:val="000000"/>
      <w:sz w:val="18"/>
      <w:szCs w:val="18"/>
    </w:rPr>
  </w:style>
  <w:style w:type="character" w:customStyle="1" w:styleId="csf229d0ff15">
    <w:name w:val="csf229d0ff15"/>
    <w:rsid w:val="003D03F3"/>
    <w:rPr>
      <w:rFonts w:ascii="Arial" w:hAnsi="Arial" w:cs="Arial" w:hint="default"/>
      <w:b w:val="0"/>
      <w:bCs w:val="0"/>
      <w:i w:val="0"/>
      <w:iCs w:val="0"/>
      <w:color w:val="000000"/>
      <w:sz w:val="18"/>
      <w:szCs w:val="18"/>
    </w:rPr>
  </w:style>
  <w:style w:type="character" w:customStyle="1" w:styleId="csafaf574134">
    <w:name w:val="csafaf574134"/>
    <w:rsid w:val="003D03F3"/>
    <w:rPr>
      <w:rFonts w:ascii="Arial" w:hAnsi="Arial" w:cs="Arial" w:hint="default"/>
      <w:b/>
      <w:bCs/>
      <w:i w:val="0"/>
      <w:iCs w:val="0"/>
      <w:color w:val="000000"/>
      <w:sz w:val="18"/>
      <w:szCs w:val="18"/>
    </w:rPr>
  </w:style>
  <w:style w:type="character" w:customStyle="1" w:styleId="csf229d0ff25">
    <w:name w:val="csf229d0ff25"/>
    <w:rsid w:val="003D03F3"/>
    <w:rPr>
      <w:rFonts w:ascii="Arial" w:hAnsi="Arial" w:cs="Arial" w:hint="default"/>
      <w:b w:val="0"/>
      <w:bCs w:val="0"/>
      <w:i w:val="0"/>
      <w:iCs w:val="0"/>
      <w:color w:val="000000"/>
      <w:sz w:val="18"/>
      <w:szCs w:val="18"/>
    </w:rPr>
  </w:style>
  <w:style w:type="character" w:customStyle="1" w:styleId="cs95e872d01">
    <w:name w:val="cs95e872d01"/>
    <w:rsid w:val="003D03F3"/>
  </w:style>
  <w:style w:type="character" w:customStyle="1" w:styleId="csb3e8c9cf10">
    <w:name w:val="csb3e8c9cf10"/>
    <w:rsid w:val="003D03F3"/>
    <w:rPr>
      <w:rFonts w:ascii="Arial" w:hAnsi="Arial" w:cs="Arial" w:hint="default"/>
      <w:b/>
      <w:bCs/>
      <w:i w:val="0"/>
      <w:iCs w:val="0"/>
      <w:color w:val="000000"/>
      <w:sz w:val="18"/>
      <w:szCs w:val="18"/>
    </w:rPr>
  </w:style>
  <w:style w:type="character" w:customStyle="1" w:styleId="csafaf574127">
    <w:name w:val="csafaf574127"/>
    <w:rsid w:val="003D03F3"/>
    <w:rPr>
      <w:rFonts w:ascii="Arial" w:hAnsi="Arial" w:cs="Arial" w:hint="default"/>
      <w:b/>
      <w:bCs/>
      <w:i w:val="0"/>
      <w:iCs w:val="0"/>
      <w:color w:val="000000"/>
      <w:sz w:val="18"/>
      <w:szCs w:val="18"/>
    </w:rPr>
  </w:style>
  <w:style w:type="character" w:customStyle="1" w:styleId="csf229d0ff10">
    <w:name w:val="csf229d0ff10"/>
    <w:rsid w:val="003D03F3"/>
    <w:rPr>
      <w:rFonts w:ascii="Arial" w:hAnsi="Arial" w:cs="Arial" w:hint="default"/>
      <w:b w:val="0"/>
      <w:bCs w:val="0"/>
      <w:i w:val="0"/>
      <w:iCs w:val="0"/>
      <w:color w:val="000000"/>
      <w:sz w:val="18"/>
      <w:szCs w:val="18"/>
    </w:rPr>
  </w:style>
  <w:style w:type="character" w:customStyle="1" w:styleId="csab6e0769103">
    <w:name w:val="csab6e0769103"/>
    <w:rsid w:val="003D03F3"/>
    <w:rPr>
      <w:rFonts w:ascii="Arial" w:hAnsi="Arial" w:cs="Arial" w:hint="default"/>
      <w:b w:val="0"/>
      <w:bCs w:val="0"/>
      <w:i w:val="0"/>
      <w:iCs w:val="0"/>
      <w:color w:val="000000"/>
      <w:sz w:val="18"/>
      <w:szCs w:val="18"/>
    </w:rPr>
  </w:style>
  <w:style w:type="character" w:customStyle="1" w:styleId="csab6e0769104">
    <w:name w:val="csab6e0769104"/>
    <w:rsid w:val="003D03F3"/>
    <w:rPr>
      <w:rFonts w:ascii="Arial" w:hAnsi="Arial" w:cs="Arial" w:hint="default"/>
      <w:b w:val="0"/>
      <w:bCs w:val="0"/>
      <w:i w:val="0"/>
      <w:iCs w:val="0"/>
      <w:color w:val="000000"/>
      <w:sz w:val="18"/>
      <w:szCs w:val="18"/>
    </w:rPr>
  </w:style>
  <w:style w:type="character" w:customStyle="1" w:styleId="csafaf5741105">
    <w:name w:val="csafaf5741105"/>
    <w:rsid w:val="003D03F3"/>
    <w:rPr>
      <w:rFonts w:ascii="Arial" w:hAnsi="Arial" w:cs="Arial" w:hint="default"/>
      <w:b/>
      <w:bCs/>
      <w:i w:val="0"/>
      <w:iCs w:val="0"/>
      <w:color w:val="000000"/>
      <w:sz w:val="18"/>
      <w:szCs w:val="18"/>
    </w:rPr>
  </w:style>
  <w:style w:type="character" w:customStyle="1" w:styleId="csafaf5741106">
    <w:name w:val="csafaf5741106"/>
    <w:rsid w:val="003D03F3"/>
    <w:rPr>
      <w:rFonts w:ascii="Arial" w:hAnsi="Arial" w:cs="Arial" w:hint="default"/>
      <w:b/>
      <w:bCs/>
      <w:i w:val="0"/>
      <w:iCs w:val="0"/>
      <w:color w:val="000000"/>
      <w:sz w:val="18"/>
      <w:szCs w:val="18"/>
    </w:rPr>
  </w:style>
  <w:style w:type="character" w:customStyle="1" w:styleId="csafaf5741216">
    <w:name w:val="csafaf5741216"/>
    <w:rsid w:val="003D03F3"/>
    <w:rPr>
      <w:rFonts w:ascii="Arial" w:hAnsi="Arial" w:cs="Arial" w:hint="default"/>
      <w:b/>
      <w:bCs/>
      <w:i w:val="0"/>
      <w:iCs w:val="0"/>
      <w:color w:val="000000"/>
      <w:sz w:val="18"/>
      <w:szCs w:val="18"/>
    </w:rPr>
  </w:style>
  <w:style w:type="character" w:customStyle="1" w:styleId="csf229d0ff19">
    <w:name w:val="csf229d0ff19"/>
    <w:rsid w:val="003D03F3"/>
    <w:rPr>
      <w:rFonts w:ascii="Arial" w:hAnsi="Arial" w:cs="Arial" w:hint="default"/>
      <w:b w:val="0"/>
      <w:bCs w:val="0"/>
      <w:i w:val="0"/>
      <w:iCs w:val="0"/>
      <w:color w:val="000000"/>
      <w:sz w:val="18"/>
      <w:szCs w:val="18"/>
    </w:rPr>
  </w:style>
  <w:style w:type="character" w:customStyle="1" w:styleId="csf229d0ff24">
    <w:name w:val="csf229d0ff24"/>
    <w:rsid w:val="003D03F3"/>
    <w:rPr>
      <w:rFonts w:ascii="Arial" w:hAnsi="Arial" w:cs="Arial" w:hint="default"/>
      <w:b w:val="0"/>
      <w:bCs w:val="0"/>
      <w:i w:val="0"/>
      <w:iCs w:val="0"/>
      <w:color w:val="000000"/>
      <w:sz w:val="18"/>
      <w:szCs w:val="18"/>
    </w:rPr>
  </w:style>
  <w:style w:type="character" w:customStyle="1" w:styleId="csf229d0ff14">
    <w:name w:val="csf229d0ff14"/>
    <w:rsid w:val="003D03F3"/>
    <w:rPr>
      <w:rFonts w:ascii="Arial" w:hAnsi="Arial" w:cs="Arial" w:hint="default"/>
      <w:b w:val="0"/>
      <w:bCs w:val="0"/>
      <w:i w:val="0"/>
      <w:iCs w:val="0"/>
      <w:color w:val="000000"/>
      <w:sz w:val="18"/>
      <w:szCs w:val="18"/>
    </w:rPr>
  </w:style>
  <w:style w:type="character" w:customStyle="1" w:styleId="csab6e0769225">
    <w:name w:val="csab6e0769225"/>
    <w:rsid w:val="003D03F3"/>
    <w:rPr>
      <w:rFonts w:ascii="Arial" w:hAnsi="Arial" w:cs="Arial" w:hint="default"/>
      <w:b w:val="0"/>
      <w:bCs w:val="0"/>
      <w:i w:val="0"/>
      <w:iCs w:val="0"/>
      <w:color w:val="000000"/>
      <w:sz w:val="18"/>
      <w:szCs w:val="18"/>
    </w:rPr>
  </w:style>
  <w:style w:type="character" w:customStyle="1" w:styleId="csb3e8c9cf3">
    <w:name w:val="csb3e8c9cf3"/>
    <w:rsid w:val="003D03F3"/>
    <w:rPr>
      <w:rFonts w:ascii="Arial" w:hAnsi="Arial" w:cs="Arial" w:hint="default"/>
      <w:b/>
      <w:bCs/>
      <w:i w:val="0"/>
      <w:iCs w:val="0"/>
      <w:color w:val="000000"/>
      <w:sz w:val="18"/>
      <w:szCs w:val="18"/>
    </w:rPr>
  </w:style>
  <w:style w:type="character" w:customStyle="1" w:styleId="csb86c8cfe1">
    <w:name w:val="csb86c8cfe1"/>
    <w:rsid w:val="003D03F3"/>
    <w:rPr>
      <w:rFonts w:ascii="Times New Roman" w:hAnsi="Times New Roman" w:cs="Times New Roman" w:hint="default"/>
      <w:b/>
      <w:bCs/>
      <w:i w:val="0"/>
      <w:iCs w:val="0"/>
      <w:color w:val="000000"/>
      <w:sz w:val="24"/>
      <w:szCs w:val="24"/>
    </w:rPr>
  </w:style>
  <w:style w:type="character" w:customStyle="1" w:styleId="csf229d0ff21">
    <w:name w:val="csf229d0ff21"/>
    <w:rsid w:val="003D03F3"/>
    <w:rPr>
      <w:rFonts w:ascii="Arial" w:hAnsi="Arial" w:cs="Arial" w:hint="default"/>
      <w:b w:val="0"/>
      <w:bCs w:val="0"/>
      <w:i w:val="0"/>
      <w:iCs w:val="0"/>
      <w:color w:val="000000"/>
      <w:sz w:val="18"/>
      <w:szCs w:val="18"/>
    </w:rPr>
  </w:style>
  <w:style w:type="character" w:customStyle="1" w:styleId="csf229d0ff26">
    <w:name w:val="csf229d0ff26"/>
    <w:rsid w:val="003D03F3"/>
    <w:rPr>
      <w:rFonts w:ascii="Arial" w:hAnsi="Arial" w:cs="Arial" w:hint="default"/>
      <w:b w:val="0"/>
      <w:bCs w:val="0"/>
      <w:i w:val="0"/>
      <w:iCs w:val="0"/>
      <w:color w:val="000000"/>
      <w:sz w:val="18"/>
      <w:szCs w:val="18"/>
    </w:rPr>
  </w:style>
  <w:style w:type="character" w:customStyle="1" w:styleId="cs8c2cf3831">
    <w:name w:val="cs8c2cf3831"/>
    <w:rsid w:val="003D03F3"/>
    <w:rPr>
      <w:rFonts w:ascii="Arial" w:hAnsi="Arial" w:cs="Arial" w:hint="default"/>
      <w:b/>
      <w:bCs/>
      <w:i/>
      <w:iCs/>
      <w:color w:val="102B56"/>
      <w:sz w:val="18"/>
      <w:szCs w:val="18"/>
    </w:rPr>
  </w:style>
  <w:style w:type="character" w:customStyle="1" w:styleId="csd71f5e5a1">
    <w:name w:val="csd71f5e5a1"/>
    <w:rsid w:val="003D03F3"/>
    <w:rPr>
      <w:rFonts w:ascii="Arial" w:hAnsi="Arial" w:cs="Arial" w:hint="default"/>
      <w:b w:val="0"/>
      <w:bCs w:val="0"/>
      <w:i/>
      <w:iCs/>
      <w:color w:val="102B56"/>
      <w:sz w:val="18"/>
      <w:szCs w:val="18"/>
    </w:rPr>
  </w:style>
  <w:style w:type="character" w:customStyle="1" w:styleId="cs8f6c24af1">
    <w:name w:val="cs8f6c24af1"/>
    <w:rsid w:val="003D03F3"/>
    <w:rPr>
      <w:rFonts w:ascii="Arial" w:hAnsi="Arial" w:cs="Arial" w:hint="default"/>
      <w:b/>
      <w:bCs/>
      <w:i w:val="0"/>
      <w:iCs w:val="0"/>
      <w:color w:val="102B56"/>
      <w:sz w:val="18"/>
      <w:szCs w:val="18"/>
    </w:rPr>
  </w:style>
  <w:style w:type="character" w:customStyle="1" w:styleId="csa5a0f5421">
    <w:name w:val="csa5a0f5421"/>
    <w:rsid w:val="003D03F3"/>
    <w:rPr>
      <w:rFonts w:ascii="Arial" w:hAnsi="Arial" w:cs="Arial" w:hint="default"/>
      <w:b w:val="0"/>
      <w:bCs w:val="0"/>
      <w:i w:val="0"/>
      <w:iCs w:val="0"/>
      <w:color w:val="102B56"/>
      <w:sz w:val="18"/>
      <w:szCs w:val="18"/>
    </w:rPr>
  </w:style>
  <w:style w:type="character" w:customStyle="1" w:styleId="cs3f9137501">
    <w:name w:val="cs3f9137501"/>
    <w:rsid w:val="003D03F3"/>
    <w:rPr>
      <w:rFonts w:ascii="Arial" w:hAnsi="Arial" w:cs="Arial" w:hint="default"/>
      <w:b w:val="0"/>
      <w:bCs w:val="0"/>
      <w:i/>
      <w:iCs/>
      <w:color w:val="102B56"/>
      <w:sz w:val="18"/>
      <w:szCs w:val="18"/>
      <w:u w:val="single"/>
    </w:rPr>
  </w:style>
  <w:style w:type="character" w:customStyle="1" w:styleId="csa939b0971">
    <w:name w:val="csa939b0971"/>
    <w:rsid w:val="003D03F3"/>
    <w:rPr>
      <w:rFonts w:ascii="Times New Roman" w:hAnsi="Times New Roman" w:cs="Times New Roman" w:hint="default"/>
      <w:b/>
      <w:bCs/>
      <w:i/>
      <w:iCs/>
      <w:color w:val="000000"/>
      <w:sz w:val="20"/>
      <w:szCs w:val="20"/>
    </w:rPr>
  </w:style>
  <w:style w:type="character" w:customStyle="1" w:styleId="csb3e8c9cf69">
    <w:name w:val="csb3e8c9cf69"/>
    <w:rsid w:val="003D03F3"/>
    <w:rPr>
      <w:rFonts w:ascii="Arial" w:hAnsi="Arial" w:cs="Arial" w:hint="default"/>
      <w:b/>
      <w:bCs/>
      <w:i w:val="0"/>
      <w:iCs w:val="0"/>
      <w:color w:val="000000"/>
      <w:sz w:val="18"/>
      <w:szCs w:val="18"/>
    </w:rPr>
  </w:style>
  <w:style w:type="character" w:customStyle="1" w:styleId="csf229d0ff64">
    <w:name w:val="csf229d0ff64"/>
    <w:rsid w:val="003D03F3"/>
    <w:rPr>
      <w:rFonts w:ascii="Arial" w:hAnsi="Arial" w:cs="Arial" w:hint="default"/>
      <w:b w:val="0"/>
      <w:bCs w:val="0"/>
      <w:i w:val="0"/>
      <w:iCs w:val="0"/>
      <w:color w:val="000000"/>
      <w:sz w:val="18"/>
      <w:szCs w:val="18"/>
    </w:rPr>
  </w:style>
  <w:style w:type="character" w:customStyle="1" w:styleId="csd398459525">
    <w:name w:val="csd398459525"/>
    <w:rsid w:val="003D03F3"/>
    <w:rPr>
      <w:rFonts w:ascii="Arial" w:hAnsi="Arial" w:cs="Arial" w:hint="default"/>
      <w:b/>
      <w:bCs/>
      <w:i/>
      <w:iCs/>
      <w:color w:val="000000"/>
      <w:sz w:val="18"/>
      <w:szCs w:val="18"/>
      <w:u w:val="single"/>
    </w:rPr>
  </w:style>
  <w:style w:type="character" w:customStyle="1" w:styleId="csd3c90d4325">
    <w:name w:val="csd3c90d4325"/>
    <w:rsid w:val="003D03F3"/>
    <w:rPr>
      <w:rFonts w:ascii="Arial" w:hAnsi="Arial" w:cs="Arial" w:hint="default"/>
      <w:b w:val="0"/>
      <w:bCs w:val="0"/>
      <w:i/>
      <w:iCs/>
      <w:color w:val="000000"/>
      <w:sz w:val="18"/>
      <w:szCs w:val="18"/>
    </w:rPr>
  </w:style>
  <w:style w:type="character" w:customStyle="1" w:styleId="csb86c8cfe3">
    <w:name w:val="csb86c8cfe3"/>
    <w:rsid w:val="003D03F3"/>
    <w:rPr>
      <w:rFonts w:ascii="Times New Roman" w:hAnsi="Times New Roman" w:cs="Times New Roman" w:hint="default"/>
      <w:b/>
      <w:bCs/>
      <w:i w:val="0"/>
      <w:iCs w:val="0"/>
      <w:color w:val="000000"/>
      <w:sz w:val="24"/>
      <w:szCs w:val="24"/>
    </w:rPr>
  </w:style>
  <w:style w:type="character" w:customStyle="1" w:styleId="csab6e076977">
    <w:name w:val="csab6e076977"/>
    <w:rsid w:val="003D03F3"/>
    <w:rPr>
      <w:rFonts w:ascii="Arial" w:hAnsi="Arial" w:cs="Arial" w:hint="default"/>
      <w:b w:val="0"/>
      <w:bCs w:val="0"/>
      <w:i w:val="0"/>
      <w:iCs w:val="0"/>
      <w:color w:val="000000"/>
      <w:sz w:val="18"/>
      <w:szCs w:val="18"/>
    </w:rPr>
  </w:style>
  <w:style w:type="character" w:customStyle="1" w:styleId="cs9f0a40401">
    <w:name w:val="cs9f0a40401"/>
    <w:rsid w:val="003D03F3"/>
    <w:rPr>
      <w:rFonts w:ascii="Arial" w:hAnsi="Arial" w:cs="Arial" w:hint="default"/>
      <w:b w:val="0"/>
      <w:bCs w:val="0"/>
      <w:i w:val="0"/>
      <w:iCs w:val="0"/>
      <w:color w:val="000000"/>
      <w:sz w:val="20"/>
      <w:szCs w:val="20"/>
    </w:rPr>
  </w:style>
  <w:style w:type="character" w:customStyle="1" w:styleId="csb3e8c9cf23">
    <w:name w:val="csb3e8c9cf23"/>
    <w:rsid w:val="003D03F3"/>
    <w:rPr>
      <w:rFonts w:ascii="Arial" w:hAnsi="Arial" w:cs="Arial" w:hint="default"/>
      <w:b/>
      <w:bCs/>
      <w:i w:val="0"/>
      <w:iCs w:val="0"/>
      <w:color w:val="000000"/>
      <w:sz w:val="18"/>
      <w:szCs w:val="18"/>
    </w:rPr>
  </w:style>
  <w:style w:type="character" w:customStyle="1" w:styleId="cs607602ac2">
    <w:name w:val="cs607602ac2"/>
    <w:rsid w:val="003D03F3"/>
    <w:rPr>
      <w:rFonts w:ascii="Arial" w:hAnsi="Arial" w:cs="Arial" w:hint="default"/>
      <w:b/>
      <w:bCs/>
      <w:i w:val="0"/>
      <w:iCs w:val="0"/>
      <w:color w:val="000000"/>
      <w:sz w:val="18"/>
      <w:szCs w:val="18"/>
      <w:u w:val="single"/>
    </w:rPr>
  </w:style>
  <w:style w:type="character" w:customStyle="1" w:styleId="csab6e0769291">
    <w:name w:val="csab6e0769291"/>
    <w:rsid w:val="003D03F3"/>
    <w:rPr>
      <w:rFonts w:ascii="Arial" w:hAnsi="Arial" w:cs="Arial" w:hint="default"/>
      <w:b w:val="0"/>
      <w:bCs w:val="0"/>
      <w:i w:val="0"/>
      <w:iCs w:val="0"/>
      <w:color w:val="000000"/>
      <w:sz w:val="18"/>
      <w:szCs w:val="18"/>
    </w:rPr>
  </w:style>
  <w:style w:type="character" w:customStyle="1" w:styleId="csafaf5741219">
    <w:name w:val="csafaf5741219"/>
    <w:rsid w:val="003D03F3"/>
    <w:rPr>
      <w:rFonts w:ascii="Arial" w:hAnsi="Arial" w:cs="Arial" w:hint="default"/>
      <w:b/>
      <w:bCs/>
      <w:i w:val="0"/>
      <w:iCs w:val="0"/>
      <w:color w:val="000000"/>
      <w:sz w:val="18"/>
      <w:szCs w:val="18"/>
    </w:rPr>
  </w:style>
  <w:style w:type="character" w:customStyle="1" w:styleId="csf562b92915">
    <w:name w:val="csf562b92915"/>
    <w:rsid w:val="003D03F3"/>
    <w:rPr>
      <w:rFonts w:ascii="Arial" w:hAnsi="Arial" w:cs="Arial" w:hint="default"/>
      <w:b/>
      <w:bCs/>
      <w:i/>
      <w:iCs/>
      <w:color w:val="000000"/>
      <w:sz w:val="18"/>
      <w:szCs w:val="18"/>
    </w:rPr>
  </w:style>
  <w:style w:type="character" w:customStyle="1" w:styleId="cseed234731">
    <w:name w:val="cseed234731"/>
    <w:rsid w:val="003D03F3"/>
    <w:rPr>
      <w:rFonts w:ascii="Arial" w:hAnsi="Arial" w:cs="Arial" w:hint="default"/>
      <w:b/>
      <w:bCs/>
      <w:i/>
      <w:iCs/>
      <w:color w:val="000000"/>
      <w:sz w:val="12"/>
      <w:szCs w:val="12"/>
    </w:rPr>
  </w:style>
  <w:style w:type="character" w:customStyle="1" w:styleId="csb3e8c9cf35">
    <w:name w:val="csb3e8c9cf35"/>
    <w:rsid w:val="003D03F3"/>
    <w:rPr>
      <w:rFonts w:ascii="Arial" w:hAnsi="Arial" w:cs="Arial" w:hint="default"/>
      <w:b/>
      <w:bCs/>
      <w:i w:val="0"/>
      <w:iCs w:val="0"/>
      <w:color w:val="000000"/>
      <w:sz w:val="18"/>
      <w:szCs w:val="18"/>
    </w:rPr>
  </w:style>
  <w:style w:type="character" w:customStyle="1" w:styleId="csb3e8c9cf28">
    <w:name w:val="csb3e8c9cf28"/>
    <w:rsid w:val="003D03F3"/>
    <w:rPr>
      <w:rFonts w:ascii="Arial" w:hAnsi="Arial" w:cs="Arial" w:hint="default"/>
      <w:b/>
      <w:bCs/>
      <w:i w:val="0"/>
      <w:iCs w:val="0"/>
      <w:color w:val="000000"/>
      <w:sz w:val="18"/>
      <w:szCs w:val="18"/>
    </w:rPr>
  </w:style>
  <w:style w:type="character" w:customStyle="1" w:styleId="csf562b9296">
    <w:name w:val="csf562b9296"/>
    <w:rsid w:val="003D03F3"/>
    <w:rPr>
      <w:rFonts w:ascii="Arial" w:hAnsi="Arial" w:cs="Arial" w:hint="default"/>
      <w:b/>
      <w:bCs/>
      <w:i/>
      <w:iCs/>
      <w:color w:val="000000"/>
      <w:sz w:val="18"/>
      <w:szCs w:val="18"/>
    </w:rPr>
  </w:style>
  <w:style w:type="character" w:customStyle="1" w:styleId="csab6e076930">
    <w:name w:val="csab6e076930"/>
    <w:rsid w:val="003D03F3"/>
    <w:rPr>
      <w:rFonts w:ascii="Arial" w:hAnsi="Arial" w:cs="Arial" w:hint="default"/>
      <w:b w:val="0"/>
      <w:bCs w:val="0"/>
      <w:i w:val="0"/>
      <w:iCs w:val="0"/>
      <w:color w:val="000000"/>
      <w:sz w:val="18"/>
      <w:szCs w:val="18"/>
    </w:rPr>
  </w:style>
  <w:style w:type="character" w:customStyle="1" w:styleId="csab6e076965">
    <w:name w:val="csab6e076965"/>
    <w:rsid w:val="003D03F3"/>
    <w:rPr>
      <w:rFonts w:ascii="Arial" w:hAnsi="Arial" w:cs="Arial" w:hint="default"/>
      <w:b w:val="0"/>
      <w:bCs w:val="0"/>
      <w:i w:val="0"/>
      <w:iCs w:val="0"/>
      <w:color w:val="000000"/>
      <w:sz w:val="18"/>
      <w:szCs w:val="18"/>
    </w:rPr>
  </w:style>
  <w:style w:type="character" w:customStyle="1" w:styleId="csf229d0ff33">
    <w:name w:val="csf229d0ff33"/>
    <w:rsid w:val="003D03F3"/>
    <w:rPr>
      <w:rFonts w:ascii="Arial" w:hAnsi="Arial" w:cs="Arial" w:hint="default"/>
      <w:b w:val="0"/>
      <w:bCs w:val="0"/>
      <w:i w:val="0"/>
      <w:iCs w:val="0"/>
      <w:color w:val="000000"/>
      <w:sz w:val="18"/>
      <w:szCs w:val="18"/>
    </w:rPr>
  </w:style>
  <w:style w:type="character" w:customStyle="1" w:styleId="csab6e076920">
    <w:name w:val="csab6e076920"/>
    <w:rsid w:val="003D03F3"/>
    <w:rPr>
      <w:rFonts w:ascii="Arial" w:hAnsi="Arial" w:cs="Arial" w:hint="default"/>
      <w:b w:val="0"/>
      <w:bCs w:val="0"/>
      <w:i w:val="0"/>
      <w:iCs w:val="0"/>
      <w:color w:val="000000"/>
      <w:sz w:val="18"/>
      <w:szCs w:val="18"/>
    </w:rPr>
  </w:style>
  <w:style w:type="character" w:customStyle="1" w:styleId="csf229d0ff28">
    <w:name w:val="csf229d0ff28"/>
    <w:rsid w:val="003D03F3"/>
    <w:rPr>
      <w:rFonts w:ascii="Arial" w:hAnsi="Arial" w:cs="Arial" w:hint="default"/>
      <w:b w:val="0"/>
      <w:bCs w:val="0"/>
      <w:i w:val="0"/>
      <w:iCs w:val="0"/>
      <w:color w:val="000000"/>
      <w:sz w:val="18"/>
      <w:szCs w:val="18"/>
    </w:rPr>
  </w:style>
  <w:style w:type="character" w:customStyle="1" w:styleId="csf229d0ff50">
    <w:name w:val="csf229d0ff50"/>
    <w:rsid w:val="003D03F3"/>
    <w:rPr>
      <w:rFonts w:ascii="Arial" w:hAnsi="Arial" w:cs="Arial" w:hint="default"/>
      <w:b w:val="0"/>
      <w:bCs w:val="0"/>
      <w:i w:val="0"/>
      <w:iCs w:val="0"/>
      <w:color w:val="000000"/>
      <w:sz w:val="18"/>
      <w:szCs w:val="18"/>
    </w:rPr>
  </w:style>
  <w:style w:type="character" w:customStyle="1" w:styleId="csf229d0ff22">
    <w:name w:val="csf229d0ff22"/>
    <w:rsid w:val="003D03F3"/>
    <w:rPr>
      <w:rFonts w:ascii="Arial" w:hAnsi="Arial" w:cs="Arial" w:hint="default"/>
      <w:b w:val="0"/>
      <w:bCs w:val="0"/>
      <w:i w:val="0"/>
      <w:iCs w:val="0"/>
      <w:color w:val="000000"/>
      <w:sz w:val="18"/>
      <w:szCs w:val="18"/>
    </w:rPr>
  </w:style>
  <w:style w:type="character" w:customStyle="1" w:styleId="csf229d0ff83">
    <w:name w:val="csf229d0ff83"/>
    <w:rsid w:val="003D03F3"/>
    <w:rPr>
      <w:rFonts w:ascii="Arial" w:hAnsi="Arial" w:cs="Arial" w:hint="default"/>
      <w:b w:val="0"/>
      <w:bCs w:val="0"/>
      <w:i w:val="0"/>
      <w:iCs w:val="0"/>
      <w:color w:val="000000"/>
      <w:sz w:val="18"/>
      <w:szCs w:val="18"/>
    </w:rPr>
  </w:style>
  <w:style w:type="character" w:customStyle="1" w:styleId="csf229d0ff76">
    <w:name w:val="csf229d0ff76"/>
    <w:rsid w:val="003D03F3"/>
    <w:rPr>
      <w:rFonts w:ascii="Arial" w:hAnsi="Arial" w:cs="Arial" w:hint="default"/>
      <w:b w:val="0"/>
      <w:bCs w:val="0"/>
      <w:i w:val="0"/>
      <w:iCs w:val="0"/>
      <w:color w:val="000000"/>
      <w:sz w:val="18"/>
      <w:szCs w:val="18"/>
    </w:rPr>
  </w:style>
  <w:style w:type="character" w:customStyle="1" w:styleId="csf229d0ff20">
    <w:name w:val="csf229d0ff20"/>
    <w:rsid w:val="003D03F3"/>
    <w:rPr>
      <w:rFonts w:ascii="Arial" w:hAnsi="Arial" w:cs="Arial" w:hint="default"/>
      <w:b w:val="0"/>
      <w:bCs w:val="0"/>
      <w:i w:val="0"/>
      <w:iCs w:val="0"/>
      <w:color w:val="000000"/>
      <w:sz w:val="18"/>
      <w:szCs w:val="18"/>
    </w:rPr>
  </w:style>
  <w:style w:type="character" w:customStyle="1" w:styleId="csab6e07697">
    <w:name w:val="csab6e07697"/>
    <w:rsid w:val="003D03F3"/>
    <w:rPr>
      <w:rFonts w:ascii="Arial" w:hAnsi="Arial" w:cs="Arial" w:hint="default"/>
      <w:b w:val="0"/>
      <w:bCs w:val="0"/>
      <w:i w:val="0"/>
      <w:iCs w:val="0"/>
      <w:color w:val="000000"/>
      <w:sz w:val="18"/>
      <w:szCs w:val="18"/>
    </w:rPr>
  </w:style>
  <w:style w:type="character" w:customStyle="1" w:styleId="csb3e8c9cf94">
    <w:name w:val="csb3e8c9cf94"/>
    <w:rsid w:val="003D03F3"/>
    <w:rPr>
      <w:rFonts w:ascii="Arial" w:hAnsi="Arial" w:cs="Arial" w:hint="default"/>
      <w:b/>
      <w:bCs/>
      <w:i w:val="0"/>
      <w:iCs w:val="0"/>
      <w:color w:val="000000"/>
      <w:sz w:val="18"/>
      <w:szCs w:val="18"/>
    </w:rPr>
  </w:style>
  <w:style w:type="character" w:customStyle="1" w:styleId="csf229d0ff91">
    <w:name w:val="csf229d0ff91"/>
    <w:rsid w:val="003D03F3"/>
    <w:rPr>
      <w:rFonts w:ascii="Arial" w:hAnsi="Arial" w:cs="Arial" w:hint="default"/>
      <w:b w:val="0"/>
      <w:bCs w:val="0"/>
      <w:i w:val="0"/>
      <w:iCs w:val="0"/>
      <w:color w:val="000000"/>
      <w:sz w:val="18"/>
      <w:szCs w:val="18"/>
    </w:rPr>
  </w:style>
  <w:style w:type="character" w:customStyle="1" w:styleId="213">
    <w:name w:val="Заголовок 2 Знак1"/>
    <w:uiPriority w:val="9"/>
    <w:locked/>
    <w:rsid w:val="003D03F3"/>
    <w:rPr>
      <w:rFonts w:ascii="Arial" w:eastAsia="Times New Roman" w:hAnsi="Arial" w:cs="Arial" w:hint="default"/>
      <w:b/>
      <w:bCs w:val="0"/>
      <w:caps/>
      <w:sz w:val="16"/>
      <w:lang w:val="ru-RU" w:eastAsia="ru-RU"/>
    </w:rPr>
  </w:style>
  <w:style w:type="character" w:customStyle="1" w:styleId="411">
    <w:name w:val="Заголовок 4 Знак1"/>
    <w:uiPriority w:val="9"/>
    <w:locked/>
    <w:rsid w:val="003D03F3"/>
    <w:rPr>
      <w:rFonts w:ascii="Arial" w:eastAsia="Times New Roman" w:hAnsi="Arial" w:cs="Arial" w:hint="default"/>
      <w:b/>
      <w:bCs w:val="0"/>
      <w:lang w:val="ru-RU" w:eastAsia="ru-RU"/>
    </w:rPr>
  </w:style>
  <w:style w:type="character" w:customStyle="1" w:styleId="csf229d0ff74">
    <w:name w:val="csf229d0ff74"/>
    <w:rsid w:val="003D03F3"/>
    <w:rPr>
      <w:rFonts w:ascii="Arial" w:hAnsi="Arial" w:cs="Arial" w:hint="default"/>
      <w:b w:val="0"/>
      <w:bCs w:val="0"/>
      <w:i w:val="0"/>
      <w:iCs w:val="0"/>
      <w:color w:val="000000"/>
      <w:sz w:val="18"/>
      <w:szCs w:val="18"/>
    </w:rPr>
  </w:style>
  <w:style w:type="character" w:customStyle="1" w:styleId="csf229d0ff97">
    <w:name w:val="csf229d0ff97"/>
    <w:rsid w:val="003D03F3"/>
    <w:rPr>
      <w:rFonts w:ascii="Arial" w:hAnsi="Arial" w:cs="Arial" w:hint="default"/>
      <w:b w:val="0"/>
      <w:bCs w:val="0"/>
      <w:i w:val="0"/>
      <w:iCs w:val="0"/>
      <w:color w:val="000000"/>
      <w:sz w:val="18"/>
      <w:szCs w:val="18"/>
    </w:rPr>
  </w:style>
  <w:style w:type="character" w:customStyle="1" w:styleId="csab6e076939">
    <w:name w:val="csab6e076939"/>
    <w:rsid w:val="003D03F3"/>
    <w:rPr>
      <w:rFonts w:ascii="Arial" w:hAnsi="Arial" w:cs="Arial" w:hint="default"/>
      <w:b w:val="0"/>
      <w:bCs w:val="0"/>
      <w:i w:val="0"/>
      <w:iCs w:val="0"/>
      <w:color w:val="000000"/>
      <w:sz w:val="18"/>
      <w:szCs w:val="18"/>
    </w:rPr>
  </w:style>
  <w:style w:type="character" w:customStyle="1" w:styleId="csf229d0ff57">
    <w:name w:val="csf229d0ff57"/>
    <w:rsid w:val="003D03F3"/>
    <w:rPr>
      <w:rFonts w:ascii="Arial" w:hAnsi="Arial" w:cs="Arial" w:hint="default"/>
      <w:b w:val="0"/>
      <w:bCs w:val="0"/>
      <w:i w:val="0"/>
      <w:iCs w:val="0"/>
      <w:color w:val="000000"/>
      <w:sz w:val="18"/>
      <w:szCs w:val="18"/>
    </w:rPr>
  </w:style>
  <w:style w:type="character" w:customStyle="1" w:styleId="csf229d0ff149">
    <w:name w:val="csf229d0ff149"/>
    <w:rsid w:val="003D03F3"/>
    <w:rPr>
      <w:rFonts w:ascii="Arial" w:hAnsi="Arial" w:cs="Arial" w:hint="default"/>
      <w:b w:val="0"/>
      <w:bCs w:val="0"/>
      <w:i w:val="0"/>
      <w:iCs w:val="0"/>
      <w:color w:val="000000"/>
      <w:sz w:val="18"/>
      <w:szCs w:val="18"/>
    </w:rPr>
  </w:style>
  <w:style w:type="character" w:customStyle="1" w:styleId="csf229d0ff65">
    <w:name w:val="csf229d0ff65"/>
    <w:rsid w:val="003D03F3"/>
    <w:rPr>
      <w:rFonts w:ascii="Arial" w:hAnsi="Arial" w:cs="Arial" w:hint="default"/>
      <w:b w:val="0"/>
      <w:bCs w:val="0"/>
      <w:i w:val="0"/>
      <w:iCs w:val="0"/>
      <w:color w:val="000000"/>
      <w:sz w:val="18"/>
      <w:szCs w:val="18"/>
    </w:rPr>
  </w:style>
  <w:style w:type="character" w:customStyle="1" w:styleId="csf229d0ff132">
    <w:name w:val="csf229d0ff132"/>
    <w:rsid w:val="003D03F3"/>
    <w:rPr>
      <w:rFonts w:ascii="Arial" w:hAnsi="Arial" w:cs="Arial" w:hint="default"/>
      <w:b w:val="0"/>
      <w:bCs w:val="0"/>
      <w:i w:val="0"/>
      <w:iCs w:val="0"/>
      <w:color w:val="000000"/>
      <w:sz w:val="18"/>
      <w:szCs w:val="18"/>
    </w:rPr>
  </w:style>
  <w:style w:type="character" w:customStyle="1" w:styleId="csf229d0ff96">
    <w:name w:val="csf229d0ff96"/>
    <w:rsid w:val="003D03F3"/>
    <w:rPr>
      <w:rFonts w:ascii="Arial" w:hAnsi="Arial" w:cs="Arial" w:hint="default"/>
      <w:b w:val="0"/>
      <w:bCs w:val="0"/>
      <w:i w:val="0"/>
      <w:iCs w:val="0"/>
      <w:color w:val="000000"/>
      <w:sz w:val="18"/>
      <w:szCs w:val="18"/>
    </w:rPr>
  </w:style>
  <w:style w:type="character" w:customStyle="1" w:styleId="csf229d0ff148">
    <w:name w:val="csf229d0ff148"/>
    <w:rsid w:val="003D03F3"/>
    <w:rPr>
      <w:rFonts w:ascii="Arial" w:hAnsi="Arial" w:cs="Arial" w:hint="default"/>
      <w:b w:val="0"/>
      <w:bCs w:val="0"/>
      <w:i w:val="0"/>
      <w:iCs w:val="0"/>
      <w:color w:val="000000"/>
      <w:sz w:val="18"/>
      <w:szCs w:val="18"/>
    </w:rPr>
  </w:style>
  <w:style w:type="character" w:customStyle="1" w:styleId="csf229d0ff176">
    <w:name w:val="csf229d0ff176"/>
    <w:rsid w:val="003D03F3"/>
    <w:rPr>
      <w:rFonts w:ascii="Arial" w:hAnsi="Arial" w:cs="Arial" w:hint="default"/>
      <w:b w:val="0"/>
      <w:bCs w:val="0"/>
      <w:i w:val="0"/>
      <w:iCs w:val="0"/>
      <w:color w:val="000000"/>
      <w:sz w:val="18"/>
      <w:szCs w:val="18"/>
    </w:rPr>
  </w:style>
  <w:style w:type="character" w:customStyle="1" w:styleId="csf229d0ff231">
    <w:name w:val="csf229d0ff231"/>
    <w:rsid w:val="003D03F3"/>
    <w:rPr>
      <w:rFonts w:ascii="Arial" w:hAnsi="Arial" w:cs="Arial" w:hint="default"/>
      <w:b w:val="0"/>
      <w:bCs w:val="0"/>
      <w:i w:val="0"/>
      <w:iCs w:val="0"/>
      <w:color w:val="000000"/>
      <w:sz w:val="18"/>
      <w:szCs w:val="18"/>
    </w:rPr>
  </w:style>
  <w:style w:type="character" w:customStyle="1" w:styleId="csf229d0ff238">
    <w:name w:val="csf229d0ff238"/>
    <w:rsid w:val="003D03F3"/>
    <w:rPr>
      <w:rFonts w:ascii="Arial" w:hAnsi="Arial" w:cs="Arial" w:hint="default"/>
      <w:b w:val="0"/>
      <w:bCs w:val="0"/>
      <w:i w:val="0"/>
      <w:iCs w:val="0"/>
      <w:color w:val="000000"/>
      <w:sz w:val="18"/>
      <w:szCs w:val="18"/>
    </w:rPr>
  </w:style>
  <w:style w:type="character" w:customStyle="1" w:styleId="csf229d0ff127">
    <w:name w:val="csf229d0ff127"/>
    <w:rsid w:val="003D03F3"/>
    <w:rPr>
      <w:rFonts w:ascii="Arial" w:hAnsi="Arial" w:cs="Arial" w:hint="default"/>
      <w:b w:val="0"/>
      <w:bCs w:val="0"/>
      <w:i w:val="0"/>
      <w:iCs w:val="0"/>
      <w:color w:val="000000"/>
      <w:sz w:val="18"/>
      <w:szCs w:val="18"/>
    </w:rPr>
  </w:style>
  <w:style w:type="character" w:customStyle="1" w:styleId="csab6e076951">
    <w:name w:val="csab6e076951"/>
    <w:rsid w:val="003D03F3"/>
    <w:rPr>
      <w:rFonts w:ascii="Arial" w:hAnsi="Arial" w:cs="Arial" w:hint="default"/>
      <w:b w:val="0"/>
      <w:bCs w:val="0"/>
      <w:i w:val="0"/>
      <w:iCs w:val="0"/>
      <w:color w:val="000000"/>
      <w:sz w:val="18"/>
      <w:szCs w:val="18"/>
    </w:rPr>
  </w:style>
  <w:style w:type="character" w:customStyle="1" w:styleId="csf229d0ff43">
    <w:name w:val="csf229d0ff43"/>
    <w:rsid w:val="003D03F3"/>
    <w:rPr>
      <w:rFonts w:ascii="Arial" w:hAnsi="Arial" w:cs="Arial" w:hint="default"/>
      <w:b w:val="0"/>
      <w:bCs w:val="0"/>
      <w:i w:val="0"/>
      <w:iCs w:val="0"/>
      <w:color w:val="000000"/>
      <w:sz w:val="18"/>
      <w:szCs w:val="18"/>
    </w:rPr>
  </w:style>
  <w:style w:type="character" w:customStyle="1" w:styleId="cs958d30211">
    <w:name w:val="cs958d30211"/>
    <w:rsid w:val="003D03F3"/>
    <w:rPr>
      <w:rFonts w:ascii="Microsoft YaHei" w:eastAsia="Microsoft YaHei" w:hAnsi="Microsoft YaHei" w:hint="eastAsia"/>
      <w:b w:val="0"/>
      <w:bCs w:val="0"/>
      <w:i w:val="0"/>
      <w:iCs w:val="0"/>
      <w:color w:val="000000"/>
      <w:sz w:val="18"/>
      <w:szCs w:val="18"/>
    </w:rPr>
  </w:style>
  <w:style w:type="character" w:customStyle="1" w:styleId="csab6e07691">
    <w:name w:val="csab6e07691"/>
    <w:rsid w:val="003D03F3"/>
    <w:rPr>
      <w:rFonts w:ascii="Arial" w:hAnsi="Arial" w:cs="Arial" w:hint="default"/>
      <w:b w:val="0"/>
      <w:bCs w:val="0"/>
      <w:i w:val="0"/>
      <w:iCs w:val="0"/>
      <w:color w:val="000000"/>
      <w:sz w:val="18"/>
      <w:szCs w:val="18"/>
    </w:rPr>
  </w:style>
  <w:style w:type="character" w:customStyle="1" w:styleId="csf229d0ff193">
    <w:name w:val="csf229d0ff193"/>
    <w:rsid w:val="003D03F3"/>
    <w:rPr>
      <w:rFonts w:ascii="Arial" w:hAnsi="Arial" w:cs="Arial" w:hint="default"/>
      <w:b w:val="0"/>
      <w:bCs w:val="0"/>
      <w:i w:val="0"/>
      <w:iCs w:val="0"/>
      <w:color w:val="000000"/>
      <w:sz w:val="18"/>
      <w:szCs w:val="18"/>
    </w:rPr>
  </w:style>
  <w:style w:type="character" w:customStyle="1" w:styleId="csab6e076922">
    <w:name w:val="csab6e076922"/>
    <w:rsid w:val="003D03F3"/>
    <w:rPr>
      <w:rFonts w:ascii="Arial" w:hAnsi="Arial" w:cs="Arial" w:hint="default"/>
      <w:b w:val="0"/>
      <w:bCs w:val="0"/>
      <w:i w:val="0"/>
      <w:iCs w:val="0"/>
      <w:color w:val="000000"/>
      <w:sz w:val="18"/>
      <w:szCs w:val="18"/>
    </w:rPr>
  </w:style>
  <w:style w:type="character" w:customStyle="1" w:styleId="csab6e076996">
    <w:name w:val="csab6e076996"/>
    <w:rsid w:val="003D03F3"/>
    <w:rPr>
      <w:rFonts w:ascii="Arial" w:hAnsi="Arial" w:cs="Arial" w:hint="default"/>
      <w:b w:val="0"/>
      <w:bCs w:val="0"/>
      <w:i w:val="0"/>
      <w:iCs w:val="0"/>
      <w:color w:val="000000"/>
      <w:sz w:val="18"/>
      <w:szCs w:val="18"/>
    </w:rPr>
  </w:style>
  <w:style w:type="character" w:customStyle="1" w:styleId="csab6e076995">
    <w:name w:val="csab6e076995"/>
    <w:rsid w:val="003D03F3"/>
    <w:rPr>
      <w:rFonts w:ascii="Arial" w:hAnsi="Arial" w:cs="Arial" w:hint="default"/>
      <w:b w:val="0"/>
      <w:bCs w:val="0"/>
      <w:i w:val="0"/>
      <w:iCs w:val="0"/>
      <w:color w:val="000000"/>
      <w:sz w:val="18"/>
      <w:szCs w:val="18"/>
    </w:rPr>
  </w:style>
  <w:style w:type="character" w:customStyle="1" w:styleId="csf229d0ff200">
    <w:name w:val="csf229d0ff200"/>
    <w:rsid w:val="003D03F3"/>
    <w:rPr>
      <w:rFonts w:ascii="Arial" w:hAnsi="Arial" w:cs="Arial" w:hint="default"/>
      <w:b w:val="0"/>
      <w:bCs w:val="0"/>
      <w:i w:val="0"/>
      <w:iCs w:val="0"/>
      <w:color w:val="000000"/>
      <w:sz w:val="18"/>
      <w:szCs w:val="18"/>
    </w:rPr>
  </w:style>
  <w:style w:type="character" w:customStyle="1" w:styleId="csba294252">
    <w:name w:val="csba294252"/>
    <w:rsid w:val="003D03F3"/>
    <w:rPr>
      <w:rFonts w:ascii="Segoe UI" w:hAnsi="Segoe UI" w:cs="Segoe UI" w:hint="default"/>
      <w:b/>
      <w:bCs/>
      <w:i/>
      <w:iCs/>
      <w:color w:val="102B56"/>
      <w:sz w:val="18"/>
      <w:szCs w:val="18"/>
    </w:rPr>
  </w:style>
  <w:style w:type="character" w:customStyle="1" w:styleId="csf229d0ff131">
    <w:name w:val="csf229d0ff131"/>
    <w:rsid w:val="003D03F3"/>
    <w:rPr>
      <w:rFonts w:ascii="Arial" w:hAnsi="Arial" w:cs="Arial" w:hint="default"/>
      <w:b w:val="0"/>
      <w:bCs w:val="0"/>
      <w:i w:val="0"/>
      <w:iCs w:val="0"/>
      <w:color w:val="000000"/>
      <w:sz w:val="18"/>
      <w:szCs w:val="18"/>
    </w:rPr>
  </w:style>
  <w:style w:type="character" w:customStyle="1" w:styleId="csf229d0ff154">
    <w:name w:val="csf229d0ff154"/>
    <w:rsid w:val="003D03F3"/>
    <w:rPr>
      <w:rFonts w:ascii="Arial" w:hAnsi="Arial" w:cs="Arial" w:hint="default"/>
      <w:b w:val="0"/>
      <w:bCs w:val="0"/>
      <w:i w:val="0"/>
      <w:iCs w:val="0"/>
      <w:color w:val="000000"/>
      <w:sz w:val="18"/>
      <w:szCs w:val="18"/>
    </w:rPr>
  </w:style>
  <w:style w:type="character" w:customStyle="1" w:styleId="csa5a0f5422">
    <w:name w:val="csa5a0f5422"/>
    <w:rsid w:val="003D03F3"/>
    <w:rPr>
      <w:rFonts w:ascii="Arial" w:hAnsi="Arial" w:cs="Arial" w:hint="default"/>
      <w:b w:val="0"/>
      <w:bCs w:val="0"/>
      <w:i w:val="0"/>
      <w:iCs w:val="0"/>
      <w:color w:val="102B56"/>
      <w:sz w:val="18"/>
      <w:szCs w:val="18"/>
    </w:rPr>
  </w:style>
  <w:style w:type="character" w:customStyle="1" w:styleId="csf229d0ff153">
    <w:name w:val="csf229d0ff153"/>
    <w:rsid w:val="003D03F3"/>
    <w:rPr>
      <w:rFonts w:ascii="Arial" w:hAnsi="Arial" w:cs="Arial" w:hint="default"/>
      <w:b w:val="0"/>
      <w:bCs w:val="0"/>
      <w:i w:val="0"/>
      <w:iCs w:val="0"/>
      <w:color w:val="000000"/>
      <w:sz w:val="18"/>
      <w:szCs w:val="18"/>
    </w:rPr>
  </w:style>
  <w:style w:type="character" w:customStyle="1" w:styleId="cs7ca65d8c1">
    <w:name w:val="cs7ca65d8c1"/>
    <w:rsid w:val="003D03F3"/>
    <w:rPr>
      <w:rFonts w:ascii="Segoe UI" w:hAnsi="Segoe UI" w:cs="Segoe UI" w:hint="default"/>
      <w:b w:val="0"/>
      <w:bCs w:val="0"/>
      <w:i w:val="0"/>
      <w:iCs w:val="0"/>
      <w:color w:val="102B56"/>
      <w:sz w:val="18"/>
      <w:szCs w:val="18"/>
    </w:rPr>
  </w:style>
  <w:style w:type="character" w:customStyle="1" w:styleId="csf229d0ff166">
    <w:name w:val="csf229d0ff166"/>
    <w:rsid w:val="003D03F3"/>
    <w:rPr>
      <w:rFonts w:ascii="Arial" w:hAnsi="Arial" w:cs="Arial" w:hint="default"/>
      <w:b w:val="0"/>
      <w:bCs w:val="0"/>
      <w:i w:val="0"/>
      <w:iCs w:val="0"/>
      <w:color w:val="000000"/>
      <w:sz w:val="18"/>
      <w:szCs w:val="18"/>
    </w:rPr>
  </w:style>
  <w:style w:type="character" w:customStyle="1" w:styleId="csf229d0ff177">
    <w:name w:val="csf229d0ff177"/>
    <w:rsid w:val="003D03F3"/>
    <w:rPr>
      <w:rFonts w:ascii="Arial" w:hAnsi="Arial" w:cs="Arial" w:hint="default"/>
      <w:b w:val="0"/>
      <w:bCs w:val="0"/>
      <w:i w:val="0"/>
      <w:iCs w:val="0"/>
      <w:color w:val="000000"/>
      <w:sz w:val="18"/>
      <w:szCs w:val="18"/>
    </w:rPr>
  </w:style>
  <w:style w:type="character" w:customStyle="1" w:styleId="csf229d0ff104">
    <w:name w:val="csf229d0ff104"/>
    <w:rsid w:val="003D03F3"/>
    <w:rPr>
      <w:rFonts w:ascii="Arial" w:hAnsi="Arial" w:cs="Arial" w:hint="default"/>
      <w:b w:val="0"/>
      <w:bCs w:val="0"/>
      <w:i w:val="0"/>
      <w:iCs w:val="0"/>
      <w:color w:val="000000"/>
      <w:sz w:val="18"/>
      <w:szCs w:val="18"/>
    </w:rPr>
  </w:style>
  <w:style w:type="character" w:customStyle="1" w:styleId="csf229d0ff156">
    <w:name w:val="csf229d0ff156"/>
    <w:rsid w:val="003D03F3"/>
    <w:rPr>
      <w:rFonts w:ascii="Arial" w:hAnsi="Arial" w:cs="Arial" w:hint="default"/>
      <w:b w:val="0"/>
      <w:bCs w:val="0"/>
      <w:i w:val="0"/>
      <w:iCs w:val="0"/>
      <w:color w:val="000000"/>
      <w:sz w:val="18"/>
      <w:szCs w:val="18"/>
    </w:rPr>
  </w:style>
  <w:style w:type="character" w:customStyle="1" w:styleId="csab6e076917">
    <w:name w:val="csab6e076917"/>
    <w:rsid w:val="003D03F3"/>
    <w:rPr>
      <w:rFonts w:ascii="Arial" w:hAnsi="Arial" w:cs="Arial" w:hint="default"/>
      <w:b w:val="0"/>
      <w:bCs w:val="0"/>
      <w:i w:val="0"/>
      <w:iCs w:val="0"/>
      <w:color w:val="000000"/>
      <w:sz w:val="18"/>
      <w:szCs w:val="18"/>
    </w:rPr>
  </w:style>
  <w:style w:type="character" w:customStyle="1" w:styleId="csab6e076935">
    <w:name w:val="csab6e076935"/>
    <w:rsid w:val="003D03F3"/>
    <w:rPr>
      <w:rFonts w:ascii="Arial" w:hAnsi="Arial" w:cs="Arial" w:hint="default"/>
      <w:b w:val="0"/>
      <w:bCs w:val="0"/>
      <w:i w:val="0"/>
      <w:iCs w:val="0"/>
      <w:color w:val="000000"/>
      <w:sz w:val="18"/>
      <w:szCs w:val="18"/>
    </w:rPr>
  </w:style>
  <w:style w:type="character" w:customStyle="1" w:styleId="csab6e076934">
    <w:name w:val="csab6e076934"/>
    <w:rsid w:val="003D03F3"/>
    <w:rPr>
      <w:rFonts w:ascii="Arial" w:hAnsi="Arial" w:cs="Arial" w:hint="default"/>
      <w:b w:val="0"/>
      <w:bCs w:val="0"/>
      <w:i w:val="0"/>
      <w:iCs w:val="0"/>
      <w:color w:val="000000"/>
      <w:sz w:val="18"/>
      <w:szCs w:val="18"/>
    </w:rPr>
  </w:style>
  <w:style w:type="character" w:customStyle="1" w:styleId="csf229d0ff121">
    <w:name w:val="csf229d0ff121"/>
    <w:rsid w:val="003D03F3"/>
    <w:rPr>
      <w:rFonts w:ascii="Arial" w:hAnsi="Arial" w:cs="Arial" w:hint="default"/>
      <w:b w:val="0"/>
      <w:bCs w:val="0"/>
      <w:i w:val="0"/>
      <w:iCs w:val="0"/>
      <w:color w:val="000000"/>
      <w:sz w:val="18"/>
      <w:szCs w:val="18"/>
    </w:rPr>
  </w:style>
  <w:style w:type="character" w:customStyle="1" w:styleId="csf229d0ff105">
    <w:name w:val="csf229d0ff105"/>
    <w:rsid w:val="003D03F3"/>
    <w:rPr>
      <w:rFonts w:ascii="Arial" w:hAnsi="Arial" w:cs="Arial" w:hint="default"/>
      <w:b w:val="0"/>
      <w:bCs w:val="0"/>
      <w:i w:val="0"/>
      <w:iCs w:val="0"/>
      <w:color w:val="000000"/>
      <w:sz w:val="18"/>
      <w:szCs w:val="18"/>
    </w:rPr>
  </w:style>
  <w:style w:type="character" w:customStyle="1" w:styleId="csab6e076976">
    <w:name w:val="csab6e076976"/>
    <w:rsid w:val="003D03F3"/>
    <w:rPr>
      <w:rFonts w:ascii="Arial" w:hAnsi="Arial" w:cs="Arial" w:hint="default"/>
      <w:b w:val="0"/>
      <w:bCs w:val="0"/>
      <w:i w:val="0"/>
      <w:iCs w:val="0"/>
      <w:color w:val="000000"/>
      <w:sz w:val="18"/>
      <w:szCs w:val="18"/>
    </w:rPr>
  </w:style>
  <w:style w:type="character" w:customStyle="1" w:styleId="csf229d0ff169">
    <w:name w:val="csf229d0ff169"/>
    <w:rsid w:val="003D03F3"/>
    <w:rPr>
      <w:rFonts w:ascii="Arial" w:hAnsi="Arial" w:cs="Arial" w:hint="default"/>
      <w:b w:val="0"/>
      <w:bCs w:val="0"/>
      <w:i w:val="0"/>
      <w:iCs w:val="0"/>
      <w:color w:val="000000"/>
      <w:sz w:val="18"/>
      <w:szCs w:val="18"/>
    </w:rPr>
  </w:style>
  <w:style w:type="character" w:customStyle="1" w:styleId="csab6e076938">
    <w:name w:val="csab6e076938"/>
    <w:rsid w:val="003D03F3"/>
    <w:rPr>
      <w:rFonts w:ascii="Arial" w:hAnsi="Arial" w:cs="Arial" w:hint="default"/>
      <w:b w:val="0"/>
      <w:bCs w:val="0"/>
      <w:i w:val="0"/>
      <w:iCs w:val="0"/>
      <w:color w:val="000000"/>
      <w:sz w:val="18"/>
      <w:szCs w:val="18"/>
    </w:rPr>
  </w:style>
  <w:style w:type="character" w:customStyle="1" w:styleId="csf562b9293">
    <w:name w:val="csf562b9293"/>
    <w:rsid w:val="003D03F3"/>
    <w:rPr>
      <w:rFonts w:ascii="Arial" w:hAnsi="Arial" w:cs="Arial" w:hint="default"/>
      <w:b/>
      <w:bCs/>
      <w:i/>
      <w:iCs/>
      <w:color w:val="000000"/>
      <w:sz w:val="18"/>
      <w:szCs w:val="18"/>
    </w:rPr>
  </w:style>
  <w:style w:type="character" w:customStyle="1" w:styleId="csf229d0ff144">
    <w:name w:val="csf229d0ff144"/>
    <w:rsid w:val="003D03F3"/>
    <w:rPr>
      <w:rFonts w:ascii="Arial" w:hAnsi="Arial" w:cs="Arial" w:hint="default"/>
      <w:b w:val="0"/>
      <w:bCs w:val="0"/>
      <w:i w:val="0"/>
      <w:iCs w:val="0"/>
      <w:color w:val="000000"/>
      <w:sz w:val="18"/>
      <w:szCs w:val="18"/>
    </w:rPr>
  </w:style>
  <w:style w:type="character" w:customStyle="1" w:styleId="csf229d0ff318">
    <w:name w:val="csf229d0ff318"/>
    <w:rsid w:val="003D03F3"/>
    <w:rPr>
      <w:rFonts w:ascii="Arial" w:hAnsi="Arial" w:cs="Arial" w:hint="default"/>
      <w:b w:val="0"/>
      <w:bCs w:val="0"/>
      <w:i w:val="0"/>
      <w:iCs w:val="0"/>
      <w:color w:val="000000"/>
      <w:sz w:val="18"/>
      <w:szCs w:val="18"/>
    </w:rPr>
  </w:style>
  <w:style w:type="character" w:customStyle="1" w:styleId="csf562b9294">
    <w:name w:val="csf562b9294"/>
    <w:rsid w:val="003D03F3"/>
    <w:rPr>
      <w:rFonts w:ascii="Arial" w:hAnsi="Arial" w:cs="Arial" w:hint="default"/>
      <w:b/>
      <w:bCs/>
      <w:i/>
      <w:iCs/>
      <w:color w:val="000000"/>
      <w:sz w:val="18"/>
      <w:szCs w:val="18"/>
    </w:rPr>
  </w:style>
  <w:style w:type="character" w:customStyle="1" w:styleId="csf229d0ff122">
    <w:name w:val="csf229d0ff122"/>
    <w:rsid w:val="003D03F3"/>
    <w:rPr>
      <w:rFonts w:ascii="Arial" w:hAnsi="Arial" w:cs="Arial" w:hint="default"/>
      <w:b w:val="0"/>
      <w:bCs w:val="0"/>
      <w:i w:val="0"/>
      <w:iCs w:val="0"/>
      <w:color w:val="000000"/>
      <w:sz w:val="18"/>
      <w:szCs w:val="18"/>
    </w:rPr>
  </w:style>
  <w:style w:type="character" w:customStyle="1" w:styleId="csf229d0ff167">
    <w:name w:val="csf229d0ff167"/>
    <w:rsid w:val="003D03F3"/>
    <w:rPr>
      <w:rFonts w:ascii="Arial" w:hAnsi="Arial" w:cs="Arial" w:hint="default"/>
      <w:b w:val="0"/>
      <w:bCs w:val="0"/>
      <w:i w:val="0"/>
      <w:iCs w:val="0"/>
      <w:color w:val="000000"/>
      <w:sz w:val="18"/>
      <w:szCs w:val="18"/>
    </w:rPr>
  </w:style>
  <w:style w:type="character" w:customStyle="1" w:styleId="csf229d0ff62">
    <w:name w:val="csf229d0ff62"/>
    <w:rsid w:val="003D03F3"/>
    <w:rPr>
      <w:rFonts w:ascii="Arial" w:hAnsi="Arial" w:cs="Arial" w:hint="default"/>
      <w:b w:val="0"/>
      <w:bCs w:val="0"/>
      <w:i w:val="0"/>
      <w:iCs w:val="0"/>
      <w:color w:val="000000"/>
      <w:sz w:val="18"/>
      <w:szCs w:val="18"/>
    </w:rPr>
  </w:style>
  <w:style w:type="character" w:customStyle="1" w:styleId="csf229d0ff68">
    <w:name w:val="csf229d0ff68"/>
    <w:rsid w:val="003D03F3"/>
    <w:rPr>
      <w:rFonts w:ascii="Arial" w:hAnsi="Arial" w:cs="Arial" w:hint="default"/>
      <w:b w:val="0"/>
      <w:bCs w:val="0"/>
      <w:i w:val="0"/>
      <w:iCs w:val="0"/>
      <w:color w:val="000000"/>
      <w:sz w:val="18"/>
      <w:szCs w:val="18"/>
    </w:rPr>
  </w:style>
  <w:style w:type="character" w:customStyle="1" w:styleId="csf229d0ff138">
    <w:name w:val="csf229d0ff138"/>
    <w:rsid w:val="003D03F3"/>
    <w:rPr>
      <w:rFonts w:ascii="Arial" w:hAnsi="Arial" w:cs="Arial" w:hint="default"/>
      <w:b w:val="0"/>
      <w:bCs w:val="0"/>
      <w:i w:val="0"/>
      <w:iCs w:val="0"/>
      <w:color w:val="000000"/>
      <w:sz w:val="18"/>
      <w:szCs w:val="18"/>
    </w:rPr>
  </w:style>
  <w:style w:type="character" w:customStyle="1" w:styleId="csf229d0ff160">
    <w:name w:val="csf229d0ff160"/>
    <w:rsid w:val="003D03F3"/>
    <w:rPr>
      <w:rFonts w:ascii="Arial" w:hAnsi="Arial" w:cs="Arial" w:hint="default"/>
      <w:b w:val="0"/>
      <w:bCs w:val="0"/>
      <w:i w:val="0"/>
      <w:iCs w:val="0"/>
      <w:color w:val="000000"/>
      <w:sz w:val="18"/>
      <w:szCs w:val="18"/>
    </w:rPr>
  </w:style>
  <w:style w:type="character" w:customStyle="1" w:styleId="csf06730b61">
    <w:name w:val="csf06730b61"/>
    <w:rsid w:val="003D03F3"/>
    <w:rPr>
      <w:rFonts w:ascii="Times New Roman" w:hAnsi="Times New Roman" w:cs="Times New Roman" w:hint="default"/>
      <w:b/>
      <w:bCs/>
      <w:i w:val="0"/>
      <w:iCs w:val="0"/>
      <w:color w:val="000000"/>
      <w:sz w:val="16"/>
      <w:szCs w:val="16"/>
    </w:rPr>
  </w:style>
  <w:style w:type="character" w:customStyle="1" w:styleId="csab6e076955">
    <w:name w:val="csab6e076955"/>
    <w:rsid w:val="003D03F3"/>
    <w:rPr>
      <w:rFonts w:ascii="Arial" w:hAnsi="Arial" w:cs="Arial" w:hint="default"/>
      <w:b w:val="0"/>
      <w:bCs w:val="0"/>
      <w:i w:val="0"/>
      <w:iCs w:val="0"/>
      <w:color w:val="000000"/>
      <w:sz w:val="18"/>
      <w:szCs w:val="18"/>
    </w:rPr>
  </w:style>
  <w:style w:type="character" w:customStyle="1" w:styleId="csf229d0ff31">
    <w:name w:val="csf229d0ff31"/>
    <w:rsid w:val="003D03F3"/>
    <w:rPr>
      <w:rFonts w:ascii="Arial" w:hAnsi="Arial" w:cs="Arial" w:hint="default"/>
      <w:b w:val="0"/>
      <w:bCs w:val="0"/>
      <w:i w:val="0"/>
      <w:iCs w:val="0"/>
      <w:color w:val="000000"/>
      <w:sz w:val="18"/>
      <w:szCs w:val="18"/>
    </w:rPr>
  </w:style>
  <w:style w:type="character" w:customStyle="1" w:styleId="csb3e8c9cf66">
    <w:name w:val="csb3e8c9cf66"/>
    <w:rsid w:val="003D03F3"/>
    <w:rPr>
      <w:rFonts w:ascii="Arial" w:hAnsi="Arial" w:cs="Arial" w:hint="default"/>
      <w:b/>
      <w:bCs/>
      <w:i w:val="0"/>
      <w:iCs w:val="0"/>
      <w:color w:val="000000"/>
      <w:sz w:val="18"/>
      <w:szCs w:val="18"/>
    </w:rPr>
  </w:style>
  <w:style w:type="character" w:customStyle="1" w:styleId="csf229d0ff178">
    <w:name w:val="csf229d0ff178"/>
    <w:rsid w:val="003D03F3"/>
    <w:rPr>
      <w:rFonts w:ascii="Arial" w:hAnsi="Arial" w:cs="Arial" w:hint="default"/>
      <w:b w:val="0"/>
      <w:bCs w:val="0"/>
      <w:i w:val="0"/>
      <w:iCs w:val="0"/>
      <w:color w:val="000000"/>
      <w:sz w:val="18"/>
      <w:szCs w:val="18"/>
    </w:rPr>
  </w:style>
  <w:style w:type="character" w:customStyle="1" w:styleId="csb3e8c9cf163">
    <w:name w:val="csb3e8c9cf163"/>
    <w:rsid w:val="003D03F3"/>
    <w:rPr>
      <w:rFonts w:ascii="Arial" w:hAnsi="Arial" w:cs="Arial" w:hint="default"/>
      <w:b/>
      <w:bCs/>
      <w:i w:val="0"/>
      <w:iCs w:val="0"/>
      <w:color w:val="000000"/>
      <w:sz w:val="18"/>
      <w:szCs w:val="18"/>
    </w:rPr>
  </w:style>
  <w:style w:type="character" w:customStyle="1" w:styleId="csf229d0ff8">
    <w:name w:val="csf229d0ff8"/>
    <w:rsid w:val="003D03F3"/>
    <w:rPr>
      <w:rFonts w:ascii="Arial" w:hAnsi="Arial" w:cs="Arial" w:hint="default"/>
      <w:b w:val="0"/>
      <w:bCs w:val="0"/>
      <w:i w:val="0"/>
      <w:iCs w:val="0"/>
      <w:color w:val="000000"/>
      <w:sz w:val="18"/>
      <w:szCs w:val="18"/>
    </w:rPr>
  </w:style>
  <w:style w:type="character" w:customStyle="1" w:styleId="cs9b006263">
    <w:name w:val="cs9b006263"/>
    <w:rsid w:val="003D03F3"/>
    <w:rPr>
      <w:rFonts w:ascii="Arial" w:hAnsi="Arial" w:cs="Arial" w:hint="default"/>
      <w:b/>
      <w:bCs/>
      <w:i w:val="0"/>
      <w:iCs w:val="0"/>
      <w:color w:val="000000"/>
      <w:sz w:val="20"/>
      <w:szCs w:val="20"/>
    </w:rPr>
  </w:style>
  <w:style w:type="character" w:customStyle="1" w:styleId="csf229d0ff36">
    <w:name w:val="csf229d0ff36"/>
    <w:rsid w:val="003D03F3"/>
    <w:rPr>
      <w:rFonts w:ascii="Arial" w:hAnsi="Arial" w:cs="Arial" w:hint="default"/>
      <w:b w:val="0"/>
      <w:bCs w:val="0"/>
      <w:i w:val="0"/>
      <w:iCs w:val="0"/>
      <w:color w:val="000000"/>
      <w:sz w:val="18"/>
      <w:szCs w:val="18"/>
    </w:rPr>
  </w:style>
  <w:style w:type="character" w:customStyle="1" w:styleId="csf229d0ff100">
    <w:name w:val="csf229d0ff100"/>
    <w:rsid w:val="003D03F3"/>
    <w:rPr>
      <w:rFonts w:ascii="Arial" w:hAnsi="Arial" w:cs="Arial" w:hint="default"/>
      <w:b w:val="0"/>
      <w:bCs w:val="0"/>
      <w:i w:val="0"/>
      <w:iCs w:val="0"/>
      <w:color w:val="000000"/>
      <w:sz w:val="18"/>
      <w:szCs w:val="18"/>
    </w:rPr>
  </w:style>
  <w:style w:type="character" w:customStyle="1" w:styleId="csf229d0ff110">
    <w:name w:val="csf229d0ff110"/>
    <w:rsid w:val="003D03F3"/>
    <w:rPr>
      <w:rFonts w:ascii="Arial" w:hAnsi="Arial" w:cs="Arial" w:hint="default"/>
      <w:b w:val="0"/>
      <w:bCs w:val="0"/>
      <w:i w:val="0"/>
      <w:iCs w:val="0"/>
      <w:color w:val="000000"/>
      <w:sz w:val="18"/>
      <w:szCs w:val="18"/>
    </w:rPr>
  </w:style>
  <w:style w:type="character" w:customStyle="1" w:styleId="csf229d0ff125">
    <w:name w:val="csf229d0ff125"/>
    <w:rsid w:val="003D03F3"/>
    <w:rPr>
      <w:rFonts w:ascii="Arial" w:hAnsi="Arial" w:cs="Arial" w:hint="default"/>
      <w:b w:val="0"/>
      <w:bCs w:val="0"/>
      <w:i w:val="0"/>
      <w:iCs w:val="0"/>
      <w:color w:val="000000"/>
      <w:sz w:val="18"/>
      <w:szCs w:val="18"/>
    </w:rPr>
  </w:style>
  <w:style w:type="character" w:customStyle="1" w:styleId="csf229d0ff80">
    <w:name w:val="csf229d0ff80"/>
    <w:rsid w:val="003D03F3"/>
    <w:rPr>
      <w:rFonts w:ascii="Arial" w:hAnsi="Arial" w:cs="Arial" w:hint="default"/>
      <w:b w:val="0"/>
      <w:bCs w:val="0"/>
      <w:i w:val="0"/>
      <w:iCs w:val="0"/>
      <w:color w:val="000000"/>
      <w:sz w:val="18"/>
      <w:szCs w:val="18"/>
    </w:rPr>
  </w:style>
  <w:style w:type="character" w:customStyle="1" w:styleId="csf229d0ff102">
    <w:name w:val="csf229d0ff102"/>
    <w:rsid w:val="003D03F3"/>
    <w:rPr>
      <w:rFonts w:ascii="Arial" w:hAnsi="Arial" w:cs="Arial" w:hint="default"/>
      <w:b w:val="0"/>
      <w:bCs w:val="0"/>
      <w:i w:val="0"/>
      <w:iCs w:val="0"/>
      <w:color w:val="000000"/>
      <w:sz w:val="18"/>
      <w:szCs w:val="18"/>
    </w:rPr>
  </w:style>
  <w:style w:type="character" w:customStyle="1" w:styleId="csf229d0ff49">
    <w:name w:val="csf229d0ff49"/>
    <w:rsid w:val="003D03F3"/>
    <w:rPr>
      <w:rFonts w:ascii="Arial" w:hAnsi="Arial" w:cs="Arial" w:hint="default"/>
      <w:b w:val="0"/>
      <w:bCs w:val="0"/>
      <w:i w:val="0"/>
      <w:iCs w:val="0"/>
      <w:color w:val="000000"/>
      <w:sz w:val="18"/>
      <w:szCs w:val="18"/>
    </w:rPr>
  </w:style>
  <w:style w:type="character" w:customStyle="1" w:styleId="csab6e076954">
    <w:name w:val="csab6e076954"/>
    <w:rsid w:val="003D03F3"/>
    <w:rPr>
      <w:rFonts w:ascii="Arial" w:hAnsi="Arial" w:cs="Arial" w:hint="default"/>
      <w:b w:val="0"/>
      <w:bCs w:val="0"/>
      <w:i w:val="0"/>
      <w:iCs w:val="0"/>
      <w:color w:val="000000"/>
      <w:sz w:val="18"/>
      <w:szCs w:val="18"/>
    </w:rPr>
  </w:style>
  <w:style w:type="character" w:customStyle="1" w:styleId="csf562b9295">
    <w:name w:val="csf562b9295"/>
    <w:rsid w:val="003D03F3"/>
    <w:rPr>
      <w:rFonts w:ascii="Arial" w:hAnsi="Arial" w:cs="Arial" w:hint="default"/>
      <w:b/>
      <w:bCs/>
      <w:i/>
      <w:iCs/>
      <w:color w:val="000000"/>
      <w:sz w:val="18"/>
      <w:szCs w:val="18"/>
    </w:rPr>
  </w:style>
  <w:style w:type="character" w:customStyle="1" w:styleId="csf229d0ff142">
    <w:name w:val="csf229d0ff142"/>
    <w:rsid w:val="003D03F3"/>
    <w:rPr>
      <w:rFonts w:ascii="Arial" w:hAnsi="Arial" w:cs="Arial" w:hint="default"/>
      <w:b w:val="0"/>
      <w:bCs w:val="0"/>
      <w:i w:val="0"/>
      <w:iCs w:val="0"/>
      <w:color w:val="000000"/>
      <w:sz w:val="18"/>
      <w:szCs w:val="18"/>
    </w:rPr>
  </w:style>
  <w:style w:type="character" w:customStyle="1" w:styleId="csf229d0ff152">
    <w:name w:val="csf229d0ff152"/>
    <w:rsid w:val="003D03F3"/>
    <w:rPr>
      <w:rFonts w:ascii="Arial" w:hAnsi="Arial" w:cs="Arial" w:hint="default"/>
      <w:b w:val="0"/>
      <w:bCs w:val="0"/>
      <w:i w:val="0"/>
      <w:iCs w:val="0"/>
      <w:color w:val="000000"/>
      <w:sz w:val="18"/>
      <w:szCs w:val="18"/>
    </w:rPr>
  </w:style>
  <w:style w:type="character" w:customStyle="1" w:styleId="csf229d0ff95">
    <w:name w:val="csf229d0ff95"/>
    <w:rsid w:val="003D03F3"/>
    <w:rPr>
      <w:rFonts w:ascii="Arial" w:hAnsi="Arial" w:cs="Arial" w:hint="default"/>
      <w:b w:val="0"/>
      <w:bCs w:val="0"/>
      <w:i w:val="0"/>
      <w:iCs w:val="0"/>
      <w:color w:val="000000"/>
      <w:sz w:val="18"/>
      <w:szCs w:val="18"/>
    </w:rPr>
  </w:style>
  <w:style w:type="character" w:customStyle="1" w:styleId="csab6e076992">
    <w:name w:val="csab6e076992"/>
    <w:rsid w:val="003D03F3"/>
    <w:rPr>
      <w:rFonts w:ascii="Arial" w:hAnsi="Arial" w:cs="Arial" w:hint="default"/>
      <w:b w:val="0"/>
      <w:bCs w:val="0"/>
      <w:i w:val="0"/>
      <w:iCs w:val="0"/>
      <w:color w:val="000000"/>
      <w:sz w:val="18"/>
      <w:szCs w:val="18"/>
    </w:rPr>
  </w:style>
  <w:style w:type="character" w:customStyle="1" w:styleId="csab6e076975">
    <w:name w:val="csab6e076975"/>
    <w:rsid w:val="003D03F3"/>
    <w:rPr>
      <w:rFonts w:ascii="Arial" w:hAnsi="Arial" w:cs="Arial" w:hint="default"/>
      <w:b w:val="0"/>
      <w:bCs w:val="0"/>
      <w:i w:val="0"/>
      <w:iCs w:val="0"/>
      <w:color w:val="000000"/>
      <w:sz w:val="18"/>
      <w:szCs w:val="18"/>
    </w:rPr>
  </w:style>
  <w:style w:type="character" w:customStyle="1" w:styleId="csf229d0ff23">
    <w:name w:val="csf229d0ff23"/>
    <w:rsid w:val="003D03F3"/>
    <w:rPr>
      <w:rFonts w:ascii="Arial" w:hAnsi="Arial" w:cs="Arial" w:hint="default"/>
      <w:b w:val="0"/>
      <w:bCs w:val="0"/>
      <w:i w:val="0"/>
      <w:iCs w:val="0"/>
      <w:color w:val="000000"/>
      <w:sz w:val="18"/>
      <w:szCs w:val="18"/>
    </w:rPr>
  </w:style>
  <w:style w:type="character" w:customStyle="1" w:styleId="csab6e076944">
    <w:name w:val="csab6e076944"/>
    <w:rsid w:val="003D03F3"/>
    <w:rPr>
      <w:rFonts w:ascii="Arial" w:hAnsi="Arial" w:cs="Arial" w:hint="default"/>
      <w:b w:val="0"/>
      <w:bCs w:val="0"/>
      <w:i w:val="0"/>
      <w:iCs w:val="0"/>
      <w:color w:val="000000"/>
      <w:sz w:val="18"/>
      <w:szCs w:val="18"/>
    </w:rPr>
  </w:style>
  <w:style w:type="character" w:customStyle="1" w:styleId="csab6e076946">
    <w:name w:val="csab6e076946"/>
    <w:rsid w:val="003D03F3"/>
    <w:rPr>
      <w:rFonts w:ascii="Arial" w:hAnsi="Arial" w:cs="Arial" w:hint="default"/>
      <w:b w:val="0"/>
      <w:bCs w:val="0"/>
      <w:i w:val="0"/>
      <w:iCs w:val="0"/>
      <w:color w:val="000000"/>
      <w:sz w:val="18"/>
      <w:szCs w:val="18"/>
    </w:rPr>
  </w:style>
  <w:style w:type="character" w:customStyle="1" w:styleId="csf229d0ff103">
    <w:name w:val="csf229d0ff103"/>
    <w:rsid w:val="003D03F3"/>
    <w:rPr>
      <w:rFonts w:ascii="Arial" w:hAnsi="Arial" w:cs="Arial" w:hint="default"/>
      <w:b w:val="0"/>
      <w:bCs w:val="0"/>
      <w:i w:val="0"/>
      <w:iCs w:val="0"/>
      <w:color w:val="000000"/>
      <w:sz w:val="18"/>
      <w:szCs w:val="18"/>
    </w:rPr>
  </w:style>
  <w:style w:type="character" w:customStyle="1" w:styleId="csf229d0ff82">
    <w:name w:val="csf229d0ff82"/>
    <w:rsid w:val="003D03F3"/>
    <w:rPr>
      <w:rFonts w:ascii="Arial" w:hAnsi="Arial" w:cs="Arial" w:hint="default"/>
      <w:b w:val="0"/>
      <w:bCs w:val="0"/>
      <w:i w:val="0"/>
      <w:iCs w:val="0"/>
      <w:color w:val="000000"/>
      <w:sz w:val="18"/>
      <w:szCs w:val="18"/>
    </w:rPr>
  </w:style>
  <w:style w:type="character" w:customStyle="1" w:styleId="csf229d0ff101">
    <w:name w:val="csf229d0ff101"/>
    <w:rsid w:val="003D03F3"/>
    <w:rPr>
      <w:rFonts w:ascii="Arial" w:hAnsi="Arial" w:cs="Arial" w:hint="default"/>
      <w:b w:val="0"/>
      <w:bCs w:val="0"/>
      <w:i w:val="0"/>
      <w:iCs w:val="0"/>
      <w:color w:val="000000"/>
      <w:sz w:val="18"/>
      <w:szCs w:val="18"/>
    </w:rPr>
  </w:style>
  <w:style w:type="character" w:customStyle="1" w:styleId="csb3e8c9cf108">
    <w:name w:val="csb3e8c9cf108"/>
    <w:rsid w:val="003D03F3"/>
    <w:rPr>
      <w:rFonts w:ascii="Arial" w:hAnsi="Arial" w:cs="Arial" w:hint="default"/>
      <w:b/>
      <w:bCs/>
      <w:i w:val="0"/>
      <w:iCs w:val="0"/>
      <w:color w:val="000000"/>
      <w:sz w:val="18"/>
      <w:szCs w:val="18"/>
    </w:rPr>
  </w:style>
  <w:style w:type="character" w:customStyle="1" w:styleId="csf229d0ff107">
    <w:name w:val="csf229d0ff107"/>
    <w:rsid w:val="003D03F3"/>
    <w:rPr>
      <w:rFonts w:ascii="Arial" w:hAnsi="Arial" w:cs="Arial" w:hint="default"/>
      <w:b w:val="0"/>
      <w:bCs w:val="0"/>
      <w:i w:val="0"/>
      <w:iCs w:val="0"/>
      <w:color w:val="000000"/>
      <w:sz w:val="18"/>
      <w:szCs w:val="18"/>
    </w:rPr>
  </w:style>
  <w:style w:type="character" w:customStyle="1" w:styleId="csf562b9291">
    <w:name w:val="csf562b9291"/>
    <w:rsid w:val="003D03F3"/>
    <w:rPr>
      <w:rFonts w:ascii="Arial" w:hAnsi="Arial" w:cs="Arial" w:hint="default"/>
      <w:b/>
      <w:bCs/>
      <w:i/>
      <w:iCs/>
      <w:color w:val="000000"/>
      <w:sz w:val="18"/>
      <w:szCs w:val="18"/>
    </w:rPr>
  </w:style>
  <w:style w:type="character" w:customStyle="1" w:styleId="csab6e076993">
    <w:name w:val="csab6e076993"/>
    <w:rsid w:val="003D03F3"/>
    <w:rPr>
      <w:rFonts w:ascii="Arial" w:hAnsi="Arial" w:cs="Arial" w:hint="default"/>
      <w:b w:val="0"/>
      <w:bCs w:val="0"/>
      <w:i w:val="0"/>
      <w:iCs w:val="0"/>
      <w:color w:val="000000"/>
      <w:sz w:val="18"/>
      <w:szCs w:val="18"/>
    </w:rPr>
  </w:style>
  <w:style w:type="character" w:customStyle="1" w:styleId="csf229d0ff86">
    <w:name w:val="csf229d0ff86"/>
    <w:rsid w:val="003D03F3"/>
    <w:rPr>
      <w:rFonts w:ascii="Arial" w:hAnsi="Arial" w:cs="Arial" w:hint="default"/>
      <w:b w:val="0"/>
      <w:bCs w:val="0"/>
      <w:i w:val="0"/>
      <w:iCs w:val="0"/>
      <w:color w:val="000000"/>
      <w:sz w:val="18"/>
      <w:szCs w:val="18"/>
    </w:rPr>
  </w:style>
  <w:style w:type="character" w:customStyle="1" w:styleId="csba2942511">
    <w:name w:val="csba2942511"/>
    <w:rsid w:val="003D03F3"/>
    <w:rPr>
      <w:rFonts w:ascii="Segoe UI" w:hAnsi="Segoe UI" w:cs="Segoe UI" w:hint="default"/>
      <w:b/>
      <w:bCs/>
      <w:i/>
      <w:iCs/>
      <w:color w:val="102B56"/>
      <w:sz w:val="18"/>
      <w:szCs w:val="18"/>
    </w:rPr>
  </w:style>
  <w:style w:type="character" w:customStyle="1" w:styleId="csab6e076914">
    <w:name w:val="csab6e076914"/>
    <w:rsid w:val="003D03F3"/>
    <w:rPr>
      <w:rFonts w:ascii="Arial" w:hAnsi="Arial" w:cs="Arial" w:hint="default"/>
      <w:b w:val="0"/>
      <w:bCs w:val="0"/>
      <w:i w:val="0"/>
      <w:iCs w:val="0"/>
      <w:color w:val="000000"/>
      <w:sz w:val="18"/>
      <w:szCs w:val="18"/>
    </w:rPr>
  </w:style>
  <w:style w:type="character" w:customStyle="1" w:styleId="csf229d0ff134">
    <w:name w:val="csf229d0ff134"/>
    <w:rsid w:val="003D03F3"/>
    <w:rPr>
      <w:rFonts w:ascii="Arial" w:hAnsi="Arial" w:cs="Arial" w:hint="default"/>
      <w:b w:val="0"/>
      <w:bCs w:val="0"/>
      <w:i w:val="0"/>
      <w:iCs w:val="0"/>
      <w:color w:val="000000"/>
      <w:sz w:val="18"/>
      <w:szCs w:val="18"/>
    </w:rPr>
  </w:style>
  <w:style w:type="character" w:customStyle="1" w:styleId="csed36d4af2">
    <w:name w:val="csed36d4af2"/>
    <w:rsid w:val="003D03F3"/>
    <w:rPr>
      <w:rFonts w:ascii="Arial" w:hAnsi="Arial" w:cs="Arial" w:hint="default"/>
      <w:b/>
      <w:bCs/>
      <w:i/>
      <w:iCs/>
      <w:color w:val="000000"/>
      <w:sz w:val="20"/>
      <w:szCs w:val="20"/>
    </w:rPr>
  </w:style>
  <w:style w:type="character" w:customStyle="1" w:styleId="emailstyle45">
    <w:name w:val="emailstyle45"/>
    <w:semiHidden/>
    <w:rsid w:val="003D03F3"/>
    <w:rPr>
      <w:rFonts w:ascii="Calibri" w:hAnsi="Calibri" w:cs="Calibri" w:hint="default"/>
      <w:color w:val="auto"/>
    </w:rPr>
  </w:style>
  <w:style w:type="character" w:customStyle="1" w:styleId="error">
    <w:name w:val="error"/>
    <w:rsid w:val="003D03F3"/>
  </w:style>
  <w:style w:type="character" w:customStyle="1" w:styleId="TimesNewRoman121">
    <w:name w:val="Стиль Times New Roman 12 пт1"/>
    <w:rsid w:val="003D03F3"/>
    <w:rPr>
      <w:rFonts w:ascii="Times New Roman" w:hAnsi="Times New Roman" w:cs="Times New Roman" w:hint="default"/>
    </w:rPr>
  </w:style>
  <w:style w:type="character" w:customStyle="1" w:styleId="csccf5e31620">
    <w:name w:val="csccf5e31620"/>
    <w:rsid w:val="003D03F3"/>
    <w:rPr>
      <w:rFonts w:ascii="Arial" w:hAnsi="Arial" w:cs="Arial" w:hint="default"/>
      <w:b/>
      <w:bCs/>
      <w:i w:val="0"/>
      <w:iCs w:val="0"/>
      <w:color w:val="000000"/>
      <w:sz w:val="18"/>
      <w:szCs w:val="18"/>
    </w:rPr>
  </w:style>
  <w:style w:type="character" w:customStyle="1" w:styleId="cs9ff1b61120">
    <w:name w:val="cs9ff1b61120"/>
    <w:rsid w:val="003D03F3"/>
    <w:rPr>
      <w:rFonts w:ascii="Arial" w:hAnsi="Arial" w:cs="Arial" w:hint="default"/>
      <w:b w:val="0"/>
      <w:bCs w:val="0"/>
      <w:i w:val="0"/>
      <w:iCs w:val="0"/>
      <w:color w:val="000000"/>
      <w:sz w:val="18"/>
      <w:szCs w:val="18"/>
    </w:rPr>
  </w:style>
  <w:style w:type="character" w:customStyle="1" w:styleId="cs9ff1b61111">
    <w:name w:val="cs9ff1b61111"/>
    <w:rsid w:val="003D03F3"/>
    <w:rPr>
      <w:rFonts w:ascii="Arial" w:hAnsi="Arial" w:cs="Arial" w:hint="default"/>
      <w:b w:val="0"/>
      <w:bCs w:val="0"/>
      <w:i w:val="0"/>
      <w:iCs w:val="0"/>
      <w:color w:val="000000"/>
      <w:sz w:val="18"/>
      <w:szCs w:val="18"/>
    </w:rPr>
  </w:style>
  <w:style w:type="character" w:customStyle="1" w:styleId="cs9ff1b611205">
    <w:name w:val="cs9ff1b611205"/>
    <w:rsid w:val="003D03F3"/>
    <w:rPr>
      <w:rFonts w:ascii="Arial" w:hAnsi="Arial" w:cs="Arial" w:hint="default"/>
      <w:b w:val="0"/>
      <w:bCs w:val="0"/>
      <w:i w:val="0"/>
      <w:iCs w:val="0"/>
      <w:color w:val="000000"/>
      <w:sz w:val="18"/>
      <w:szCs w:val="18"/>
    </w:rPr>
  </w:style>
  <w:style w:type="character" w:customStyle="1" w:styleId="csab6e0769173">
    <w:name w:val="csab6e0769173"/>
    <w:rsid w:val="003D03F3"/>
    <w:rPr>
      <w:rFonts w:ascii="Arial" w:hAnsi="Arial" w:cs="Arial" w:hint="default"/>
      <w:b w:val="0"/>
      <w:bCs w:val="0"/>
      <w:i w:val="0"/>
      <w:iCs w:val="0"/>
      <w:color w:val="000000"/>
      <w:sz w:val="18"/>
      <w:szCs w:val="18"/>
    </w:rPr>
  </w:style>
  <w:style w:type="character" w:customStyle="1" w:styleId="cs9ff1b61121">
    <w:name w:val="cs9ff1b61121"/>
    <w:rsid w:val="003D03F3"/>
    <w:rPr>
      <w:rFonts w:ascii="Arial" w:hAnsi="Arial" w:cs="Arial" w:hint="default"/>
      <w:b w:val="0"/>
      <w:bCs w:val="0"/>
      <w:i w:val="0"/>
      <w:iCs w:val="0"/>
      <w:color w:val="000000"/>
      <w:sz w:val="18"/>
      <w:szCs w:val="18"/>
    </w:rPr>
  </w:style>
  <w:style w:type="character" w:customStyle="1" w:styleId="csccf5e316219">
    <w:name w:val="csccf5e316219"/>
    <w:rsid w:val="003D03F3"/>
    <w:rPr>
      <w:rFonts w:ascii="Arial" w:hAnsi="Arial" w:cs="Arial" w:hint="default"/>
      <w:b/>
      <w:bCs/>
      <w:i w:val="0"/>
      <w:iCs w:val="0"/>
      <w:color w:val="000000"/>
      <w:sz w:val="18"/>
      <w:szCs w:val="18"/>
    </w:rPr>
  </w:style>
  <w:style w:type="character" w:customStyle="1" w:styleId="cs9ff1b611210">
    <w:name w:val="cs9ff1b611210"/>
    <w:rsid w:val="003D03F3"/>
    <w:rPr>
      <w:rFonts w:ascii="Arial" w:hAnsi="Arial" w:cs="Arial" w:hint="default"/>
      <w:b w:val="0"/>
      <w:bCs w:val="0"/>
      <w:i w:val="0"/>
      <w:iCs w:val="0"/>
      <w:color w:val="000000"/>
      <w:sz w:val="18"/>
      <w:szCs w:val="18"/>
    </w:rPr>
  </w:style>
  <w:style w:type="character" w:customStyle="1" w:styleId="csab6e076970">
    <w:name w:val="csab6e076970"/>
    <w:rsid w:val="003D03F3"/>
    <w:rPr>
      <w:rFonts w:ascii="Arial" w:hAnsi="Arial" w:cs="Arial" w:hint="default"/>
      <w:b w:val="0"/>
      <w:bCs w:val="0"/>
      <w:i w:val="0"/>
      <w:iCs w:val="0"/>
      <w:color w:val="000000"/>
      <w:sz w:val="18"/>
      <w:szCs w:val="18"/>
    </w:rPr>
  </w:style>
  <w:style w:type="table" w:styleId="1e">
    <w:name w:val="Table Simple 1"/>
    <w:basedOn w:val="a1"/>
    <w:uiPriority w:val="99"/>
    <w:semiHidden/>
    <w:unhideWhenUsed/>
    <w:rsid w:val="003D03F3"/>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aff">
    <w:name w:val="Table Grid"/>
    <w:basedOn w:val="a1"/>
    <w:rsid w:val="003D03F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3D03F3"/>
    <w:rPr>
      <w:lang w:val="uk-UA"/>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98891">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869073160">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 w:id="1544710768">
      <w:bodyDiv w:val="1"/>
      <w:marLeft w:val="0"/>
      <w:marRight w:val="0"/>
      <w:marTop w:val="0"/>
      <w:marBottom w:val="0"/>
      <w:divBdr>
        <w:top w:val="none" w:sz="0" w:space="0" w:color="auto"/>
        <w:left w:val="none" w:sz="0" w:space="0" w:color="auto"/>
        <w:bottom w:val="none" w:sz="0" w:space="0" w:color="auto"/>
        <w:right w:val="none" w:sz="0" w:space="0" w:color="auto"/>
      </w:divBdr>
    </w:div>
    <w:div w:id="208047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D13CB-7B8E-4102-B357-4A4A15BA2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106598</Words>
  <Characters>607609</Characters>
  <Application>Microsoft Office Word</Application>
  <DocSecurity>0</DocSecurity>
  <Lines>5063</Lines>
  <Paragraphs>1425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712782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2023-05-23T14:14:00Z</cp:lastPrinted>
  <dcterms:created xsi:type="dcterms:W3CDTF">2023-06-12T12:58:00Z</dcterms:created>
  <dcterms:modified xsi:type="dcterms:W3CDTF">2023-06-12T12:58:00Z</dcterms:modified>
</cp:coreProperties>
</file>