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814660" w:rsidTr="0058139A">
        <w:tc>
          <w:tcPr>
            <w:tcW w:w="3271" w:type="dxa"/>
          </w:tcPr>
          <w:p w:rsidR="0058139A" w:rsidRPr="00814660" w:rsidRDefault="0058139A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814660" w:rsidRDefault="0058139A" w:rsidP="00A93E77">
            <w:pPr>
              <w:rPr>
                <w:sz w:val="28"/>
                <w:szCs w:val="28"/>
                <w:lang w:val="uk-UA"/>
              </w:rPr>
            </w:pPr>
            <w:r w:rsidRPr="00814660">
              <w:rPr>
                <w:sz w:val="28"/>
                <w:szCs w:val="28"/>
                <w:lang w:val="uk-UA"/>
              </w:rPr>
              <w:t>29  грудня 2022 року</w:t>
            </w:r>
            <w:r w:rsidR="008C4BFD" w:rsidRPr="00814660">
              <w:rPr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2129" w:type="dxa"/>
          </w:tcPr>
          <w:p w:rsidR="008C4BFD" w:rsidRPr="00814660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814660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14660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58139A" w:rsidRPr="00814660" w:rsidRDefault="0058139A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814660" w:rsidRDefault="00A77A6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14660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58139A" w:rsidRPr="00814660">
              <w:rPr>
                <w:sz w:val="28"/>
                <w:szCs w:val="28"/>
                <w:lang w:val="uk-UA"/>
              </w:rPr>
              <w:t>№ 2369</w:t>
            </w:r>
          </w:p>
          <w:p w:rsidR="00F61F7E" w:rsidRPr="00814660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14660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814660" w:rsidRDefault="00F61F7E" w:rsidP="00814660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14660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Pr="00665FBE" w:rsidRDefault="00917598" w:rsidP="00FC73F7">
      <w:pPr>
        <w:ind w:firstLine="720"/>
        <w:jc w:val="both"/>
        <w:rPr>
          <w:sz w:val="28"/>
          <w:szCs w:val="28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</w:t>
      </w:r>
      <w:r w:rsidR="00422A74" w:rsidRPr="003B190D">
        <w:rPr>
          <w:rFonts w:ascii="Times New Roman" w:hAnsi="Times New Roman"/>
          <w:sz w:val="28"/>
          <w:szCs w:val="28"/>
          <w:lang w:val="uk-UA"/>
        </w:rPr>
        <w:t xml:space="preserve">медичний імунобіологічний препарат, препарат крові, поданий на екстрену державну </w:t>
      </w:r>
      <w:r w:rsidR="00422A74" w:rsidRPr="000E1939">
        <w:rPr>
          <w:rFonts w:ascii="Times New Roman" w:hAnsi="Times New Roman"/>
          <w:sz w:val="28"/>
          <w:szCs w:val="28"/>
          <w:lang w:val="uk-UA"/>
        </w:rPr>
        <w:t>реєстрацію</w:t>
      </w:r>
      <w:r w:rsidR="00277C8C" w:rsidRPr="000E1939">
        <w:rPr>
          <w:rFonts w:ascii="Times New Roman" w:hAnsi="Times New Roman"/>
          <w:sz w:val="28"/>
          <w:szCs w:val="28"/>
          <w:lang w:val="uk-UA"/>
        </w:rPr>
        <w:t>,</w:t>
      </w:r>
      <w:r w:rsidR="00F753C3" w:rsidRPr="000E1939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32232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467">
        <w:rPr>
          <w:rFonts w:ascii="Times New Roman" w:hAnsi="Times New Roman"/>
          <w:sz w:val="28"/>
          <w:szCs w:val="28"/>
          <w:lang w:val="uk-UA"/>
        </w:rPr>
        <w:t>23</w:t>
      </w:r>
      <w:r w:rsidR="00692C82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939" w:rsidRPr="000E1939">
        <w:rPr>
          <w:rFonts w:ascii="Times New Roman" w:hAnsi="Times New Roman"/>
          <w:sz w:val="28"/>
          <w:szCs w:val="28"/>
          <w:lang w:val="uk-UA"/>
        </w:rPr>
        <w:t>грудня</w:t>
      </w:r>
      <w:r w:rsidR="00692C82" w:rsidRPr="000E1939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332232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3C3" w:rsidRPr="000E1939">
        <w:rPr>
          <w:rFonts w:ascii="Times New Roman" w:hAnsi="Times New Roman"/>
          <w:sz w:val="28"/>
          <w:szCs w:val="28"/>
          <w:lang w:val="uk-UA"/>
        </w:rPr>
        <w:t>та</w:t>
      </w:r>
      <w:r w:rsidR="004F4794" w:rsidRPr="000E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C62" w:rsidRPr="000E1939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0E1939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0E1939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0E1939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0E1939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905781" w:rsidRDefault="004F4794" w:rsidP="00422A74">
      <w:pPr>
        <w:pStyle w:val="HTML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747C13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="00A34430">
        <w:rPr>
          <w:sz w:val="28"/>
          <w:szCs w:val="28"/>
          <w:lang w:val="uk-UA"/>
        </w:rPr>
        <w:t>,</w:t>
      </w:r>
      <w:r w:rsidRPr="00EE2C62">
        <w:rPr>
          <w:sz w:val="28"/>
          <w:szCs w:val="28"/>
          <w:lang w:val="uk-UA"/>
        </w:rPr>
        <w:t xml:space="preserve"> </w:t>
      </w:r>
      <w:r w:rsidR="00A34430" w:rsidRPr="00A34430">
        <w:rPr>
          <w:sz w:val="28"/>
          <w:szCs w:val="28"/>
          <w:lang w:val="uk-UA"/>
        </w:rPr>
        <w:t>медичн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імунобіологічн</w:t>
      </w:r>
      <w:r w:rsidR="00A34430">
        <w:rPr>
          <w:sz w:val="28"/>
          <w:szCs w:val="28"/>
          <w:lang w:val="uk-UA"/>
        </w:rPr>
        <w:t>і</w:t>
      </w:r>
      <w:r w:rsidR="00A34430" w:rsidRPr="00A34430">
        <w:rPr>
          <w:sz w:val="28"/>
          <w:szCs w:val="28"/>
          <w:lang w:val="uk-UA"/>
        </w:rPr>
        <w:t xml:space="preserve">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>, препарат</w:t>
      </w:r>
      <w:r w:rsidR="00A34430">
        <w:rPr>
          <w:sz w:val="28"/>
          <w:szCs w:val="28"/>
          <w:lang w:val="uk-UA"/>
        </w:rPr>
        <w:t>и</w:t>
      </w:r>
      <w:r w:rsidR="00A34430" w:rsidRPr="00A34430">
        <w:rPr>
          <w:sz w:val="28"/>
          <w:szCs w:val="28"/>
          <w:lang w:val="uk-UA"/>
        </w:rPr>
        <w:t xml:space="preserve"> крові</w:t>
      </w:r>
      <w:r w:rsidR="00B22D29">
        <w:rPr>
          <w:sz w:val="28"/>
          <w:szCs w:val="28"/>
          <w:lang w:val="uk-UA"/>
        </w:rPr>
        <w:t xml:space="preserve"> </w:t>
      </w:r>
      <w:r w:rsidRPr="00EE2C62">
        <w:rPr>
          <w:sz w:val="28"/>
          <w:szCs w:val="28"/>
          <w:lang w:val="uk-UA"/>
        </w:rPr>
        <w:t>згідно з додатк</w:t>
      </w:r>
      <w:r w:rsidR="00061BA2">
        <w:rPr>
          <w:sz w:val="28"/>
          <w:szCs w:val="28"/>
          <w:lang w:val="uk-UA"/>
        </w:rPr>
        <w:t>ом</w:t>
      </w:r>
      <w:r w:rsidR="00CB6908">
        <w:rPr>
          <w:sz w:val="28"/>
          <w:szCs w:val="28"/>
          <w:lang w:val="uk-UA"/>
        </w:rPr>
        <w:t>.</w:t>
      </w:r>
    </w:p>
    <w:p w:rsidR="00BE64DF" w:rsidRPr="00665FBE" w:rsidRDefault="00BE64DF" w:rsidP="00747C13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657959" w:rsidRPr="00BE64DF" w:rsidRDefault="00657959" w:rsidP="00747C13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Фармацевтичному директорату (Іван Задворних) забезпечити оприлюднення цього наказу на офіційному вебсайті </w:t>
      </w:r>
      <w:r w:rsidR="008F1541">
        <w:rPr>
          <w:sz w:val="28"/>
          <w:szCs w:val="28"/>
          <w:lang w:val="uk-UA"/>
        </w:rPr>
        <w:t>Міністерства охорони здоров’я України.</w:t>
      </w:r>
    </w:p>
    <w:p w:rsidR="00927311" w:rsidRPr="00665FBE" w:rsidRDefault="00927311" w:rsidP="00747C13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0D32CE" w:rsidP="00747C13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7D3339">
        <w:rPr>
          <w:sz w:val="28"/>
          <w:szCs w:val="28"/>
          <w:lang w:val="uk-UA"/>
        </w:rPr>
        <w:t>покласти</w:t>
      </w:r>
      <w:r w:rsidR="00747C13">
        <w:rPr>
          <w:sz w:val="28"/>
          <w:szCs w:val="28"/>
          <w:lang w:val="uk-UA"/>
        </w:rPr>
        <w:t xml:space="preserve"> на першого заступника Міністра Олександра Комаріду</w:t>
      </w:r>
      <w:r w:rsidRPr="005418EE">
        <w:rPr>
          <w:sz w:val="28"/>
          <w:szCs w:val="28"/>
          <w:lang w:val="uk-UA"/>
        </w:rPr>
        <w:t>.</w:t>
      </w:r>
    </w:p>
    <w:p w:rsidR="000D32CE" w:rsidRDefault="000D32CE" w:rsidP="00747C13">
      <w:pPr>
        <w:pStyle w:val="31"/>
        <w:spacing w:after="0"/>
        <w:ind w:left="0" w:firstLine="709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C02F7">
        <w:rPr>
          <w:b/>
          <w:sz w:val="28"/>
          <w:szCs w:val="28"/>
          <w:lang w:val="uk-UA"/>
        </w:rPr>
        <w:t xml:space="preserve">                               </w:t>
      </w:r>
      <w:r w:rsidR="00665FBE">
        <w:rPr>
          <w:b/>
          <w:sz w:val="28"/>
          <w:szCs w:val="28"/>
          <w:lang w:val="uk-UA"/>
        </w:rPr>
        <w:t xml:space="preserve">                                                   </w:t>
      </w:r>
      <w:r w:rsidR="005C02F7">
        <w:rPr>
          <w:b/>
          <w:sz w:val="28"/>
          <w:szCs w:val="28"/>
          <w:lang w:val="uk-UA"/>
        </w:rPr>
        <w:t xml:space="preserve">           </w:t>
      </w:r>
      <w:r w:rsidR="00665FBE">
        <w:rPr>
          <w:b/>
          <w:sz w:val="28"/>
          <w:szCs w:val="28"/>
          <w:lang w:val="uk-UA"/>
        </w:rPr>
        <w:t>Віктор ЛЯШКО</w:t>
      </w:r>
    </w:p>
    <w:p w:rsidR="00814660" w:rsidRDefault="00814660" w:rsidP="00BE64DF">
      <w:pPr>
        <w:rPr>
          <w:b/>
          <w:sz w:val="28"/>
          <w:szCs w:val="28"/>
          <w:lang w:val="uk-UA"/>
        </w:rPr>
        <w:sectPr w:rsidR="00814660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814660" w:rsidRPr="007E524B" w:rsidTr="00C10606">
        <w:tc>
          <w:tcPr>
            <w:tcW w:w="3825" w:type="dxa"/>
            <w:hideMark/>
          </w:tcPr>
          <w:p w:rsidR="00814660" w:rsidRPr="00814660" w:rsidRDefault="00814660" w:rsidP="0081466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814660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814660" w:rsidRPr="00814660" w:rsidRDefault="00814660" w:rsidP="0081466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814660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814660" w:rsidRPr="00814660" w:rsidRDefault="00814660" w:rsidP="0081466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814660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814660" w:rsidRPr="00910DA1" w:rsidRDefault="00814660" w:rsidP="0081466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29 грудня 2022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2369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814660" w:rsidRDefault="00814660" w:rsidP="0081466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814660" w:rsidRPr="00EF2F51" w:rsidRDefault="00814660" w:rsidP="0081466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814660" w:rsidRPr="00604A81" w:rsidRDefault="00814660" w:rsidP="0081466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814660" w:rsidRPr="005D7AC1" w:rsidRDefault="00814660" w:rsidP="00814660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276"/>
        <w:gridCol w:w="850"/>
        <w:gridCol w:w="3969"/>
        <w:gridCol w:w="1134"/>
        <w:gridCol w:w="1701"/>
        <w:gridCol w:w="1136"/>
        <w:gridCol w:w="851"/>
        <w:gridCol w:w="1558"/>
      </w:tblGrid>
      <w:tr w:rsidR="00814660" w:rsidRPr="00B3706C" w:rsidTr="0081466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6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8146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8146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D9D9D9"/>
          </w:tcPr>
          <w:p w:rsidR="00814660" w:rsidRPr="00B3706C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14660" w:rsidRPr="00EF0EB5" w:rsidTr="0081466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660" w:rsidRPr="00B3706C" w:rsidRDefault="00814660" w:rsidP="0081466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660" w:rsidRPr="00EF0EB5" w:rsidRDefault="00814660" w:rsidP="00C1060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sz w:val="16"/>
                <w:szCs w:val="16"/>
              </w:rPr>
              <w:t>АЗАЦИТИДИН АККОРД/AZACITIDINE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порошок для приготування суспензії для ін'єкцій, 25 мг/мл флакон по 100 мг, по 1 флакону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Б.В., Нідерланди; 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з.о.о., Польща; 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Брокацеф Хелскеа Лоджістікс Б.В., Нідерланди;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фізико-хімічний контроль: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хіміко-фізичний, мікробіологічний контроль, додаткове вторинне пакування, відповідальний за випуск серії: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 xml:space="preserve">Пріспек Яцек Каронський, Польща; 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хіміко-фізичний, мікробіологічний контроль: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Фармавалід Лтд., Мікробіологічна Лабораторія, Угорщина;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хіміко-фізичний, мікробіологічний контроль, додаткове 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</w:p>
          <w:p w:rsidR="00814660" w:rsidRPr="00EF0EB5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14660" w:rsidRPr="00EF0EB5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8146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8146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UA/19855/01/01</w:t>
            </w:r>
          </w:p>
        </w:tc>
      </w:tr>
      <w:tr w:rsidR="00814660" w:rsidRPr="00EF0EB5" w:rsidTr="0081466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660" w:rsidRPr="00B3706C" w:rsidRDefault="00814660" w:rsidP="0081466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660" w:rsidRPr="00EF0EB5" w:rsidRDefault="00814660" w:rsidP="00C1060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273CB">
              <w:rPr>
                <w:rFonts w:ascii="Arial" w:hAnsi="Arial" w:cs="Arial"/>
                <w:b/>
                <w:sz w:val="16"/>
                <w:szCs w:val="16"/>
              </w:rPr>
              <w:t xml:space="preserve">ДОЦЕТАКСЕЛ </w:t>
            </w:r>
            <w:r w:rsidRPr="009273CB">
              <w:rPr>
                <w:rFonts w:ascii="Arial" w:hAnsi="Arial" w:cs="Arial"/>
                <w:b/>
                <w:sz w:val="16"/>
                <w:szCs w:val="16"/>
              </w:rPr>
              <w:lastRenderedPageBreak/>
              <w:t>АККОРД/DOCETAXEL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 xml:space="preserve">концентрат </w:t>
            </w: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 xml:space="preserve">для розчину для інфузій 20 мг/мл по 20 мг/1 мл або 80 мг/4 мл у флаконі, по 1 флакону у пачці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 xml:space="preserve">Аккорд </w:t>
            </w: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 xml:space="preserve">Хелскеа С.Л.У.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>Іспанiя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</w: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>Аккорд Хелскеа Лімітед, Велика Британія;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o.o., Польща;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ДЧЛ Саплі Чейн (Італія), Італія;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Інтас Фармасьютікалс Лтд., Індія;</w:t>
            </w:r>
          </w:p>
          <w:p w:rsidR="00814660" w:rsidRPr="00EF0EB5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Інтас Фармасьютікалс Лтд., Індія;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Онко Ілак Сан. Ве Тідж. А.С., Туреччина;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273CB">
              <w:rPr>
                <w:rFonts w:ascii="Arial" w:hAnsi="Arial" w:cs="Arial"/>
                <w:sz w:val="16"/>
                <w:szCs w:val="16"/>
              </w:rPr>
              <w:br/>
              <w:t>Фармадокс Хелскеа Лімітед, 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 xml:space="preserve">Велика </w:t>
            </w: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>Британія/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14660" w:rsidRPr="009273CB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814660" w:rsidRPr="00EF0EB5" w:rsidRDefault="00814660" w:rsidP="00C1060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73CB">
              <w:rPr>
                <w:rFonts w:ascii="Arial" w:hAnsi="Arial" w:cs="Arial"/>
                <w:sz w:val="16"/>
                <w:szCs w:val="16"/>
              </w:rPr>
              <w:lastRenderedPageBreak/>
              <w:t>реєстрація на 1 рік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8146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  <w:r w:rsidRPr="009273CB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EF0EB5" w:rsidRDefault="00814660" w:rsidP="008146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73CB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9273CB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660" w:rsidRPr="00C374CA" w:rsidRDefault="00814660" w:rsidP="00C1060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374CA">
              <w:rPr>
                <w:rFonts w:ascii="Arial" w:hAnsi="Arial" w:cs="Arial"/>
                <w:bCs/>
                <w:sz w:val="16"/>
                <w:szCs w:val="16"/>
              </w:rPr>
              <w:lastRenderedPageBreak/>
              <w:t>UA/19856/01/01</w:t>
            </w:r>
          </w:p>
        </w:tc>
      </w:tr>
    </w:tbl>
    <w:p w:rsidR="00814660" w:rsidRDefault="00814660" w:rsidP="00814660">
      <w:pPr>
        <w:ind w:right="20"/>
        <w:rPr>
          <w:b/>
          <w:bCs/>
          <w:sz w:val="26"/>
          <w:szCs w:val="26"/>
        </w:rPr>
      </w:pPr>
    </w:p>
    <w:p w:rsidR="00814660" w:rsidRDefault="00814660" w:rsidP="00814660">
      <w:pPr>
        <w:ind w:right="20"/>
        <w:rPr>
          <w:b/>
          <w:bCs/>
          <w:sz w:val="26"/>
          <w:szCs w:val="26"/>
        </w:rPr>
      </w:pPr>
    </w:p>
    <w:p w:rsidR="00814660" w:rsidRDefault="00814660" w:rsidP="00814660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14660" w:rsidRPr="00EF2F51" w:rsidTr="00C10606">
        <w:tc>
          <w:tcPr>
            <w:tcW w:w="7421" w:type="dxa"/>
          </w:tcPr>
          <w:p w:rsidR="00814660" w:rsidRDefault="00814660" w:rsidP="00C10606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814660" w:rsidRPr="00EF2F51" w:rsidRDefault="00814660" w:rsidP="00C10606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814660" w:rsidRPr="00EF2F51" w:rsidRDefault="00814660" w:rsidP="00C10606">
            <w:pPr>
              <w:rPr>
                <w:b/>
                <w:bCs/>
                <w:sz w:val="28"/>
                <w:szCs w:val="28"/>
              </w:rPr>
            </w:pPr>
          </w:p>
          <w:p w:rsidR="00814660" w:rsidRPr="00EF2F51" w:rsidRDefault="00814660" w:rsidP="00C1060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814660" w:rsidRPr="007E524B" w:rsidRDefault="00814660" w:rsidP="00814660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814660" w:rsidRDefault="00814660" w:rsidP="00BE64DF">
      <w:pPr>
        <w:rPr>
          <w:b/>
          <w:sz w:val="28"/>
          <w:szCs w:val="28"/>
          <w:lang w:val="uk-UA"/>
        </w:rPr>
      </w:pPr>
    </w:p>
    <w:sectPr w:rsidR="00814660" w:rsidSect="00C10606">
      <w:headerReference w:type="default" r:id="rId13"/>
      <w:footerReference w:type="default" r:id="rId14"/>
      <w:pgSz w:w="16838" w:h="11906" w:orient="landscape"/>
      <w:pgMar w:top="993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06" w:rsidRDefault="00C10606" w:rsidP="00B217C6">
      <w:r>
        <w:separator/>
      </w:r>
    </w:p>
  </w:endnote>
  <w:endnote w:type="continuationSeparator" w:id="0">
    <w:p w:rsidR="00C10606" w:rsidRDefault="00C10606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606" w:rsidRDefault="00C10606">
    <w:pPr>
      <w:pStyle w:val="a5"/>
      <w:jc w:val="center"/>
    </w:pPr>
  </w:p>
  <w:p w:rsidR="00C10606" w:rsidRDefault="00C106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06" w:rsidRDefault="00C10606" w:rsidP="00B217C6">
      <w:r>
        <w:separator/>
      </w:r>
    </w:p>
  </w:footnote>
  <w:footnote w:type="continuationSeparator" w:id="0">
    <w:p w:rsidR="00C10606" w:rsidRDefault="00C10606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606" w:rsidRDefault="00C10606" w:rsidP="00C10606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14660">
      <w:rPr>
        <w:noProof/>
      </w:rPr>
      <w:t>3</w:t>
    </w:r>
    <w:r>
      <w:fldChar w:fldCharType="end"/>
    </w:r>
  </w:p>
  <w:p w:rsidR="00814660" w:rsidRDefault="00814660" w:rsidP="00C10606">
    <w:pPr>
      <w:pStyle w:val="a3"/>
      <w:tabs>
        <w:tab w:val="center" w:pos="7313"/>
        <w:tab w:val="left" w:pos="11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467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2E4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4DCC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39A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3862"/>
    <w:rsid w:val="006170A7"/>
    <w:rsid w:val="00624EF4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57959"/>
    <w:rsid w:val="00660B24"/>
    <w:rsid w:val="00661209"/>
    <w:rsid w:val="0066243F"/>
    <w:rsid w:val="00663FC7"/>
    <w:rsid w:val="00665FBE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47C13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339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4660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431D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1541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3AC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77A60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061CA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37E5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0606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B7846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AB5D31-1E47-40B6-B34B-833B60AF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657959"/>
    <w:pPr>
      <w:ind w:left="708"/>
    </w:pPr>
  </w:style>
  <w:style w:type="paragraph" w:customStyle="1" w:styleId="11">
    <w:name w:val="Обычный11"/>
    <w:aliases w:val="Звичайний,Normal"/>
    <w:basedOn w:val="a"/>
    <w:qFormat/>
    <w:rsid w:val="00814660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9622-3EFA-4B3F-8A19-1E85195B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2023-01-03T12:19:00Z</dcterms:created>
  <dcterms:modified xsi:type="dcterms:W3CDTF">2023-01-03T12:19:00Z</dcterms:modified>
</cp:coreProperties>
</file>