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596B21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596B21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596B21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596B21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596B21" w:rsidRDefault="00674BA1" w:rsidP="00674BA1">
      <w:pPr>
        <w:rPr>
          <w:lang w:val="uk-UA"/>
        </w:rPr>
      </w:pPr>
    </w:p>
    <w:p w:rsidR="008C4BFD" w:rsidRPr="00596B21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596B21">
        <w:rPr>
          <w:b/>
          <w:spacing w:val="60"/>
          <w:sz w:val="30"/>
          <w:szCs w:val="30"/>
          <w:lang w:val="uk-UA"/>
        </w:rPr>
        <w:t>НАКАЗ</w:t>
      </w:r>
    </w:p>
    <w:p w:rsidR="008C4BFD" w:rsidRPr="00596B21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596B21" w:rsidTr="004D0BB0">
        <w:tc>
          <w:tcPr>
            <w:tcW w:w="3271" w:type="dxa"/>
          </w:tcPr>
          <w:p w:rsidR="004D0BB0" w:rsidRPr="00596B21" w:rsidRDefault="004D0BB0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596B21" w:rsidRDefault="004D0BB0" w:rsidP="00A93E77">
            <w:pPr>
              <w:rPr>
                <w:sz w:val="28"/>
                <w:szCs w:val="28"/>
                <w:lang w:val="uk-UA"/>
              </w:rPr>
            </w:pPr>
            <w:r w:rsidRPr="00596B21">
              <w:rPr>
                <w:sz w:val="28"/>
                <w:szCs w:val="28"/>
                <w:lang w:val="uk-UA"/>
              </w:rPr>
              <w:t>29 грудня 2022 року</w:t>
            </w:r>
            <w:r w:rsidR="008C4BFD" w:rsidRPr="00596B21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129" w:type="dxa"/>
          </w:tcPr>
          <w:p w:rsidR="008C4BFD" w:rsidRPr="00596B21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596B21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596B21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4D0BB0" w:rsidRPr="00596B21" w:rsidRDefault="004D0BB0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Pr="00596B21" w:rsidRDefault="004D0BB0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596B21">
              <w:rPr>
                <w:sz w:val="28"/>
                <w:szCs w:val="28"/>
                <w:lang w:val="uk-UA"/>
              </w:rPr>
              <w:t xml:space="preserve">                                               № 2379</w:t>
            </w:r>
          </w:p>
          <w:p w:rsidR="00F61F7E" w:rsidRPr="00596B21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596B21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8C4BFD" w:rsidRPr="00596B21" w:rsidRDefault="00F61F7E" w:rsidP="00596B21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596B21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FF071A" w:rsidRPr="00596B21" w:rsidRDefault="00FF071A" w:rsidP="00FF071A">
      <w:pPr>
        <w:jc w:val="both"/>
        <w:rPr>
          <w:b/>
          <w:sz w:val="28"/>
          <w:szCs w:val="28"/>
          <w:lang w:val="uk-UA"/>
        </w:rPr>
      </w:pPr>
      <w:r w:rsidRPr="00596B21">
        <w:rPr>
          <w:b/>
          <w:sz w:val="28"/>
          <w:szCs w:val="28"/>
          <w:lang w:val="uk-UA"/>
        </w:rPr>
        <w:t xml:space="preserve">Про </w:t>
      </w:r>
      <w:r w:rsidR="00BA1EB2" w:rsidRPr="00596B21">
        <w:rPr>
          <w:b/>
          <w:sz w:val="28"/>
          <w:szCs w:val="28"/>
          <w:lang w:val="uk-UA"/>
        </w:rPr>
        <w:t xml:space="preserve">екстрену </w:t>
      </w:r>
      <w:r w:rsidRPr="00596B21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 w:rsidRPr="00596B21">
        <w:rPr>
          <w:b/>
          <w:sz w:val="28"/>
          <w:szCs w:val="28"/>
          <w:lang w:val="uk-UA"/>
        </w:rPr>
        <w:t>,</w:t>
      </w:r>
      <w:r w:rsidRPr="00596B21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 w:rsidRPr="00596B21">
        <w:rPr>
          <w:b/>
          <w:sz w:val="28"/>
          <w:szCs w:val="28"/>
          <w:lang w:val="uk-UA"/>
        </w:rPr>
        <w:t xml:space="preserve">, </w:t>
      </w:r>
      <w:r w:rsidR="00A25AAF" w:rsidRPr="00596B21">
        <w:rPr>
          <w:b/>
          <w:sz w:val="28"/>
          <w:szCs w:val="28"/>
          <w:lang w:val="uk-UA"/>
        </w:rPr>
        <w:t xml:space="preserve">препаратів крові, </w:t>
      </w:r>
      <w:r w:rsidR="00BA1EB2" w:rsidRPr="00596B21">
        <w:rPr>
          <w:b/>
          <w:sz w:val="28"/>
          <w:szCs w:val="28"/>
          <w:lang w:val="uk-UA"/>
        </w:rPr>
        <w:t xml:space="preserve">що </w:t>
      </w:r>
      <w:r w:rsidR="00A357D2" w:rsidRPr="00596B21">
        <w:rPr>
          <w:b/>
          <w:sz w:val="28"/>
          <w:szCs w:val="28"/>
          <w:lang w:val="uk-UA"/>
        </w:rPr>
        <w:t xml:space="preserve">виробляються або </w:t>
      </w:r>
      <w:r w:rsidR="00BA1EB2" w:rsidRPr="00596B21">
        <w:rPr>
          <w:b/>
          <w:sz w:val="28"/>
          <w:szCs w:val="28"/>
          <w:lang w:val="uk-UA"/>
        </w:rPr>
        <w:t xml:space="preserve">постачаються в Україну </w:t>
      </w:r>
      <w:r w:rsidR="00A357D2" w:rsidRPr="00596B21">
        <w:rPr>
          <w:b/>
          <w:sz w:val="28"/>
          <w:szCs w:val="28"/>
          <w:lang w:val="uk-UA"/>
        </w:rPr>
        <w:t>протягом</w:t>
      </w:r>
      <w:r w:rsidR="00BA1EB2" w:rsidRPr="00596B21">
        <w:rPr>
          <w:b/>
          <w:sz w:val="28"/>
          <w:szCs w:val="28"/>
          <w:lang w:val="uk-UA"/>
        </w:rPr>
        <w:t xml:space="preserve"> період</w:t>
      </w:r>
      <w:r w:rsidR="00A357D2" w:rsidRPr="00596B21">
        <w:rPr>
          <w:b/>
          <w:sz w:val="28"/>
          <w:szCs w:val="28"/>
          <w:lang w:val="uk-UA"/>
        </w:rPr>
        <w:t>у дії</w:t>
      </w:r>
      <w:r w:rsidR="00BA1EB2" w:rsidRPr="00596B21">
        <w:rPr>
          <w:b/>
          <w:sz w:val="28"/>
          <w:szCs w:val="28"/>
          <w:lang w:val="uk-UA"/>
        </w:rPr>
        <w:t xml:space="preserve"> воєнного стану</w:t>
      </w:r>
      <w:r w:rsidR="00A25AAF" w:rsidRPr="00596B21">
        <w:rPr>
          <w:b/>
          <w:sz w:val="28"/>
          <w:szCs w:val="28"/>
          <w:lang w:val="uk-UA"/>
        </w:rPr>
        <w:t>,</w:t>
      </w:r>
      <w:r w:rsidR="00A25AAF" w:rsidRPr="00596B21">
        <w:rPr>
          <w:lang w:val="uk-UA"/>
        </w:rPr>
        <w:t xml:space="preserve"> </w:t>
      </w:r>
      <w:r w:rsidR="00A25AAF" w:rsidRPr="00596B21">
        <w:rPr>
          <w:b/>
          <w:sz w:val="28"/>
          <w:szCs w:val="28"/>
          <w:lang w:val="uk-UA"/>
        </w:rPr>
        <w:t>під зобов’язання</w:t>
      </w:r>
    </w:p>
    <w:p w:rsidR="00917598" w:rsidRPr="00596B21" w:rsidRDefault="00917598" w:rsidP="00FC73F7">
      <w:pPr>
        <w:ind w:firstLine="720"/>
        <w:jc w:val="both"/>
        <w:rPr>
          <w:sz w:val="28"/>
          <w:szCs w:val="28"/>
          <w:lang w:val="uk-UA"/>
        </w:rPr>
      </w:pPr>
    </w:p>
    <w:p w:rsidR="00E602D5" w:rsidRPr="00596B21" w:rsidRDefault="00957C7E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</w:t>
      </w:r>
      <w:r w:rsidR="00355F80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пункту 3 Порядку екстреної державної реєстрації </w:t>
      </w:r>
      <w:r w:rsidR="003D0BC7" w:rsidRPr="00596B21">
        <w:rPr>
          <w:rFonts w:ascii="Times New Roman" w:hAnsi="Times New Roman"/>
          <w:color w:val="auto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, затвердженого </w:t>
      </w:r>
      <w:r w:rsidR="003D0BC7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постановою Кабінету Міністрів </w:t>
      </w:r>
      <w:r w:rsidR="00BA1EB2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України від </w:t>
      </w:r>
      <w:r w:rsidR="003D0BC7" w:rsidRPr="00596B21">
        <w:rPr>
          <w:rFonts w:ascii="Times New Roman" w:hAnsi="Times New Roman"/>
          <w:color w:val="auto"/>
          <w:sz w:val="28"/>
          <w:szCs w:val="28"/>
          <w:lang w:val="uk-UA"/>
        </w:rPr>
        <w:t>15</w:t>
      </w:r>
      <w:r w:rsidR="00355F80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7" w:rsidRPr="00596B21">
        <w:rPr>
          <w:rFonts w:ascii="Times New Roman" w:hAnsi="Times New Roman"/>
          <w:color w:val="auto"/>
          <w:sz w:val="28"/>
          <w:szCs w:val="28"/>
          <w:lang w:val="uk-UA"/>
        </w:rPr>
        <w:t>квітня</w:t>
      </w:r>
      <w:r w:rsidR="00355F80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 № </w:t>
      </w:r>
      <w:r w:rsidR="003D0BC7" w:rsidRPr="00596B21">
        <w:rPr>
          <w:rFonts w:ascii="Times New Roman" w:hAnsi="Times New Roman"/>
          <w:color w:val="auto"/>
          <w:sz w:val="28"/>
          <w:szCs w:val="28"/>
          <w:lang w:val="uk-UA"/>
        </w:rPr>
        <w:t>471</w:t>
      </w:r>
      <w:r w:rsidR="00355F80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51C9D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на підставі результатів </w:t>
      </w:r>
      <w:r w:rsidR="00355F80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перевірки </w:t>
      </w:r>
      <w:r w:rsidR="00051C9D" w:rsidRPr="00596B21">
        <w:rPr>
          <w:rFonts w:ascii="Times New Roman" w:hAnsi="Times New Roman"/>
          <w:color w:val="auto"/>
          <w:sz w:val="28"/>
          <w:szCs w:val="28"/>
          <w:lang w:val="uk-UA"/>
        </w:rPr>
        <w:t>реєстраційних матеріалів лікарських засобів</w:t>
      </w:r>
      <w:r w:rsidR="00355F80" w:rsidRPr="00596B21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051C9D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що подані на </w:t>
      </w:r>
      <w:r w:rsidR="00355F80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екстрену </w:t>
      </w:r>
      <w:r w:rsidR="00051C9D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державну реєстрацію, проведених </w:t>
      </w:r>
      <w:r w:rsidR="00355F80" w:rsidRPr="00596B21">
        <w:rPr>
          <w:rFonts w:ascii="Times New Roman" w:hAnsi="Times New Roman"/>
          <w:color w:val="auto"/>
          <w:sz w:val="28"/>
          <w:szCs w:val="28"/>
          <w:lang w:val="uk-UA"/>
        </w:rPr>
        <w:t>д</w:t>
      </w:r>
      <w:r w:rsidR="00051C9D" w:rsidRPr="00596B21">
        <w:rPr>
          <w:rFonts w:ascii="Times New Roman" w:hAnsi="Times New Roman"/>
          <w:color w:val="auto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 w:rsidRPr="00596B21">
        <w:rPr>
          <w:rFonts w:ascii="Times New Roman" w:hAnsi="Times New Roman"/>
          <w:color w:val="auto"/>
          <w:sz w:val="28"/>
          <w:szCs w:val="28"/>
          <w:lang w:val="uk-UA"/>
        </w:rPr>
        <w:t>ів</w:t>
      </w:r>
      <w:r w:rsidR="00051C9D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22A74" w:rsidRPr="00596B21">
        <w:rPr>
          <w:rFonts w:ascii="Times New Roman" w:hAnsi="Times New Roman"/>
          <w:color w:val="auto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 w:rsidRPr="00596B21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F753C3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від</w:t>
      </w:r>
      <w:r w:rsidR="00332232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665FBE" w:rsidRPr="00596B21">
        <w:rPr>
          <w:rFonts w:ascii="Times New Roman" w:hAnsi="Times New Roman"/>
          <w:color w:val="auto"/>
          <w:sz w:val="28"/>
          <w:szCs w:val="28"/>
          <w:lang w:val="uk-UA"/>
        </w:rPr>
        <w:t>15</w:t>
      </w:r>
      <w:r w:rsidR="00692C82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0E1939" w:rsidRPr="00596B21">
        <w:rPr>
          <w:rFonts w:ascii="Times New Roman" w:hAnsi="Times New Roman"/>
          <w:color w:val="auto"/>
          <w:sz w:val="28"/>
          <w:szCs w:val="28"/>
          <w:lang w:val="uk-UA"/>
        </w:rPr>
        <w:t>грудня</w:t>
      </w:r>
      <w:r w:rsidR="00692C82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</w:t>
      </w:r>
      <w:r w:rsidR="00332232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F753C3" w:rsidRPr="00596B21">
        <w:rPr>
          <w:rFonts w:ascii="Times New Roman" w:hAnsi="Times New Roman"/>
          <w:color w:val="auto"/>
          <w:sz w:val="28"/>
          <w:szCs w:val="28"/>
          <w:lang w:val="uk-UA"/>
        </w:rPr>
        <w:t>та</w:t>
      </w:r>
      <w:r w:rsidR="004F4794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EE2C62" w:rsidRPr="00596B21">
        <w:rPr>
          <w:rFonts w:ascii="Times New Roman" w:hAnsi="Times New Roman"/>
          <w:color w:val="auto"/>
          <w:sz w:val="28"/>
          <w:szCs w:val="28"/>
          <w:lang w:val="uk-UA"/>
        </w:rPr>
        <w:t>рекомендаці</w:t>
      </w:r>
      <w:r w:rsidR="006F547E" w:rsidRPr="00596B21">
        <w:rPr>
          <w:rFonts w:ascii="Times New Roman" w:hAnsi="Times New Roman"/>
          <w:color w:val="auto"/>
          <w:sz w:val="28"/>
          <w:szCs w:val="28"/>
          <w:lang w:val="uk-UA"/>
        </w:rPr>
        <w:t>й</w:t>
      </w:r>
      <w:r w:rsidR="00EE2C62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до екстреної державної реєстрації</w:t>
      </w:r>
      <w:r w:rsidR="00B104E4"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або відмови у такій</w:t>
      </w:r>
      <w:r w:rsidR="00E602D5" w:rsidRPr="00596B21">
        <w:rPr>
          <w:rFonts w:ascii="Times New Roman" w:hAnsi="Times New Roman"/>
          <w:color w:val="auto"/>
          <w:sz w:val="28"/>
          <w:szCs w:val="28"/>
          <w:lang w:val="uk-UA"/>
        </w:rPr>
        <w:t>,</w:t>
      </w:r>
    </w:p>
    <w:p w:rsidR="00277C8C" w:rsidRPr="00596B21" w:rsidRDefault="004F4794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 w:rsidRPr="00596B2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FC73F7" w:rsidRPr="00596B21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596B21">
        <w:rPr>
          <w:b/>
          <w:bCs/>
          <w:sz w:val="28"/>
          <w:szCs w:val="28"/>
          <w:lang w:val="uk-UA"/>
        </w:rPr>
        <w:t>НАКАЗУЮ:</w:t>
      </w:r>
    </w:p>
    <w:p w:rsidR="00CB6908" w:rsidRPr="00596B21" w:rsidRDefault="00EE2C62" w:rsidP="00747C13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96B21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 w:rsidRPr="00596B21">
        <w:rPr>
          <w:sz w:val="28"/>
          <w:szCs w:val="28"/>
          <w:lang w:val="uk-UA"/>
        </w:rPr>
        <w:t>і</w:t>
      </w:r>
      <w:r w:rsidRPr="00596B21">
        <w:rPr>
          <w:sz w:val="28"/>
          <w:szCs w:val="28"/>
          <w:lang w:val="uk-UA"/>
        </w:rPr>
        <w:t xml:space="preserve"> зас</w:t>
      </w:r>
      <w:r w:rsidR="00A420E9" w:rsidRPr="00596B21">
        <w:rPr>
          <w:sz w:val="28"/>
          <w:szCs w:val="28"/>
          <w:lang w:val="uk-UA"/>
        </w:rPr>
        <w:t>о</w:t>
      </w:r>
      <w:r w:rsidRPr="00596B21">
        <w:rPr>
          <w:sz w:val="28"/>
          <w:szCs w:val="28"/>
          <w:lang w:val="uk-UA"/>
        </w:rPr>
        <w:t>б</w:t>
      </w:r>
      <w:r w:rsidR="00A420E9" w:rsidRPr="00596B21">
        <w:rPr>
          <w:sz w:val="28"/>
          <w:szCs w:val="28"/>
          <w:lang w:val="uk-UA"/>
        </w:rPr>
        <w:t>и</w:t>
      </w:r>
      <w:r w:rsidR="00A34430" w:rsidRPr="00596B21">
        <w:rPr>
          <w:sz w:val="28"/>
          <w:szCs w:val="28"/>
          <w:lang w:val="uk-UA"/>
        </w:rPr>
        <w:t>,</w:t>
      </w:r>
      <w:r w:rsidRPr="00596B21">
        <w:rPr>
          <w:sz w:val="28"/>
          <w:szCs w:val="28"/>
          <w:lang w:val="uk-UA"/>
        </w:rPr>
        <w:t xml:space="preserve"> </w:t>
      </w:r>
      <w:r w:rsidR="00A34430" w:rsidRPr="00596B21">
        <w:rPr>
          <w:sz w:val="28"/>
          <w:szCs w:val="28"/>
          <w:lang w:val="uk-UA"/>
        </w:rPr>
        <w:t>медичні імунобіологічні препарати, препарати крові</w:t>
      </w:r>
      <w:r w:rsidR="00B22D29" w:rsidRPr="00596B21">
        <w:rPr>
          <w:sz w:val="28"/>
          <w:szCs w:val="28"/>
          <w:lang w:val="uk-UA"/>
        </w:rPr>
        <w:t xml:space="preserve"> </w:t>
      </w:r>
      <w:r w:rsidRPr="00596B21">
        <w:rPr>
          <w:sz w:val="28"/>
          <w:szCs w:val="28"/>
          <w:lang w:val="uk-UA"/>
        </w:rPr>
        <w:t>згідно з додатк</w:t>
      </w:r>
      <w:r w:rsidR="00061BA2" w:rsidRPr="00596B21">
        <w:rPr>
          <w:sz w:val="28"/>
          <w:szCs w:val="28"/>
          <w:lang w:val="uk-UA"/>
        </w:rPr>
        <w:t>ом</w:t>
      </w:r>
      <w:r w:rsidR="00CB6908" w:rsidRPr="00596B21">
        <w:rPr>
          <w:sz w:val="28"/>
          <w:szCs w:val="28"/>
          <w:lang w:val="uk-UA"/>
        </w:rPr>
        <w:t>.</w:t>
      </w:r>
    </w:p>
    <w:p w:rsidR="00BE64DF" w:rsidRPr="00596B21" w:rsidRDefault="00BE64DF" w:rsidP="00747C13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657959" w:rsidRPr="00596B21" w:rsidRDefault="00657959" w:rsidP="00747C13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96B21">
        <w:rPr>
          <w:sz w:val="28"/>
          <w:szCs w:val="28"/>
          <w:lang w:val="uk-UA"/>
        </w:rPr>
        <w:t xml:space="preserve">Фармацевтичному директорату (Іван Задворних) забезпечити оприлюднення цього наказу на офіційному вебсайті </w:t>
      </w:r>
      <w:r w:rsidR="008F1541" w:rsidRPr="00596B21">
        <w:rPr>
          <w:sz w:val="28"/>
          <w:szCs w:val="28"/>
          <w:lang w:val="uk-UA"/>
        </w:rPr>
        <w:t>Міністерства охорони здоров’я України.</w:t>
      </w:r>
    </w:p>
    <w:p w:rsidR="00927311" w:rsidRPr="00596B21" w:rsidRDefault="00927311" w:rsidP="00747C13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596B21" w:rsidRDefault="000D32CE" w:rsidP="00747C13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96B21">
        <w:rPr>
          <w:sz w:val="28"/>
          <w:szCs w:val="28"/>
          <w:lang w:val="uk-UA"/>
        </w:rPr>
        <w:t xml:space="preserve">Контроль за виконанням цього наказу </w:t>
      </w:r>
      <w:r w:rsidR="007D3339" w:rsidRPr="00596B21">
        <w:rPr>
          <w:sz w:val="28"/>
          <w:szCs w:val="28"/>
          <w:lang w:val="uk-UA"/>
        </w:rPr>
        <w:t>покласти</w:t>
      </w:r>
      <w:r w:rsidR="00747C13" w:rsidRPr="00596B21">
        <w:rPr>
          <w:sz w:val="28"/>
          <w:szCs w:val="28"/>
          <w:lang w:val="uk-UA"/>
        </w:rPr>
        <w:t xml:space="preserve"> на першого заступника Міністра Олександра Комаріду</w:t>
      </w:r>
      <w:r w:rsidRPr="00596B21">
        <w:rPr>
          <w:sz w:val="28"/>
          <w:szCs w:val="28"/>
          <w:lang w:val="uk-UA"/>
        </w:rPr>
        <w:t>.</w:t>
      </w:r>
    </w:p>
    <w:p w:rsidR="000D32CE" w:rsidRPr="00596B21" w:rsidRDefault="000D32CE" w:rsidP="00747C13">
      <w:pPr>
        <w:pStyle w:val="31"/>
        <w:spacing w:after="0"/>
        <w:ind w:left="0" w:firstLine="709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596B21">
        <w:rPr>
          <w:b/>
          <w:sz w:val="28"/>
          <w:szCs w:val="28"/>
          <w:lang w:val="uk-UA"/>
        </w:rPr>
        <w:t>Міністр</w:t>
      </w:r>
      <w:r w:rsidR="005C02F7" w:rsidRPr="00596B21">
        <w:rPr>
          <w:b/>
          <w:sz w:val="28"/>
          <w:szCs w:val="28"/>
          <w:lang w:val="uk-UA"/>
        </w:rPr>
        <w:t xml:space="preserve">                               </w:t>
      </w:r>
      <w:r w:rsidR="00665FBE" w:rsidRPr="00596B21">
        <w:rPr>
          <w:b/>
          <w:sz w:val="28"/>
          <w:szCs w:val="28"/>
          <w:lang w:val="uk-UA"/>
        </w:rPr>
        <w:t xml:space="preserve">                                                   </w:t>
      </w:r>
      <w:r w:rsidR="005C02F7" w:rsidRPr="00596B21">
        <w:rPr>
          <w:b/>
          <w:sz w:val="28"/>
          <w:szCs w:val="28"/>
          <w:lang w:val="uk-UA"/>
        </w:rPr>
        <w:t xml:space="preserve">           </w:t>
      </w:r>
      <w:r w:rsidR="00665FBE" w:rsidRPr="00596B21">
        <w:rPr>
          <w:b/>
          <w:sz w:val="28"/>
          <w:szCs w:val="28"/>
          <w:lang w:val="uk-UA"/>
        </w:rPr>
        <w:t>Віктор ЛЯШКО</w:t>
      </w:r>
    </w:p>
    <w:p w:rsidR="00596B21" w:rsidRDefault="00596B21" w:rsidP="00BE64DF">
      <w:pPr>
        <w:rPr>
          <w:b/>
          <w:sz w:val="28"/>
          <w:szCs w:val="28"/>
          <w:lang w:val="uk-UA"/>
        </w:rPr>
        <w:sectPr w:rsidR="00596B21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96B21" w:rsidRPr="007E524B" w:rsidTr="000C4C7F">
        <w:tc>
          <w:tcPr>
            <w:tcW w:w="3825" w:type="dxa"/>
            <w:hideMark/>
          </w:tcPr>
          <w:p w:rsidR="00596B21" w:rsidRPr="00596B21" w:rsidRDefault="00596B21" w:rsidP="00BC7F8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596B21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596B21" w:rsidRPr="00596B21" w:rsidRDefault="00596B21" w:rsidP="00BC7F8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596B21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596B21" w:rsidRPr="00596B21" w:rsidRDefault="00596B21" w:rsidP="00BC7F8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596B21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596B21" w:rsidRPr="00910DA1" w:rsidRDefault="00596B21" w:rsidP="00BC7F8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29 грудня 2022 року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№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2379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 </w:t>
            </w:r>
          </w:p>
        </w:tc>
      </w:tr>
    </w:tbl>
    <w:p w:rsidR="00596B21" w:rsidRDefault="00596B21" w:rsidP="00596B21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596B21" w:rsidRPr="00EF2F51" w:rsidRDefault="00596B21" w:rsidP="00596B21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596B21" w:rsidRPr="00604A81" w:rsidRDefault="00596B21" w:rsidP="00596B21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596B21" w:rsidRPr="005D7AC1" w:rsidRDefault="00596B21" w:rsidP="00596B21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268"/>
        <w:gridCol w:w="1276"/>
        <w:gridCol w:w="850"/>
        <w:gridCol w:w="3686"/>
        <w:gridCol w:w="1135"/>
        <w:gridCol w:w="1135"/>
        <w:gridCol w:w="992"/>
        <w:gridCol w:w="851"/>
        <w:gridCol w:w="1558"/>
      </w:tblGrid>
      <w:tr w:rsidR="00596B21" w:rsidRPr="00B3706C" w:rsidTr="00BC7F8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96B21" w:rsidRPr="00B3706C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96B21" w:rsidRPr="00B3706C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596B21" w:rsidRPr="00B3706C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96B21" w:rsidRPr="00B3706C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596B21" w:rsidRPr="00B3706C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3686" w:type="dxa"/>
            <w:tcBorders>
              <w:top w:val="single" w:sz="4" w:space="0" w:color="000000"/>
            </w:tcBorders>
            <w:shd w:val="clear" w:color="auto" w:fill="D9D9D9"/>
          </w:tcPr>
          <w:p w:rsidR="00596B21" w:rsidRPr="00B3706C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596B21" w:rsidRPr="00B3706C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596B21" w:rsidRPr="00B3706C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96B21" w:rsidRPr="00B3706C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596B21" w:rsidRPr="00B3706C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D9D9D9"/>
          </w:tcPr>
          <w:p w:rsidR="00596B21" w:rsidRPr="00B3706C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70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96B21" w:rsidRPr="00EF0EB5" w:rsidTr="00BC7F8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6B21" w:rsidRPr="00B3706C" w:rsidRDefault="00596B21" w:rsidP="00596B2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B21" w:rsidRPr="00EF0EB5" w:rsidRDefault="00596B21" w:rsidP="000C4C7F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F0EB5">
              <w:rPr>
                <w:rFonts w:ascii="Arial" w:hAnsi="Arial" w:cs="Arial"/>
                <w:b/>
                <w:sz w:val="16"/>
                <w:szCs w:val="16"/>
              </w:rPr>
              <w:t>АПОТЕЛ МАКС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Default="00596B21" w:rsidP="000C4C7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 г/100 мл по 100 мл розчину в пакеті (пакет упакований в захисну алюмінієву фольгу); по 12 пакетів в картонній коробці</w:t>
            </w:r>
          </w:p>
          <w:p w:rsidR="00596B21" w:rsidRPr="00EF0EB5" w:rsidRDefault="00596B21" w:rsidP="000C4C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готової лікарської форми, первинну та вторинну упаковку, контроль та випуск серії: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ЮНІ-ФАРМА КЛЕОН ЦЕТІС ФАРМАСЬЮТІКАЛ ЛАБОРАТОРІЕС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F0EB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F0EB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sz w:val="16"/>
                <w:szCs w:val="16"/>
              </w:rPr>
              <w:t>UA/19820/01/01</w:t>
            </w:r>
          </w:p>
        </w:tc>
      </w:tr>
      <w:tr w:rsidR="00596B21" w:rsidRPr="00EF0EB5" w:rsidTr="00BC7F8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6B21" w:rsidRPr="00EF0EB5" w:rsidRDefault="00596B21" w:rsidP="00596B2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B21" w:rsidRPr="00EF0EB5" w:rsidRDefault="00596B21" w:rsidP="000C4C7F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F0EB5">
              <w:rPr>
                <w:rFonts w:ascii="Arial" w:hAnsi="Arial" w:cs="Arial"/>
                <w:b/>
                <w:sz w:val="16"/>
                <w:szCs w:val="16"/>
              </w:rPr>
              <w:t>КАБАЗИТАКСЕЛ АККОРД/ CABAZITAXEL ACCORD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мг/мл, флакон по 60 мг/3 мл, по 1 флакону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Б.В., Нідерланди;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Британія;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о.о., Польща;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Фізико-хімічний контроль: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Весслінг Хангері Кфт., Угорщина;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первинна та вторинна упаковки: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Індія;</w:t>
            </w:r>
          </w:p>
          <w:p w:rsidR="00596B21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хіміко-фізичний, мікробіологічний контроль: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ЛабАналізіс С.р.л., Італія;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хіміко-фізичний, мікробіологічний контроль, додаткове вторинне пакування, відповідальний за випуск серії: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 ФУНДАСІО ДАУ, Іспанія;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Пріспек Яцек Каронський, Польща;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Синоптиз Індастріал Сп. з о.о., Польща;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хіміко-фізичний, мікробіологічний контроль: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Лтд., Мікробіологічна Лабораторія, Угорщина;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хіміко-фізичний, мікробіологічний контроль, додаткове вторинне пакування, відповідальний за випуск серії:</w:t>
            </w: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Лімітед, Мальта</w:t>
            </w:r>
          </w:p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Нідерланди/</w:t>
            </w:r>
          </w:p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Британія;</w:t>
            </w:r>
          </w:p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F0EB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F0EB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sz w:val="16"/>
                <w:szCs w:val="16"/>
              </w:rPr>
              <w:t>UA/19821/01/01</w:t>
            </w:r>
          </w:p>
        </w:tc>
      </w:tr>
      <w:tr w:rsidR="00596B21" w:rsidRPr="00B3706C" w:rsidTr="00BC7F8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6B21" w:rsidRPr="00EF0EB5" w:rsidRDefault="00596B21" w:rsidP="00596B2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B21" w:rsidRPr="00EF0EB5" w:rsidRDefault="00596B21" w:rsidP="000C4C7F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F0EB5">
              <w:rPr>
                <w:rFonts w:ascii="Arial" w:hAnsi="Arial" w:cs="Arial"/>
                <w:b/>
                <w:sz w:val="16"/>
                <w:szCs w:val="16"/>
              </w:rPr>
              <w:t>ЛІЗЕДІА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мг; по 10 таблеток у блістері; по 1,2,3,5 або 6 блістерів в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виробник, відповідальний за виробництво готової лікарської форми, первинну та вториннну упаковку, контроль та випуск серії:</w:t>
            </w:r>
          </w:p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ФАРМАТЕН ІНТЕРНЕШНЛ С.А., Греція;</w:t>
            </w:r>
          </w:p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виробник, відповідальний за первинну та вторинну упаковку, контроль та випуск серії:</w:t>
            </w:r>
          </w:p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ФАРМАТЕН С.А., Греція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EB5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F0EB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F0EB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B21" w:rsidRPr="00EF0EB5" w:rsidRDefault="00596B21" w:rsidP="000C4C7F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F0EB5">
              <w:rPr>
                <w:rFonts w:ascii="Arial" w:hAnsi="Arial" w:cs="Arial"/>
                <w:bCs/>
                <w:sz w:val="16"/>
                <w:szCs w:val="16"/>
              </w:rPr>
              <w:t>UA/19822/01/01</w:t>
            </w:r>
          </w:p>
        </w:tc>
      </w:tr>
    </w:tbl>
    <w:p w:rsidR="00596B21" w:rsidRDefault="00596B21" w:rsidP="00596B21">
      <w:pPr>
        <w:ind w:right="20"/>
        <w:rPr>
          <w:b/>
          <w:bCs/>
          <w:sz w:val="26"/>
          <w:szCs w:val="26"/>
        </w:rPr>
      </w:pPr>
    </w:p>
    <w:p w:rsidR="00596B21" w:rsidRDefault="00596B21" w:rsidP="00596B21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596B21" w:rsidRPr="00EF2F51" w:rsidTr="000C4C7F">
        <w:tc>
          <w:tcPr>
            <w:tcW w:w="7421" w:type="dxa"/>
          </w:tcPr>
          <w:p w:rsidR="00596B21" w:rsidRDefault="00596B21" w:rsidP="000C4C7F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596B21" w:rsidRPr="00EF2F51" w:rsidRDefault="00596B21" w:rsidP="000C4C7F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7422" w:type="dxa"/>
          </w:tcPr>
          <w:p w:rsidR="00596B21" w:rsidRPr="00EF2F51" w:rsidRDefault="00596B21" w:rsidP="000C4C7F">
            <w:pPr>
              <w:rPr>
                <w:b/>
                <w:bCs/>
                <w:sz w:val="28"/>
                <w:szCs w:val="28"/>
              </w:rPr>
            </w:pPr>
          </w:p>
          <w:p w:rsidR="00596B21" w:rsidRPr="00EF2F51" w:rsidRDefault="00596B21" w:rsidP="000C4C7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596B21" w:rsidRPr="007E524B" w:rsidRDefault="00596B21" w:rsidP="00596B21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596B21" w:rsidRPr="00596B21" w:rsidRDefault="00596B21" w:rsidP="00BE64DF">
      <w:pPr>
        <w:rPr>
          <w:b/>
          <w:sz w:val="28"/>
          <w:szCs w:val="28"/>
          <w:lang w:val="uk-UA"/>
        </w:rPr>
      </w:pPr>
    </w:p>
    <w:sectPr w:rsidR="00596B21" w:rsidRPr="00596B21" w:rsidSect="000C4C7F">
      <w:headerReference w:type="default" r:id="rId13"/>
      <w:footerReference w:type="default" r:id="rId14"/>
      <w:pgSz w:w="16838" w:h="11906" w:orient="landscape"/>
      <w:pgMar w:top="993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C7F" w:rsidRDefault="000C4C7F" w:rsidP="00B217C6">
      <w:r>
        <w:separator/>
      </w:r>
    </w:p>
  </w:endnote>
  <w:endnote w:type="continuationSeparator" w:id="0">
    <w:p w:rsidR="000C4C7F" w:rsidRDefault="000C4C7F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C7F" w:rsidRDefault="000C4C7F">
    <w:pPr>
      <w:pStyle w:val="a5"/>
      <w:jc w:val="center"/>
    </w:pPr>
  </w:p>
  <w:p w:rsidR="000C4C7F" w:rsidRDefault="000C4C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C7F" w:rsidRDefault="000C4C7F" w:rsidP="00B217C6">
      <w:r>
        <w:separator/>
      </w:r>
    </w:p>
  </w:footnote>
  <w:footnote w:type="continuationSeparator" w:id="0">
    <w:p w:rsidR="000C4C7F" w:rsidRDefault="000C4C7F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C7F" w:rsidRDefault="000C4C7F" w:rsidP="000C4C7F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BC7F81">
      <w:rPr>
        <w:noProof/>
      </w:rPr>
      <w:t>3</w:t>
    </w:r>
    <w:r>
      <w:fldChar w:fldCharType="end"/>
    </w:r>
  </w:p>
  <w:p w:rsidR="00BC7F81" w:rsidRDefault="00BC7F81" w:rsidP="000C4C7F">
    <w:pPr>
      <w:pStyle w:val="a3"/>
      <w:tabs>
        <w:tab w:val="center" w:pos="7313"/>
        <w:tab w:val="left" w:pos="113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58A1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4C7F"/>
    <w:rsid w:val="000C7267"/>
    <w:rsid w:val="000D0363"/>
    <w:rsid w:val="000D1456"/>
    <w:rsid w:val="000D32CE"/>
    <w:rsid w:val="000D3A0C"/>
    <w:rsid w:val="000D7CEC"/>
    <w:rsid w:val="000E1939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008A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2E4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66F0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2F52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0D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0BB0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96B21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02F7"/>
    <w:rsid w:val="005C43EE"/>
    <w:rsid w:val="005C4676"/>
    <w:rsid w:val="005C4F4D"/>
    <w:rsid w:val="005C5050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3862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57959"/>
    <w:rsid w:val="00660B24"/>
    <w:rsid w:val="00661209"/>
    <w:rsid w:val="0066243F"/>
    <w:rsid w:val="00663FC7"/>
    <w:rsid w:val="00665FBE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2C82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373E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47C13"/>
    <w:rsid w:val="00750841"/>
    <w:rsid w:val="007511B3"/>
    <w:rsid w:val="00751C89"/>
    <w:rsid w:val="00753062"/>
    <w:rsid w:val="007534D8"/>
    <w:rsid w:val="00755321"/>
    <w:rsid w:val="00756E71"/>
    <w:rsid w:val="00757A35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339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1541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4430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09A6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2D29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C7F81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B7846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37E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E580B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2FA2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3C3"/>
    <w:rsid w:val="00F75CCB"/>
    <w:rsid w:val="00F8218D"/>
    <w:rsid w:val="00F876C0"/>
    <w:rsid w:val="00F906F4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E9D8794-8BEB-4266-AAC1-14E9722C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styleId="a8">
    <w:name w:val="List Paragraph"/>
    <w:basedOn w:val="a"/>
    <w:uiPriority w:val="34"/>
    <w:qFormat/>
    <w:rsid w:val="00657959"/>
    <w:pPr>
      <w:ind w:left="708"/>
    </w:pPr>
  </w:style>
  <w:style w:type="paragraph" w:customStyle="1" w:styleId="11">
    <w:name w:val="Обычный11"/>
    <w:aliases w:val="Звичайний,Normal"/>
    <w:basedOn w:val="a"/>
    <w:qFormat/>
    <w:rsid w:val="00596B21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6D86-2880-42FB-B7BD-5E47DB43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2023-01-03T12:19:00Z</dcterms:created>
  <dcterms:modified xsi:type="dcterms:W3CDTF">2023-01-03T12:19:00Z</dcterms:modified>
</cp:coreProperties>
</file>