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D93C8C">
        <w:trPr>
          <w:trHeight w:val="361"/>
        </w:trPr>
        <w:tc>
          <w:tcPr>
            <w:tcW w:w="3271" w:type="dxa"/>
          </w:tcPr>
          <w:p w:rsidR="00D93C8C" w:rsidRDefault="00D93C8C" w:rsidP="003609B9">
            <w:pPr>
              <w:rPr>
                <w:sz w:val="28"/>
                <w:szCs w:val="28"/>
                <w:lang w:val="uk-UA"/>
              </w:rPr>
            </w:pPr>
          </w:p>
          <w:p w:rsidR="002A3525" w:rsidRDefault="00D93C8C" w:rsidP="003609B9">
            <w:pPr>
              <w:rPr>
                <w:sz w:val="28"/>
                <w:szCs w:val="28"/>
                <w:lang w:val="uk-UA"/>
              </w:rPr>
            </w:pPr>
            <w:r>
              <w:rPr>
                <w:sz w:val="28"/>
                <w:szCs w:val="28"/>
                <w:lang w:val="uk-UA"/>
              </w:rPr>
              <w:t>25 лютого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D93C8C" w:rsidRDefault="00D93C8C" w:rsidP="003609B9">
            <w:pPr>
              <w:ind w:firstLine="72"/>
              <w:jc w:val="center"/>
              <w:rPr>
                <w:sz w:val="28"/>
                <w:szCs w:val="28"/>
                <w:lang w:val="uk-UA"/>
              </w:rPr>
            </w:pPr>
          </w:p>
          <w:p w:rsidR="002A3525" w:rsidRDefault="00D93C8C" w:rsidP="003609B9">
            <w:pPr>
              <w:ind w:firstLine="72"/>
              <w:jc w:val="center"/>
              <w:rPr>
                <w:sz w:val="28"/>
                <w:szCs w:val="28"/>
                <w:lang w:val="uk-UA"/>
              </w:rPr>
            </w:pPr>
            <w:r>
              <w:rPr>
                <w:sz w:val="28"/>
                <w:szCs w:val="28"/>
                <w:lang w:val="uk-UA"/>
              </w:rPr>
              <w:t xml:space="preserve">                          № 389</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800ADA" w:rsidRDefault="00800ADA" w:rsidP="00C17C8E">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Сполучених Штатів Америки, Швейцарської Конфедерації, 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8D115B">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t>пункт</w:t>
      </w:r>
      <w:r w:rsidR="00BE48A3" w:rsidRPr="00E445F7">
        <w:rPr>
          <w:rFonts w:ascii="Times New Roman" w:hAnsi="Times New Roman"/>
          <w:sz w:val="28"/>
          <w:szCs w:val="28"/>
          <w:lang w:val="uk-UA"/>
        </w:rPr>
        <w:t>ів</w:t>
      </w:r>
      <w:r w:rsidR="00E4403E" w:rsidRPr="00E445F7">
        <w:rPr>
          <w:rFonts w:ascii="Times New Roman" w:hAnsi="Times New Roman"/>
          <w:sz w:val="28"/>
          <w:szCs w:val="28"/>
          <w:lang w:val="uk-UA"/>
        </w:rPr>
        <w:t xml:space="preserve"> 5,</w:t>
      </w:r>
      <w:r w:rsidRPr="00E445F7">
        <w:rPr>
          <w:rFonts w:ascii="Times New Roman" w:hAnsi="Times New Roman"/>
          <w:sz w:val="28"/>
          <w:szCs w:val="28"/>
          <w:lang w:val="uk-UA"/>
        </w:rPr>
        <w:t xml:space="preserve"> </w:t>
      </w:r>
      <w:r w:rsidR="00E445F7" w:rsidRPr="00E445F7">
        <w:rPr>
          <w:rFonts w:ascii="Times New Roman" w:hAnsi="Times New Roman"/>
          <w:sz w:val="28"/>
          <w:szCs w:val="28"/>
          <w:lang w:val="uk-UA"/>
        </w:rPr>
        <w:t xml:space="preserve">7, </w:t>
      </w:r>
      <w:r w:rsidR="007C0ABB" w:rsidRPr="00E445F7">
        <w:rPr>
          <w:rFonts w:ascii="Times New Roman" w:hAnsi="Times New Roman"/>
          <w:sz w:val="28"/>
          <w:szCs w:val="28"/>
          <w:lang w:val="uk-UA"/>
        </w:rPr>
        <w:t>10</w:t>
      </w:r>
      <w:r w:rsidR="00BE48A3" w:rsidRPr="00E445F7">
        <w:rPr>
          <w:rFonts w:ascii="Times New Roman" w:hAnsi="Times New Roman"/>
          <w:sz w:val="28"/>
          <w:szCs w:val="28"/>
          <w:lang w:val="uk-UA"/>
        </w:rPr>
        <w:t xml:space="preserve">, </w:t>
      </w:r>
      <w:r w:rsidR="007C0ABB" w:rsidRPr="00E445F7">
        <w:rPr>
          <w:rFonts w:ascii="Times New Roman" w:hAnsi="Times New Roman"/>
          <w:sz w:val="28"/>
          <w:szCs w:val="28"/>
          <w:lang w:val="uk-UA"/>
        </w:rPr>
        <w:t>11</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xml:space="preserve">№ 376,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 </w:t>
      </w:r>
      <w:r w:rsidR="00AA38CD" w:rsidRPr="00EA7160">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 xml:space="preserve">рського засобу,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Default="000B186D" w:rsidP="008D115B">
      <w:pPr>
        <w:pStyle w:val="HTML"/>
        <w:ind w:firstLine="720"/>
        <w:jc w:val="both"/>
        <w:rPr>
          <w:rFonts w:ascii="Times New Roman" w:hAnsi="Times New Roman"/>
          <w:sz w:val="28"/>
          <w:szCs w:val="28"/>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Default="001B5092" w:rsidP="00C17C8E">
      <w:pPr>
        <w:numPr>
          <w:ilvl w:val="0"/>
          <w:numId w:val="5"/>
        </w:numPr>
        <w:ind w:left="0" w:firstLine="709"/>
        <w:jc w:val="both"/>
        <w:rPr>
          <w:sz w:val="28"/>
          <w:szCs w:val="28"/>
          <w:lang w:val="uk-UA"/>
        </w:rPr>
      </w:pPr>
      <w:r>
        <w:rPr>
          <w:sz w:val="28"/>
          <w:szCs w:val="28"/>
          <w:lang w:val="uk-UA"/>
        </w:rPr>
        <w:t>Зареєструвати та внести до Державного реєстру лікарських засобів України лікарський засіб згідно з додатком 1.</w:t>
      </w:r>
    </w:p>
    <w:p w:rsidR="00776249" w:rsidRDefault="008747AE" w:rsidP="00C17C8E">
      <w:pPr>
        <w:numPr>
          <w:ilvl w:val="0"/>
          <w:numId w:val="5"/>
        </w:numPr>
        <w:ind w:left="0" w:firstLine="709"/>
        <w:jc w:val="both"/>
        <w:rPr>
          <w:sz w:val="28"/>
          <w:szCs w:val="28"/>
          <w:lang w:val="uk-UA"/>
        </w:rPr>
      </w:pPr>
      <w:r>
        <w:rPr>
          <w:sz w:val="28"/>
          <w:szCs w:val="28"/>
          <w:lang w:val="uk-UA"/>
        </w:rPr>
        <w:lastRenderedPageBreak/>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5C6BF5">
        <w:rPr>
          <w:noProof/>
          <w:sz w:val="28"/>
          <w:szCs w:val="28"/>
          <w:lang w:val="uk-UA"/>
        </w:rPr>
        <w:t>ий</w:t>
      </w:r>
      <w:r w:rsidR="00776249">
        <w:rPr>
          <w:noProof/>
          <w:sz w:val="28"/>
          <w:szCs w:val="28"/>
          <w:lang w:val="uk-UA"/>
        </w:rPr>
        <w:t xml:space="preserve"> зас</w:t>
      </w:r>
      <w:r w:rsidR="005C6BF5">
        <w:rPr>
          <w:noProof/>
          <w:sz w:val="28"/>
          <w:szCs w:val="28"/>
          <w:lang w:val="uk-UA"/>
        </w:rPr>
        <w:t>і</w:t>
      </w:r>
      <w:r w:rsidR="00737159">
        <w:rPr>
          <w:noProof/>
          <w:sz w:val="28"/>
          <w:szCs w:val="28"/>
          <w:lang w:val="uk-UA"/>
        </w:rPr>
        <w:t>б</w:t>
      </w:r>
      <w:r w:rsidR="00776249">
        <w:rPr>
          <w:noProof/>
          <w:sz w:val="28"/>
          <w:szCs w:val="28"/>
          <w:lang w:val="uk-UA"/>
        </w:rPr>
        <w:t xml:space="preserve"> </w:t>
      </w:r>
      <w:r w:rsidR="00776249">
        <w:rPr>
          <w:sz w:val="28"/>
          <w:szCs w:val="28"/>
          <w:lang w:val="uk-UA"/>
        </w:rPr>
        <w:t>згідно з додатк</w:t>
      </w:r>
      <w:r w:rsidR="000E52C8">
        <w:rPr>
          <w:sz w:val="28"/>
          <w:szCs w:val="28"/>
          <w:lang w:val="uk-UA"/>
        </w:rPr>
        <w:t>ом</w:t>
      </w:r>
      <w:r w:rsidR="001B5092">
        <w:rPr>
          <w:sz w:val="28"/>
          <w:szCs w:val="28"/>
          <w:lang w:val="uk-UA"/>
        </w:rPr>
        <w:t xml:space="preserve"> 2</w:t>
      </w:r>
      <w:r w:rsidR="00776249">
        <w:rPr>
          <w:sz w:val="28"/>
          <w:szCs w:val="28"/>
          <w:lang w:val="uk-UA"/>
        </w:rPr>
        <w:t>.</w:t>
      </w:r>
    </w:p>
    <w:p w:rsidR="001B5092" w:rsidRDefault="001B5092" w:rsidP="001B5092">
      <w:pPr>
        <w:ind w:left="709"/>
        <w:jc w:val="both"/>
        <w:rPr>
          <w:sz w:val="28"/>
          <w:szCs w:val="28"/>
          <w:lang w:val="uk-UA"/>
        </w:rPr>
      </w:pPr>
    </w:p>
    <w:p w:rsidR="001B5092" w:rsidRDefault="001B5092" w:rsidP="001B5092">
      <w:pPr>
        <w:numPr>
          <w:ilvl w:val="0"/>
          <w:numId w:val="5"/>
        </w:numPr>
        <w:tabs>
          <w:tab w:val="left" w:pos="993"/>
        </w:tabs>
        <w:ind w:left="0" w:firstLine="709"/>
        <w:jc w:val="both"/>
        <w:rPr>
          <w:sz w:val="28"/>
          <w:szCs w:val="28"/>
          <w:lang w:val="uk-UA"/>
        </w:rPr>
      </w:pPr>
      <w:r>
        <w:rPr>
          <w:sz w:val="28"/>
          <w:szCs w:val="28"/>
          <w:lang w:val="uk-UA"/>
        </w:rPr>
        <w:t xml:space="preserve">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додатком 3.</w:t>
      </w:r>
    </w:p>
    <w:p w:rsidR="004D3F9B" w:rsidRDefault="004D3F9B" w:rsidP="004D3F9B">
      <w:pPr>
        <w:jc w:val="both"/>
        <w:rPr>
          <w:sz w:val="28"/>
          <w:szCs w:val="28"/>
          <w:lang w:val="uk-UA"/>
        </w:rPr>
      </w:pPr>
    </w:p>
    <w:p w:rsidR="004D3F9B" w:rsidRPr="00BE64DF" w:rsidRDefault="001B5092" w:rsidP="004D3F9B">
      <w:pPr>
        <w:numPr>
          <w:ilvl w:val="0"/>
          <w:numId w:val="5"/>
        </w:numPr>
        <w:tabs>
          <w:tab w:val="left" w:pos="709"/>
          <w:tab w:val="left" w:pos="993"/>
          <w:tab w:val="left" w:pos="1080"/>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(Олександр Гріценко)</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5503D7" w:rsidRPr="005503D7" w:rsidRDefault="00E40B91" w:rsidP="000F6B69">
      <w:pPr>
        <w:tabs>
          <w:tab w:val="left" w:pos="720"/>
          <w:tab w:val="left" w:pos="1080"/>
          <w:tab w:val="left" w:pos="1134"/>
        </w:tabs>
        <w:ind w:left="720"/>
        <w:jc w:val="both"/>
        <w:rPr>
          <w:sz w:val="28"/>
          <w:szCs w:val="28"/>
          <w:lang w:val="uk-UA"/>
        </w:rPr>
      </w:pPr>
      <w:r w:rsidRPr="005503D7">
        <w:rPr>
          <w:sz w:val="28"/>
          <w:szCs w:val="28"/>
          <w:lang w:val="uk-UA"/>
        </w:rPr>
        <w:t xml:space="preserve">Контроль за виконанням цього наказу </w:t>
      </w:r>
      <w:r w:rsidR="000F6B69">
        <w:rPr>
          <w:sz w:val="28"/>
          <w:szCs w:val="28"/>
          <w:lang w:val="uk-UA"/>
        </w:rPr>
        <w:t>залишаю за собою</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EA5059" w:rsidRDefault="00EA5059" w:rsidP="004E1A23">
      <w:pPr>
        <w:rPr>
          <w:b/>
          <w:sz w:val="28"/>
          <w:szCs w:val="28"/>
          <w:lang w:val="uk-UA"/>
        </w:rPr>
      </w:pPr>
    </w:p>
    <w:p w:rsidR="00EA5059" w:rsidRDefault="00EA5059" w:rsidP="004E1A23">
      <w:pPr>
        <w:rPr>
          <w:b/>
          <w:sz w:val="28"/>
          <w:szCs w:val="28"/>
          <w:lang w:val="uk-UA"/>
        </w:rPr>
      </w:pPr>
    </w:p>
    <w:p w:rsidR="00EA5059" w:rsidRDefault="00EA5059" w:rsidP="004E1A23">
      <w:pPr>
        <w:rPr>
          <w:b/>
          <w:sz w:val="28"/>
          <w:szCs w:val="28"/>
          <w:lang w:val="uk-UA"/>
        </w:rPr>
        <w:sectPr w:rsidR="00EA5059" w:rsidSect="00631C4D">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EA5059" w:rsidRPr="00EA7761" w:rsidTr="00B26A25">
        <w:tc>
          <w:tcPr>
            <w:tcW w:w="3827" w:type="dxa"/>
            <w:shd w:val="clear" w:color="auto" w:fill="auto"/>
          </w:tcPr>
          <w:p w:rsidR="00EA5059" w:rsidRPr="00EA5059" w:rsidRDefault="00EA5059" w:rsidP="003E3EC1">
            <w:pPr>
              <w:pStyle w:val="4"/>
              <w:tabs>
                <w:tab w:val="left" w:pos="12600"/>
              </w:tabs>
              <w:spacing w:before="0" w:after="0"/>
              <w:jc w:val="both"/>
              <w:rPr>
                <w:b w:val="0"/>
                <w:sz w:val="18"/>
                <w:szCs w:val="18"/>
                <w:lang w:val="uk-UA"/>
              </w:rPr>
            </w:pPr>
            <w:bookmarkStart w:id="1" w:name="_Hlk64454507"/>
            <w:r w:rsidRPr="00EA5059">
              <w:rPr>
                <w:b w:val="0"/>
                <w:sz w:val="18"/>
                <w:szCs w:val="18"/>
                <w:lang w:val="uk-UA"/>
              </w:rPr>
              <w:lastRenderedPageBreak/>
              <w:t>Додаток 1</w:t>
            </w:r>
          </w:p>
          <w:p w:rsidR="00EA5059" w:rsidRPr="00EA5059" w:rsidRDefault="00EA5059" w:rsidP="003E3EC1">
            <w:pPr>
              <w:pStyle w:val="4"/>
              <w:tabs>
                <w:tab w:val="left" w:pos="12600"/>
              </w:tabs>
              <w:spacing w:before="0" w:after="0"/>
              <w:jc w:val="both"/>
              <w:rPr>
                <w:b w:val="0"/>
                <w:sz w:val="18"/>
                <w:szCs w:val="18"/>
                <w:lang w:val="uk-UA"/>
              </w:rPr>
            </w:pPr>
            <w:r w:rsidRPr="00EA5059">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EA5059" w:rsidRPr="00D925DF" w:rsidRDefault="00EA5059" w:rsidP="003E3EC1">
            <w:pPr>
              <w:pStyle w:val="Normal"/>
              <w:jc w:val="both"/>
              <w:rPr>
                <w:rFonts w:cs="Calibri"/>
                <w:u w:val="single"/>
              </w:rPr>
            </w:pPr>
            <w:r w:rsidRPr="00D925DF">
              <w:rPr>
                <w:sz w:val="18"/>
                <w:szCs w:val="18"/>
                <w:u w:val="single"/>
              </w:rPr>
              <w:t>від 25 лютого 2023 року № 389</w:t>
            </w:r>
          </w:p>
        </w:tc>
      </w:tr>
    </w:tbl>
    <w:bookmarkEnd w:id="1"/>
    <w:p w:rsidR="00EA5059" w:rsidRDefault="00EA5059" w:rsidP="00EA5059">
      <w:pPr>
        <w:pStyle w:val="4"/>
        <w:tabs>
          <w:tab w:val="left" w:pos="12600"/>
        </w:tabs>
        <w:rPr>
          <w:rFonts w:cs="Arial"/>
          <w:sz w:val="18"/>
          <w:szCs w:val="18"/>
        </w:rPr>
      </w:pPr>
      <w:r>
        <w:rPr>
          <w:rFonts w:cs="Arial"/>
          <w:sz w:val="18"/>
          <w:szCs w:val="18"/>
        </w:rPr>
        <w:t xml:space="preserve">                                                                                                                                                                                                       </w:t>
      </w:r>
    </w:p>
    <w:p w:rsidR="00EA5059" w:rsidRDefault="00EA5059" w:rsidP="00EA5059">
      <w:pPr>
        <w:pStyle w:val="4"/>
        <w:tabs>
          <w:tab w:val="left" w:pos="12600"/>
        </w:tabs>
        <w:rPr>
          <w:rFonts w:cs="Arial"/>
          <w:sz w:val="18"/>
          <w:szCs w:val="18"/>
        </w:rPr>
      </w:pPr>
    </w:p>
    <w:p w:rsidR="00EA5059" w:rsidRDefault="00EA5059" w:rsidP="00EA5059">
      <w:pPr>
        <w:pStyle w:val="4"/>
        <w:tabs>
          <w:tab w:val="left" w:pos="12600"/>
        </w:tabs>
        <w:rPr>
          <w:rFonts w:cs="Arial"/>
          <w:sz w:val="18"/>
          <w:szCs w:val="18"/>
        </w:rPr>
      </w:pPr>
    </w:p>
    <w:p w:rsidR="00EA5059" w:rsidRPr="00B83CB8" w:rsidRDefault="00EA5059" w:rsidP="00EA5059">
      <w:pPr>
        <w:pStyle w:val="4"/>
        <w:tabs>
          <w:tab w:val="left" w:pos="12600"/>
        </w:tabs>
        <w:rPr>
          <w:rFonts w:cs="Arial"/>
          <w:b w:val="0"/>
          <w:sz w:val="18"/>
          <w:szCs w:val="18"/>
        </w:rPr>
      </w:pPr>
      <w:r>
        <w:rPr>
          <w:rFonts w:cs="Arial"/>
          <w:sz w:val="18"/>
          <w:szCs w:val="18"/>
        </w:rPr>
        <w:t xml:space="preserve">    </w:t>
      </w:r>
    </w:p>
    <w:p w:rsidR="00EA5059" w:rsidRDefault="00EA5059" w:rsidP="00EA5059">
      <w:pPr>
        <w:pStyle w:val="2"/>
        <w:tabs>
          <w:tab w:val="left" w:pos="12600"/>
        </w:tabs>
        <w:jc w:val="center"/>
      </w:pPr>
    </w:p>
    <w:p w:rsidR="00EA5059" w:rsidRPr="003E3EC1" w:rsidRDefault="00EA5059" w:rsidP="003E3EC1">
      <w:pPr>
        <w:pStyle w:val="2"/>
        <w:tabs>
          <w:tab w:val="left" w:pos="12600"/>
        </w:tabs>
        <w:spacing w:before="0" w:after="0"/>
        <w:jc w:val="center"/>
        <w:rPr>
          <w:rFonts w:ascii="Times New Roman" w:hAnsi="Times New Roman"/>
          <w:i w:val="0"/>
          <w:caps/>
        </w:rPr>
      </w:pPr>
      <w:r w:rsidRPr="003E3EC1">
        <w:rPr>
          <w:rFonts w:ascii="Times New Roman" w:hAnsi="Times New Roman"/>
          <w:i w:val="0"/>
        </w:rPr>
        <w:t>ПЕРЕЛІК</w:t>
      </w:r>
    </w:p>
    <w:p w:rsidR="00EA5059" w:rsidRPr="003E3EC1" w:rsidRDefault="00EA5059" w:rsidP="003E3EC1">
      <w:pPr>
        <w:pStyle w:val="4"/>
        <w:tabs>
          <w:tab w:val="left" w:pos="12600"/>
        </w:tabs>
        <w:spacing w:before="0" w:after="0"/>
        <w:rPr>
          <w:caps/>
        </w:rPr>
      </w:pPr>
      <w:r w:rsidRPr="003E3EC1">
        <w:rPr>
          <w:caps/>
        </w:rPr>
        <w:t>зареєстрованих ЛІКАРСЬКИХ ЗАСОБІВ (медичних імунобіологічних препаратів),</w:t>
      </w:r>
    </w:p>
    <w:p w:rsidR="00EA5059" w:rsidRPr="003E3EC1" w:rsidRDefault="00EA5059" w:rsidP="003E3EC1">
      <w:pPr>
        <w:pStyle w:val="Normal"/>
        <w:jc w:val="center"/>
      </w:pPr>
      <w:r w:rsidRPr="003E3EC1">
        <w:rPr>
          <w:b/>
          <w:caps/>
          <w:sz w:val="28"/>
          <w:szCs w:val="28"/>
        </w:rPr>
        <w:t>які вносяться до державного реєстру лікарських засобів УКРАЇНи</w:t>
      </w:r>
      <w:r w:rsidRPr="003E3EC1">
        <w:rPr>
          <w:b/>
          <w:sz w:val="28"/>
          <w:szCs w:val="28"/>
        </w:rPr>
        <w:t xml:space="preserve">, ЯКІ ЗАРЕЄСТРОВАНІ КОМПЕТЕНТНИМИ ОРГАНАМИ </w:t>
      </w:r>
      <w:r w:rsidRPr="003E3EC1">
        <w:rPr>
          <w:b/>
          <w:sz w:val="28"/>
          <w:szCs w:val="28"/>
          <w:u w:val="single"/>
        </w:rPr>
        <w:t>СПОЛУЧЕНИХ ШТАТІВ АМЕРИКИ</w:t>
      </w:r>
      <w:r w:rsidRPr="003E3EC1">
        <w:rPr>
          <w:b/>
          <w:sz w:val="28"/>
          <w:szCs w:val="28"/>
        </w:rPr>
        <w:t xml:space="preserve">,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3E3EC1">
        <w:rPr>
          <w:b/>
          <w:sz w:val="28"/>
          <w:szCs w:val="28"/>
          <w:u w:val="single"/>
        </w:rPr>
        <w:t>ЄВРОПЕЙСЬКОГО СОЮЗУ</w:t>
      </w:r>
    </w:p>
    <w:p w:rsidR="00EA5059" w:rsidRPr="003E3EC1" w:rsidRDefault="00EA5059" w:rsidP="003E3EC1">
      <w:pPr>
        <w:pStyle w:val="Normal"/>
        <w:jc w:val="center"/>
      </w:pP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1134"/>
        <w:gridCol w:w="4111"/>
        <w:gridCol w:w="1134"/>
        <w:gridCol w:w="1134"/>
        <w:gridCol w:w="1134"/>
        <w:gridCol w:w="992"/>
        <w:gridCol w:w="1559"/>
      </w:tblGrid>
      <w:tr w:rsidR="00EA5059" w:rsidRPr="00805A29" w:rsidTr="003E3EC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jc w:val="center"/>
              <w:rPr>
                <w:rFonts w:ascii="Arial" w:hAnsi="Arial" w:cs="Arial"/>
                <w:b/>
                <w:i/>
                <w:sz w:val="16"/>
                <w:szCs w:val="16"/>
              </w:rPr>
            </w:pPr>
            <w:r w:rsidRPr="00805A29">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4111"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3E3EC1">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3E3EC1">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EA5059" w:rsidRPr="00805A29" w:rsidRDefault="00EA5059" w:rsidP="00B26A25">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EA5059" w:rsidRPr="00805A29" w:rsidTr="003E3EC1">
        <w:trPr>
          <w:tblHeader/>
        </w:trPr>
        <w:tc>
          <w:tcPr>
            <w:tcW w:w="567"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tabs>
                <w:tab w:val="left" w:pos="12600"/>
              </w:tabs>
              <w:jc w:val="center"/>
              <w:rPr>
                <w:rFonts w:ascii="Arial" w:hAnsi="Arial" w:cs="Arial"/>
                <w:color w:val="000000"/>
                <w:sz w:val="16"/>
                <w:szCs w:val="16"/>
              </w:rPr>
            </w:pPr>
          </w:p>
        </w:tc>
        <w:tc>
          <w:tcPr>
            <w:tcW w:w="4111"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EA5059" w:rsidRPr="00805A29" w:rsidRDefault="00EA5059" w:rsidP="003E3EC1">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059" w:rsidRPr="00805A29" w:rsidRDefault="00EA5059" w:rsidP="003E3EC1">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EA5059" w:rsidRPr="00805A29" w:rsidRDefault="00EA5059" w:rsidP="00B26A25">
            <w:pPr>
              <w:tabs>
                <w:tab w:val="left" w:pos="12600"/>
              </w:tabs>
              <w:jc w:val="center"/>
              <w:rPr>
                <w:rFonts w:ascii="Arial" w:hAnsi="Arial" w:cs="Arial"/>
                <w:sz w:val="16"/>
                <w:szCs w:val="16"/>
              </w:rPr>
            </w:pPr>
          </w:p>
        </w:tc>
      </w:tr>
      <w:tr w:rsidR="00EA5059" w:rsidRPr="00CB42DA" w:rsidTr="003E3EC1">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EA5059" w:rsidRPr="00CB42DA" w:rsidRDefault="00EA5059" w:rsidP="00EA5059">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A5059" w:rsidRPr="008F4B47" w:rsidRDefault="00EA5059" w:rsidP="00B26A25">
            <w:pPr>
              <w:pStyle w:val="Normal"/>
              <w:tabs>
                <w:tab w:val="left" w:pos="12600"/>
              </w:tabs>
              <w:rPr>
                <w:rFonts w:ascii="Arial" w:hAnsi="Arial" w:cs="Arial"/>
                <w:b/>
                <w:i/>
                <w:sz w:val="16"/>
                <w:szCs w:val="16"/>
              </w:rPr>
            </w:pPr>
            <w:r w:rsidRPr="008F4B47">
              <w:rPr>
                <w:rFonts w:ascii="Arial" w:hAnsi="Arial" w:cs="Arial"/>
                <w:b/>
                <w:sz w:val="16"/>
                <w:szCs w:val="16"/>
              </w:rPr>
              <w:t xml:space="preserve">ПІФЕЛТРО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5059" w:rsidRPr="008F4B47" w:rsidRDefault="00EA5059" w:rsidP="00B26A25">
            <w:pPr>
              <w:pStyle w:val="Normal"/>
              <w:tabs>
                <w:tab w:val="left" w:pos="12600"/>
              </w:tabs>
              <w:rPr>
                <w:rFonts w:ascii="Arial" w:hAnsi="Arial" w:cs="Arial"/>
                <w:sz w:val="16"/>
                <w:szCs w:val="16"/>
              </w:rPr>
            </w:pPr>
            <w:r w:rsidRPr="008F4B47">
              <w:rPr>
                <w:rFonts w:ascii="Arial" w:hAnsi="Arial" w:cs="Arial"/>
                <w:sz w:val="16"/>
                <w:szCs w:val="16"/>
              </w:rPr>
              <w:t>таблетки, вкриті плівковою оболонкою, по 100 мг, 30 таблеток, вкритих плівковою оболонкою у пляшці, 1 пляшка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мікробіологічне тестування якості:</w:t>
            </w:r>
            <w:r w:rsidRPr="008F4B47">
              <w:rPr>
                <w:rFonts w:ascii="Arial" w:hAnsi="Arial" w:cs="Arial"/>
                <w:sz w:val="16"/>
                <w:szCs w:val="16"/>
              </w:rPr>
              <w:br/>
              <w:t>Еурофінс Біофарма Продакт Тестінг Ірландія Лімітед, Ірландія;</w:t>
            </w:r>
          </w:p>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первинне та вторинне пакування, випуск серії:</w:t>
            </w:r>
            <w:r w:rsidRPr="008F4B47">
              <w:rPr>
                <w:rFonts w:ascii="Arial" w:hAnsi="Arial" w:cs="Arial"/>
                <w:sz w:val="16"/>
                <w:szCs w:val="16"/>
              </w:rPr>
              <w:br/>
              <w:t>Мерк Шарп і Доум Б.В., Нідерланди;</w:t>
            </w:r>
          </w:p>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виробництво (роликове ущільнення, змішування/змащування гранул, тиснення, покриття плівковою оболонкою), аналітичне тестування при випуску:</w:t>
            </w:r>
            <w:r w:rsidRPr="008F4B47">
              <w:rPr>
                <w:rFonts w:ascii="Arial" w:hAnsi="Arial" w:cs="Arial"/>
                <w:sz w:val="16"/>
                <w:szCs w:val="16"/>
              </w:rPr>
              <w:br/>
              <w:t>МСД Інтернешнл ГмбХ, Ірландія;</w:t>
            </w:r>
            <w:r w:rsidRPr="008F4B47">
              <w:rPr>
                <w:rFonts w:ascii="Arial" w:hAnsi="Arial" w:cs="Arial"/>
                <w:sz w:val="16"/>
                <w:szCs w:val="16"/>
              </w:rPr>
              <w:br/>
              <w:t>тестування стабільності:</w:t>
            </w:r>
            <w:r w:rsidRPr="008F4B47">
              <w:rPr>
                <w:rFonts w:ascii="Arial" w:hAnsi="Arial" w:cs="Arial"/>
                <w:sz w:val="16"/>
                <w:szCs w:val="16"/>
              </w:rPr>
              <w:br/>
              <w:t>Органон Фарма (Велика Британія) Лімітед, Велика Британія;</w:t>
            </w:r>
            <w:r w:rsidRPr="008F4B47">
              <w:rPr>
                <w:rFonts w:ascii="Arial" w:hAnsi="Arial" w:cs="Arial"/>
                <w:sz w:val="16"/>
                <w:szCs w:val="16"/>
              </w:rPr>
              <w:br/>
              <w:t>проміжний продукт доравірину, висушений розпиленням: виробництво/аналітичне тестування:</w:t>
            </w:r>
            <w:r w:rsidRPr="008F4B47">
              <w:rPr>
                <w:rFonts w:ascii="Arial" w:hAnsi="Arial" w:cs="Arial"/>
                <w:sz w:val="16"/>
                <w:szCs w:val="16"/>
              </w:rPr>
              <w:br/>
              <w:t>Ф.І.С. - Фаббріка Італьяна Сінтетічі С.п.А., Італія;</w:t>
            </w:r>
            <w:r w:rsidRPr="008F4B47">
              <w:rPr>
                <w:rFonts w:ascii="Arial" w:hAnsi="Arial" w:cs="Arial"/>
                <w:sz w:val="16"/>
                <w:szCs w:val="16"/>
              </w:rPr>
              <w:br/>
              <w:t>проміжний продукт доравірину, висушений розпиленням: виробництво/аналітичне тестування:</w:t>
            </w:r>
            <w:r w:rsidRPr="008F4B47">
              <w:rPr>
                <w:rFonts w:ascii="Arial" w:hAnsi="Arial" w:cs="Arial"/>
                <w:sz w:val="16"/>
                <w:szCs w:val="16"/>
              </w:rPr>
              <w:br/>
              <w:t>Ховіон ФармаСенсія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Ірландія/</w:t>
            </w:r>
          </w:p>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Нідерланди/</w:t>
            </w:r>
          </w:p>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Велика Британія/</w:t>
            </w:r>
          </w:p>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Італія/</w:t>
            </w:r>
          </w:p>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5059" w:rsidRPr="008F4B47" w:rsidRDefault="00EA5059" w:rsidP="00B26A25">
            <w:pPr>
              <w:pStyle w:val="Normal"/>
              <w:tabs>
                <w:tab w:val="left" w:pos="12600"/>
              </w:tabs>
              <w:jc w:val="center"/>
              <w:rPr>
                <w:rFonts w:ascii="Arial" w:hAnsi="Arial" w:cs="Arial"/>
                <w:sz w:val="16"/>
                <w:szCs w:val="16"/>
              </w:rPr>
            </w:pPr>
            <w:r w:rsidRPr="008F4B4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A5059" w:rsidRPr="008F4B47" w:rsidRDefault="00EA5059" w:rsidP="003E3EC1">
            <w:pPr>
              <w:pStyle w:val="Normal"/>
              <w:tabs>
                <w:tab w:val="left" w:pos="12600"/>
              </w:tabs>
              <w:jc w:val="center"/>
              <w:rPr>
                <w:rFonts w:ascii="Arial" w:hAnsi="Arial" w:cs="Arial"/>
                <w:b/>
                <w:i/>
                <w:sz w:val="16"/>
                <w:szCs w:val="16"/>
              </w:rPr>
            </w:pPr>
            <w:r w:rsidRPr="008F4B4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A5059" w:rsidRPr="008F4B47" w:rsidRDefault="00EA5059" w:rsidP="003E3EC1">
            <w:pPr>
              <w:pStyle w:val="Normal"/>
              <w:tabs>
                <w:tab w:val="left" w:pos="12600"/>
              </w:tabs>
              <w:jc w:val="center"/>
              <w:rPr>
                <w:rFonts w:ascii="Arial" w:hAnsi="Arial" w:cs="Arial"/>
                <w:i/>
                <w:sz w:val="16"/>
                <w:szCs w:val="16"/>
              </w:rPr>
            </w:pPr>
            <w:r w:rsidRPr="008F4B4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A5059" w:rsidRPr="00A95B5D" w:rsidRDefault="00EA5059" w:rsidP="00B26A25">
            <w:pPr>
              <w:pStyle w:val="Normal"/>
              <w:tabs>
                <w:tab w:val="left" w:pos="12600"/>
              </w:tabs>
              <w:jc w:val="center"/>
              <w:rPr>
                <w:rFonts w:ascii="Arial" w:hAnsi="Arial" w:cs="Arial"/>
                <w:sz w:val="16"/>
                <w:szCs w:val="16"/>
              </w:rPr>
            </w:pPr>
            <w:r w:rsidRPr="00A95B5D">
              <w:rPr>
                <w:rFonts w:ascii="Arial" w:hAnsi="Arial" w:cs="Arial"/>
                <w:sz w:val="16"/>
                <w:szCs w:val="16"/>
              </w:rPr>
              <w:t>UA/19910/01/01</w:t>
            </w:r>
          </w:p>
        </w:tc>
      </w:tr>
    </w:tbl>
    <w:p w:rsidR="00EA5059" w:rsidRDefault="00EA5059" w:rsidP="00EA5059">
      <w:pPr>
        <w:pStyle w:val="Normal"/>
        <w:jc w:val="center"/>
      </w:pPr>
    </w:p>
    <w:p w:rsidR="00EA5059" w:rsidRPr="005174B4" w:rsidRDefault="00EA5059" w:rsidP="00EA5059">
      <w:pPr>
        <w:pStyle w:val="Normal"/>
        <w:jc w:val="center"/>
      </w:pPr>
    </w:p>
    <w:p w:rsidR="00EA5059" w:rsidRDefault="00EA5059" w:rsidP="00EA5059">
      <w:pPr>
        <w:ind w:left="426"/>
        <w:rPr>
          <w:rFonts w:ascii="Arial" w:hAnsi="Arial" w:cs="Arial"/>
          <w:b/>
          <w:sz w:val="28"/>
          <w:szCs w:val="28"/>
        </w:rPr>
      </w:pPr>
      <w:r>
        <w:rPr>
          <w:rFonts w:ascii="Arial" w:hAnsi="Arial" w:cs="Arial"/>
          <w:b/>
          <w:sz w:val="28"/>
          <w:szCs w:val="28"/>
        </w:rPr>
        <w:t>В.о. начальника</w:t>
      </w:r>
    </w:p>
    <w:p w:rsidR="00EA5059" w:rsidRDefault="00EA5059" w:rsidP="00EA5059">
      <w:pPr>
        <w:ind w:left="426"/>
        <w:rPr>
          <w:rFonts w:ascii="Arial" w:hAnsi="Arial" w:cs="Arial"/>
          <w:b/>
          <w:sz w:val="22"/>
          <w:szCs w:val="22"/>
        </w:rPr>
      </w:pPr>
      <w:r>
        <w:rPr>
          <w:rFonts w:ascii="Arial" w:hAnsi="Arial" w:cs="Arial"/>
          <w:b/>
          <w:sz w:val="28"/>
          <w:szCs w:val="28"/>
        </w:rPr>
        <w:t>Фармацевтичного управління                                                                                                   Олександр ГРІЦЕНКО</w:t>
      </w:r>
    </w:p>
    <w:p w:rsidR="00EA5059" w:rsidRDefault="00EA5059" w:rsidP="004E1A23">
      <w:pPr>
        <w:rPr>
          <w:b/>
          <w:sz w:val="28"/>
          <w:szCs w:val="28"/>
          <w:lang w:val="uk-UA"/>
        </w:rPr>
        <w:sectPr w:rsidR="00EA5059" w:rsidSect="00B26A25">
          <w:headerReference w:type="even" r:id="rId13"/>
          <w:headerReference w:type="default" r:id="rId14"/>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960205" w:rsidRPr="00EA7761" w:rsidTr="00B26A25">
        <w:tc>
          <w:tcPr>
            <w:tcW w:w="3827" w:type="dxa"/>
            <w:shd w:val="clear" w:color="auto" w:fill="auto"/>
          </w:tcPr>
          <w:p w:rsidR="00960205" w:rsidRPr="00960205" w:rsidRDefault="00960205" w:rsidP="003E3EC1">
            <w:pPr>
              <w:pStyle w:val="4"/>
              <w:tabs>
                <w:tab w:val="left" w:pos="12600"/>
              </w:tabs>
              <w:spacing w:before="0" w:after="0"/>
              <w:jc w:val="both"/>
              <w:rPr>
                <w:b w:val="0"/>
                <w:sz w:val="18"/>
                <w:szCs w:val="18"/>
                <w:lang w:val="uk-UA"/>
              </w:rPr>
            </w:pPr>
            <w:r w:rsidRPr="00960205">
              <w:rPr>
                <w:b w:val="0"/>
                <w:sz w:val="18"/>
                <w:szCs w:val="18"/>
                <w:lang w:val="uk-UA"/>
              </w:rPr>
              <w:lastRenderedPageBreak/>
              <w:t xml:space="preserve">Додаток 2 </w:t>
            </w:r>
          </w:p>
          <w:p w:rsidR="00960205" w:rsidRPr="00960205" w:rsidRDefault="00960205" w:rsidP="003E3EC1">
            <w:pPr>
              <w:pStyle w:val="4"/>
              <w:tabs>
                <w:tab w:val="left" w:pos="12600"/>
              </w:tabs>
              <w:spacing w:before="0" w:after="0"/>
              <w:jc w:val="both"/>
              <w:rPr>
                <w:b w:val="0"/>
                <w:sz w:val="18"/>
                <w:szCs w:val="18"/>
                <w:lang w:val="uk-UA"/>
              </w:rPr>
            </w:pPr>
            <w:r w:rsidRPr="00960205">
              <w:rPr>
                <w:b w:val="0"/>
                <w:sz w:val="18"/>
                <w:szCs w:val="18"/>
                <w:lang w:val="uk-UA"/>
              </w:rPr>
              <w:t>до наказу Міністерства охорони здоров’я України «Про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960205" w:rsidRPr="003C5E4E" w:rsidRDefault="00960205" w:rsidP="003E3EC1">
            <w:pPr>
              <w:pStyle w:val="Normal"/>
              <w:jc w:val="both"/>
              <w:rPr>
                <w:rFonts w:cs="Calibri"/>
                <w:u w:val="single"/>
              </w:rPr>
            </w:pPr>
            <w:r w:rsidRPr="00307B30">
              <w:rPr>
                <w:sz w:val="18"/>
                <w:szCs w:val="18"/>
                <w:u w:val="single"/>
              </w:rPr>
              <w:t xml:space="preserve">від </w:t>
            </w:r>
            <w:r>
              <w:rPr>
                <w:sz w:val="18"/>
                <w:szCs w:val="18"/>
                <w:u w:val="single"/>
              </w:rPr>
              <w:t>25 лютого 2023</w:t>
            </w:r>
            <w:r w:rsidRPr="00307B30">
              <w:rPr>
                <w:sz w:val="18"/>
                <w:szCs w:val="18"/>
                <w:u w:val="single"/>
              </w:rPr>
              <w:t xml:space="preserve"> року № </w:t>
            </w:r>
            <w:r>
              <w:rPr>
                <w:sz w:val="18"/>
                <w:szCs w:val="18"/>
                <w:u w:val="single"/>
              </w:rPr>
              <w:t>389</w:t>
            </w:r>
          </w:p>
        </w:tc>
      </w:tr>
    </w:tbl>
    <w:p w:rsidR="00960205" w:rsidRDefault="00960205" w:rsidP="00960205">
      <w:pPr>
        <w:pStyle w:val="4"/>
        <w:tabs>
          <w:tab w:val="left" w:pos="12600"/>
        </w:tabs>
        <w:rPr>
          <w:rFonts w:cs="Arial"/>
          <w:sz w:val="18"/>
          <w:szCs w:val="18"/>
        </w:rPr>
      </w:pPr>
      <w:r>
        <w:rPr>
          <w:rFonts w:cs="Arial"/>
          <w:sz w:val="18"/>
          <w:szCs w:val="18"/>
        </w:rPr>
        <w:t xml:space="preserve">                                                                                                                                                                                                       </w:t>
      </w:r>
    </w:p>
    <w:p w:rsidR="00960205" w:rsidRDefault="00960205" w:rsidP="00960205">
      <w:pPr>
        <w:pStyle w:val="4"/>
        <w:tabs>
          <w:tab w:val="left" w:pos="12600"/>
        </w:tabs>
        <w:rPr>
          <w:rFonts w:cs="Arial"/>
          <w:sz w:val="18"/>
          <w:szCs w:val="18"/>
        </w:rPr>
      </w:pPr>
    </w:p>
    <w:p w:rsidR="00960205" w:rsidRDefault="00960205" w:rsidP="00960205">
      <w:pPr>
        <w:pStyle w:val="4"/>
        <w:tabs>
          <w:tab w:val="left" w:pos="12600"/>
        </w:tabs>
        <w:rPr>
          <w:rFonts w:cs="Arial"/>
          <w:sz w:val="18"/>
          <w:szCs w:val="18"/>
        </w:rPr>
      </w:pPr>
    </w:p>
    <w:p w:rsidR="00960205" w:rsidRPr="00B83CB8" w:rsidRDefault="00960205" w:rsidP="00960205">
      <w:pPr>
        <w:pStyle w:val="4"/>
        <w:tabs>
          <w:tab w:val="left" w:pos="12600"/>
        </w:tabs>
        <w:rPr>
          <w:rFonts w:cs="Arial"/>
          <w:b w:val="0"/>
          <w:sz w:val="18"/>
          <w:szCs w:val="18"/>
        </w:rPr>
      </w:pPr>
      <w:r>
        <w:rPr>
          <w:rFonts w:cs="Arial"/>
          <w:sz w:val="18"/>
          <w:szCs w:val="18"/>
        </w:rPr>
        <w:t xml:space="preserve">    </w:t>
      </w:r>
    </w:p>
    <w:p w:rsidR="00960205" w:rsidRDefault="00960205" w:rsidP="00960205">
      <w:pPr>
        <w:pStyle w:val="2"/>
        <w:tabs>
          <w:tab w:val="left" w:pos="12600"/>
        </w:tabs>
        <w:jc w:val="center"/>
      </w:pPr>
    </w:p>
    <w:p w:rsidR="003E3EC1" w:rsidRDefault="003E3EC1" w:rsidP="003E3EC1">
      <w:pPr>
        <w:pStyle w:val="2"/>
        <w:tabs>
          <w:tab w:val="left" w:pos="12600"/>
        </w:tabs>
        <w:spacing w:before="0" w:after="0"/>
        <w:jc w:val="center"/>
        <w:rPr>
          <w:rFonts w:ascii="Times New Roman" w:hAnsi="Times New Roman"/>
          <w:i w:val="0"/>
        </w:rPr>
      </w:pPr>
    </w:p>
    <w:p w:rsidR="00960205" w:rsidRPr="003E3EC1" w:rsidRDefault="00960205" w:rsidP="003E3EC1">
      <w:pPr>
        <w:pStyle w:val="2"/>
        <w:tabs>
          <w:tab w:val="left" w:pos="12600"/>
        </w:tabs>
        <w:spacing w:before="0" w:after="0"/>
        <w:jc w:val="center"/>
        <w:rPr>
          <w:rFonts w:ascii="Times New Roman" w:hAnsi="Times New Roman"/>
          <w:i w:val="0"/>
          <w:caps/>
        </w:rPr>
      </w:pPr>
      <w:r w:rsidRPr="003E3EC1">
        <w:rPr>
          <w:rFonts w:ascii="Times New Roman" w:hAnsi="Times New Roman"/>
          <w:i w:val="0"/>
        </w:rPr>
        <w:t>ПЕРЕЛІК</w:t>
      </w:r>
    </w:p>
    <w:p w:rsidR="00960205" w:rsidRPr="003E3EC1" w:rsidRDefault="00960205" w:rsidP="003E3EC1">
      <w:pPr>
        <w:pStyle w:val="4"/>
        <w:tabs>
          <w:tab w:val="left" w:pos="12600"/>
        </w:tabs>
        <w:spacing w:before="0" w:after="0"/>
        <w:rPr>
          <w:caps/>
        </w:rPr>
      </w:pPr>
      <w:r w:rsidRPr="003E3EC1">
        <w:rPr>
          <w:caps/>
        </w:rPr>
        <w:t>перереєстрованих ЛІКАРСЬКИХ ЗАСОБІВ (медичних імунобіологічних препаратів),</w:t>
      </w:r>
    </w:p>
    <w:p w:rsidR="00960205" w:rsidRPr="003E3EC1" w:rsidRDefault="00960205" w:rsidP="003E3EC1">
      <w:pPr>
        <w:pStyle w:val="Normal"/>
        <w:jc w:val="center"/>
      </w:pPr>
      <w:r w:rsidRPr="003E3EC1">
        <w:rPr>
          <w:b/>
          <w:caps/>
          <w:sz w:val="28"/>
          <w:szCs w:val="28"/>
        </w:rPr>
        <w:t>які вносяться до державного реєстру лікарських засобів УКРАЇНи</w:t>
      </w:r>
      <w:r w:rsidRPr="003E3EC1">
        <w:rPr>
          <w:b/>
          <w:sz w:val="28"/>
          <w:szCs w:val="28"/>
        </w:rPr>
        <w:t xml:space="preserve">, ЯКІ ЗАРЕЄСТРОВАНІ КОМПЕТЕНТНИМИ ОРГАНАМИ СПОЛУЧЕНИХ ШТАТІВ АМЕРИКИ, ШВЕЙЦАРСЬКОЇ КОНФЕДЕРАЦІЇ, ЯПОНІЇ, АВСТРАЛІЇ, </w:t>
      </w:r>
      <w:r w:rsidRPr="003E3EC1">
        <w:rPr>
          <w:b/>
          <w:sz w:val="28"/>
          <w:szCs w:val="28"/>
          <w:u w:val="single"/>
        </w:rPr>
        <w:t>КАНАДИ</w:t>
      </w:r>
      <w:r w:rsidRPr="003E3EC1">
        <w:rPr>
          <w:b/>
          <w:sz w:val="28"/>
          <w:szCs w:val="28"/>
        </w:rPr>
        <w:t>, ЛІКАРСЬКИХ ЗАСОБІВ, ЩО ЗА ЦЕНТРАЛІЗОВАНОЮ ПРОЦЕДУРОЮ ЗАРЕЄСТРОВАНІ КОМПЕТЕНТНИМ ОРГАНОМ ЄВРОПЕЙСЬКОГО СОЮЗУ</w:t>
      </w:r>
    </w:p>
    <w:p w:rsidR="00960205" w:rsidRPr="003E3EC1" w:rsidRDefault="00960205" w:rsidP="003E3EC1">
      <w:pPr>
        <w:pStyle w:val="Normal"/>
        <w:jc w:val="center"/>
      </w:pPr>
    </w:p>
    <w:tbl>
      <w:tblPr>
        <w:tblpPr w:leftFromText="180" w:rightFromText="180" w:vertAnchor="text" w:tblpX="108" w:tblpY="1"/>
        <w:tblOverlap w:val="never"/>
        <w:tblW w:w="160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276"/>
        <w:gridCol w:w="850"/>
        <w:gridCol w:w="1560"/>
        <w:gridCol w:w="850"/>
        <w:gridCol w:w="4253"/>
        <w:gridCol w:w="1134"/>
        <w:gridCol w:w="992"/>
        <w:gridCol w:w="1559"/>
      </w:tblGrid>
      <w:tr w:rsidR="00960205" w:rsidRPr="00805A29" w:rsidTr="003E3EC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jc w:val="center"/>
              <w:rPr>
                <w:rFonts w:ascii="Arial" w:hAnsi="Arial" w:cs="Arial"/>
                <w:b/>
                <w:i/>
                <w:sz w:val="16"/>
                <w:szCs w:val="16"/>
              </w:rPr>
            </w:pPr>
            <w:r w:rsidRPr="00805A29">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960205" w:rsidRPr="00805A29" w:rsidRDefault="00960205" w:rsidP="003E3EC1">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960205" w:rsidRPr="00805A29" w:rsidTr="003E3EC1">
        <w:trPr>
          <w:tblHeader/>
        </w:trPr>
        <w:tc>
          <w:tcPr>
            <w:tcW w:w="567"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color w:val="000000"/>
                <w:sz w:val="16"/>
                <w:szCs w:val="16"/>
              </w:rPr>
            </w:pPr>
          </w:p>
        </w:tc>
        <w:tc>
          <w:tcPr>
            <w:tcW w:w="4253"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960205" w:rsidRPr="00805A29" w:rsidRDefault="00960205" w:rsidP="003E3EC1">
            <w:pPr>
              <w:tabs>
                <w:tab w:val="left" w:pos="12600"/>
              </w:tabs>
              <w:jc w:val="center"/>
              <w:rPr>
                <w:rFonts w:ascii="Arial" w:hAnsi="Arial" w:cs="Arial"/>
                <w:sz w:val="16"/>
                <w:szCs w:val="16"/>
              </w:rPr>
            </w:pPr>
          </w:p>
        </w:tc>
      </w:tr>
      <w:tr w:rsidR="00960205" w:rsidRPr="003E1B23" w:rsidTr="003E3EC1">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60205" w:rsidRPr="003E1B23" w:rsidRDefault="00960205" w:rsidP="003E3EC1">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60205" w:rsidRPr="0078110E" w:rsidRDefault="00960205" w:rsidP="003E3EC1">
            <w:pPr>
              <w:pStyle w:val="Normal"/>
              <w:tabs>
                <w:tab w:val="left" w:pos="12600"/>
              </w:tabs>
              <w:rPr>
                <w:rFonts w:ascii="Arial" w:hAnsi="Arial" w:cs="Arial"/>
                <w:b/>
                <w:i/>
                <w:color w:val="000000"/>
                <w:sz w:val="16"/>
                <w:szCs w:val="16"/>
              </w:rPr>
            </w:pPr>
            <w:r w:rsidRPr="0078110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rPr>
                <w:rFonts w:ascii="Arial" w:hAnsi="Arial" w:cs="Arial"/>
                <w:color w:val="000000"/>
                <w:sz w:val="16"/>
                <w:szCs w:val="16"/>
                <w:lang w:val="ru-RU"/>
              </w:rPr>
            </w:pPr>
            <w:r w:rsidRPr="0078110E">
              <w:rPr>
                <w:rFonts w:ascii="Arial" w:hAnsi="Arial" w:cs="Arial"/>
                <w:color w:val="000000"/>
                <w:sz w:val="16"/>
                <w:szCs w:val="16"/>
                <w:lang w:val="ru-RU"/>
              </w:rPr>
              <w:t>капсули по 10 мг, по 15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lang w:val="ru-RU"/>
              </w:rPr>
            </w:pPr>
            <w:r w:rsidRPr="0078110E">
              <w:rPr>
                <w:rFonts w:ascii="Arial" w:hAnsi="Arial" w:cs="Arial"/>
                <w:color w:val="000000"/>
                <w:sz w:val="16"/>
                <w:szCs w:val="16"/>
                <w:lang w:val="ru-RU"/>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78110E">
              <w:rPr>
                <w:rFonts w:ascii="Arial" w:hAnsi="Arial" w:cs="Arial"/>
                <w:color w:val="000000"/>
                <w:sz w:val="16"/>
                <w:szCs w:val="16"/>
              </w:rPr>
              <w:b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960205"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"Спосіб застосування та дози", "Побічні реакції" відповідно до інформації референтного лікарського засобу (STRATTERA® 10 mg, 18 mg, 25 mg, 40 mg, 60 mg, hard capsules). </w:t>
            </w:r>
            <w:r w:rsidRPr="007811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60205" w:rsidRPr="0078110E" w:rsidRDefault="00960205" w:rsidP="003E3EC1">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b/>
                <w:i/>
                <w:color w:val="000000"/>
                <w:sz w:val="16"/>
                <w:szCs w:val="16"/>
              </w:rPr>
            </w:pPr>
            <w:r w:rsidRPr="007811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0205" w:rsidRPr="001E063C" w:rsidRDefault="00960205" w:rsidP="003E3EC1">
            <w:pPr>
              <w:pStyle w:val="Normal"/>
              <w:tabs>
                <w:tab w:val="left" w:pos="12600"/>
              </w:tabs>
              <w:jc w:val="center"/>
              <w:rPr>
                <w:rFonts w:ascii="Arial" w:hAnsi="Arial" w:cs="Arial"/>
                <w:i/>
                <w:sz w:val="16"/>
                <w:szCs w:val="16"/>
              </w:rPr>
            </w:pPr>
            <w:r w:rsidRPr="001E06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sz w:val="16"/>
                <w:szCs w:val="16"/>
              </w:rPr>
            </w:pPr>
            <w:r w:rsidRPr="0078110E">
              <w:rPr>
                <w:rFonts w:ascii="Arial" w:hAnsi="Arial" w:cs="Arial"/>
                <w:sz w:val="16"/>
                <w:szCs w:val="16"/>
              </w:rPr>
              <w:t>UA/16627/01/01</w:t>
            </w:r>
          </w:p>
        </w:tc>
      </w:tr>
      <w:tr w:rsidR="00960205" w:rsidRPr="003E1B23" w:rsidTr="003E3EC1">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60205" w:rsidRPr="003E1B23" w:rsidRDefault="00960205" w:rsidP="003E3EC1">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60205" w:rsidRPr="0078110E" w:rsidRDefault="00960205" w:rsidP="003E3EC1">
            <w:pPr>
              <w:pStyle w:val="Normal"/>
              <w:tabs>
                <w:tab w:val="left" w:pos="12600"/>
              </w:tabs>
              <w:rPr>
                <w:rFonts w:ascii="Arial" w:hAnsi="Arial" w:cs="Arial"/>
                <w:b/>
                <w:i/>
                <w:color w:val="000000"/>
                <w:sz w:val="16"/>
                <w:szCs w:val="16"/>
              </w:rPr>
            </w:pPr>
            <w:r w:rsidRPr="0078110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rPr>
                <w:rFonts w:ascii="Arial" w:hAnsi="Arial" w:cs="Arial"/>
                <w:color w:val="000000"/>
                <w:sz w:val="16"/>
                <w:szCs w:val="16"/>
                <w:lang w:val="ru-RU"/>
              </w:rPr>
            </w:pPr>
            <w:r w:rsidRPr="0078110E">
              <w:rPr>
                <w:rFonts w:ascii="Arial" w:hAnsi="Arial" w:cs="Arial"/>
                <w:color w:val="000000"/>
                <w:sz w:val="16"/>
                <w:szCs w:val="16"/>
                <w:lang w:val="ru-RU"/>
              </w:rPr>
              <w:t>капсули по 18 мг, по 15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lang w:val="ru-RU"/>
              </w:rPr>
            </w:pPr>
            <w:r w:rsidRPr="0078110E">
              <w:rPr>
                <w:rFonts w:ascii="Arial" w:hAnsi="Arial" w:cs="Arial"/>
                <w:color w:val="000000"/>
                <w:sz w:val="16"/>
                <w:szCs w:val="16"/>
                <w:lang w:val="ru-RU"/>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78110E">
              <w:rPr>
                <w:rFonts w:ascii="Arial" w:hAnsi="Arial" w:cs="Arial"/>
                <w:color w:val="000000"/>
                <w:sz w:val="16"/>
                <w:szCs w:val="16"/>
              </w:rPr>
              <w:br/>
              <w:t xml:space="preserve">Фармасайнс Інк.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"Спосіб застосування та дози", "Побічні реакції" відповідно до інформації референтного лікарського засобу (STRATTERA® 10 mg, 18 mg, 25 mg, 40 mg, 60 mg, hard capsules). </w:t>
            </w:r>
            <w:r w:rsidRPr="007811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b/>
                <w:i/>
                <w:color w:val="000000"/>
                <w:sz w:val="16"/>
                <w:szCs w:val="16"/>
              </w:rPr>
            </w:pPr>
            <w:r w:rsidRPr="007811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0205" w:rsidRPr="001E063C" w:rsidRDefault="00960205" w:rsidP="003E3EC1">
            <w:pPr>
              <w:pStyle w:val="Normal"/>
              <w:tabs>
                <w:tab w:val="left" w:pos="12600"/>
              </w:tabs>
              <w:jc w:val="center"/>
              <w:rPr>
                <w:rFonts w:ascii="Arial" w:hAnsi="Arial" w:cs="Arial"/>
                <w:i/>
                <w:sz w:val="16"/>
                <w:szCs w:val="16"/>
              </w:rPr>
            </w:pPr>
            <w:r w:rsidRPr="001E06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sz w:val="16"/>
                <w:szCs w:val="16"/>
              </w:rPr>
            </w:pPr>
            <w:r w:rsidRPr="0078110E">
              <w:rPr>
                <w:rFonts w:ascii="Arial" w:hAnsi="Arial" w:cs="Arial"/>
                <w:sz w:val="16"/>
                <w:szCs w:val="16"/>
              </w:rPr>
              <w:t>UA/16627/01/02</w:t>
            </w:r>
          </w:p>
        </w:tc>
      </w:tr>
      <w:tr w:rsidR="00960205" w:rsidRPr="003E1B23" w:rsidTr="003E3EC1">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60205" w:rsidRPr="003E1B23" w:rsidRDefault="00960205" w:rsidP="003E3EC1">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60205" w:rsidRPr="0078110E" w:rsidRDefault="00960205" w:rsidP="003E3EC1">
            <w:pPr>
              <w:pStyle w:val="Normal"/>
              <w:tabs>
                <w:tab w:val="left" w:pos="12600"/>
              </w:tabs>
              <w:rPr>
                <w:rFonts w:ascii="Arial" w:hAnsi="Arial" w:cs="Arial"/>
                <w:b/>
                <w:i/>
                <w:color w:val="000000"/>
                <w:sz w:val="16"/>
                <w:szCs w:val="16"/>
              </w:rPr>
            </w:pPr>
            <w:r w:rsidRPr="0078110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rPr>
                <w:rFonts w:ascii="Arial" w:hAnsi="Arial" w:cs="Arial"/>
                <w:color w:val="000000"/>
                <w:sz w:val="16"/>
                <w:szCs w:val="16"/>
              </w:rPr>
            </w:pPr>
            <w:r w:rsidRPr="0078110E">
              <w:rPr>
                <w:rFonts w:ascii="Arial" w:hAnsi="Arial" w:cs="Arial"/>
                <w:color w:val="000000"/>
                <w:sz w:val="16"/>
                <w:szCs w:val="16"/>
              </w:rPr>
              <w:t>капсули по 25 мг, по 15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lang w:val="ru-RU"/>
              </w:rPr>
            </w:pPr>
            <w:r w:rsidRPr="0078110E">
              <w:rPr>
                <w:rFonts w:ascii="Arial" w:hAnsi="Arial" w:cs="Arial"/>
                <w:color w:val="000000"/>
                <w:sz w:val="16"/>
                <w:szCs w:val="16"/>
                <w:lang w:val="ru-RU"/>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78110E">
              <w:rPr>
                <w:rFonts w:ascii="Arial" w:hAnsi="Arial" w:cs="Arial"/>
                <w:color w:val="000000"/>
                <w:sz w:val="16"/>
                <w:szCs w:val="16"/>
              </w:rPr>
              <w:br/>
              <w:t xml:space="preserve">Фармасайнс Інк.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960205"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"Спосіб застосування та дози", "Побічні реакції" відповідно до інформації референтного лікарського засобу (STRATTERA® 10 mg, 18 mg, 25 mg, 40 mg, 60 mg, hard capsules). </w:t>
            </w:r>
            <w:r w:rsidRPr="007811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60205" w:rsidRPr="0078110E" w:rsidRDefault="00960205" w:rsidP="003E3EC1">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b/>
                <w:i/>
                <w:color w:val="000000"/>
                <w:sz w:val="16"/>
                <w:szCs w:val="16"/>
              </w:rPr>
            </w:pPr>
            <w:r w:rsidRPr="007811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0205" w:rsidRPr="001E063C" w:rsidRDefault="00960205" w:rsidP="003E3EC1">
            <w:pPr>
              <w:pStyle w:val="Normal"/>
              <w:tabs>
                <w:tab w:val="left" w:pos="12600"/>
              </w:tabs>
              <w:jc w:val="center"/>
              <w:rPr>
                <w:rFonts w:ascii="Arial" w:hAnsi="Arial" w:cs="Arial"/>
                <w:i/>
                <w:sz w:val="16"/>
                <w:szCs w:val="16"/>
              </w:rPr>
            </w:pPr>
            <w:r w:rsidRPr="001E06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sz w:val="16"/>
                <w:szCs w:val="16"/>
              </w:rPr>
            </w:pPr>
            <w:r w:rsidRPr="0078110E">
              <w:rPr>
                <w:rFonts w:ascii="Arial" w:hAnsi="Arial" w:cs="Arial"/>
                <w:sz w:val="16"/>
                <w:szCs w:val="16"/>
              </w:rPr>
              <w:t>UA/16627/01/03</w:t>
            </w:r>
          </w:p>
        </w:tc>
      </w:tr>
      <w:tr w:rsidR="00960205" w:rsidRPr="003E1B23" w:rsidTr="003E3EC1">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60205" w:rsidRPr="003E1B23" w:rsidRDefault="00960205" w:rsidP="003E3EC1">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60205" w:rsidRPr="0078110E" w:rsidRDefault="00960205" w:rsidP="003E3EC1">
            <w:pPr>
              <w:pStyle w:val="Normal"/>
              <w:tabs>
                <w:tab w:val="left" w:pos="12600"/>
              </w:tabs>
              <w:rPr>
                <w:rFonts w:ascii="Arial" w:hAnsi="Arial" w:cs="Arial"/>
                <w:b/>
                <w:i/>
                <w:color w:val="000000"/>
                <w:sz w:val="16"/>
                <w:szCs w:val="16"/>
              </w:rPr>
            </w:pPr>
            <w:r w:rsidRPr="0078110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rPr>
                <w:rFonts w:ascii="Arial" w:hAnsi="Arial" w:cs="Arial"/>
                <w:color w:val="000000"/>
                <w:sz w:val="16"/>
                <w:szCs w:val="16"/>
              </w:rPr>
            </w:pPr>
            <w:r w:rsidRPr="0078110E">
              <w:rPr>
                <w:rFonts w:ascii="Arial" w:hAnsi="Arial" w:cs="Arial"/>
                <w:color w:val="000000"/>
                <w:sz w:val="16"/>
                <w:szCs w:val="16"/>
              </w:rPr>
              <w:t>капсули по 40 мг, по 15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lang w:val="ru-RU"/>
              </w:rPr>
            </w:pPr>
            <w:r w:rsidRPr="0078110E">
              <w:rPr>
                <w:rFonts w:ascii="Arial" w:hAnsi="Arial" w:cs="Arial"/>
                <w:color w:val="000000"/>
                <w:sz w:val="16"/>
                <w:szCs w:val="16"/>
                <w:lang w:val="ru-RU"/>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78110E">
              <w:rPr>
                <w:rFonts w:ascii="Arial" w:hAnsi="Arial" w:cs="Arial"/>
                <w:color w:val="000000"/>
                <w:sz w:val="16"/>
                <w:szCs w:val="16"/>
              </w:rPr>
              <w:br/>
              <w:t xml:space="preserve">Фармасайнс Інк.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960205"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"Спосіб застосування та дози", "Побічні реакції" відповідно до інформації референтного лікарського засобу (STRATTERA® 10 mg, 18 mg, 25 mg, 40 mg, 60 mg, hard capsules). </w:t>
            </w:r>
            <w:r w:rsidRPr="007811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60205" w:rsidRPr="0078110E" w:rsidRDefault="00960205" w:rsidP="003E3EC1">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b/>
                <w:i/>
                <w:color w:val="000000"/>
                <w:sz w:val="16"/>
                <w:szCs w:val="16"/>
              </w:rPr>
            </w:pPr>
            <w:r w:rsidRPr="007811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0205" w:rsidRPr="001E063C" w:rsidRDefault="00960205" w:rsidP="003E3EC1">
            <w:pPr>
              <w:pStyle w:val="Normal"/>
              <w:tabs>
                <w:tab w:val="left" w:pos="12600"/>
              </w:tabs>
              <w:jc w:val="center"/>
              <w:rPr>
                <w:rFonts w:ascii="Arial" w:hAnsi="Arial" w:cs="Arial"/>
                <w:i/>
                <w:sz w:val="16"/>
                <w:szCs w:val="16"/>
              </w:rPr>
            </w:pPr>
            <w:r w:rsidRPr="001E06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sz w:val="16"/>
                <w:szCs w:val="16"/>
              </w:rPr>
            </w:pPr>
            <w:r w:rsidRPr="0078110E">
              <w:rPr>
                <w:rFonts w:ascii="Arial" w:hAnsi="Arial" w:cs="Arial"/>
                <w:sz w:val="16"/>
                <w:szCs w:val="16"/>
              </w:rPr>
              <w:t>UA/16627/01/04</w:t>
            </w:r>
          </w:p>
        </w:tc>
      </w:tr>
      <w:tr w:rsidR="00960205" w:rsidRPr="003E1B23" w:rsidTr="003E3EC1">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960205" w:rsidRPr="003E1B23" w:rsidRDefault="00960205" w:rsidP="003E3EC1">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60205" w:rsidRPr="0078110E" w:rsidRDefault="00960205" w:rsidP="003E3EC1">
            <w:pPr>
              <w:pStyle w:val="Normal"/>
              <w:tabs>
                <w:tab w:val="left" w:pos="12600"/>
              </w:tabs>
              <w:rPr>
                <w:rFonts w:ascii="Arial" w:hAnsi="Arial" w:cs="Arial"/>
                <w:b/>
                <w:i/>
                <w:color w:val="000000"/>
                <w:sz w:val="16"/>
                <w:szCs w:val="16"/>
              </w:rPr>
            </w:pPr>
            <w:r w:rsidRPr="0078110E">
              <w:rPr>
                <w:rFonts w:ascii="Arial" w:hAnsi="Arial" w:cs="Arial"/>
                <w:b/>
                <w:sz w:val="16"/>
                <w:szCs w:val="16"/>
              </w:rPr>
              <w:t>МОНСЕТИН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rPr>
                <w:rFonts w:ascii="Arial" w:hAnsi="Arial" w:cs="Arial"/>
                <w:color w:val="000000"/>
                <w:sz w:val="16"/>
                <w:szCs w:val="16"/>
              </w:rPr>
            </w:pPr>
            <w:r w:rsidRPr="0078110E">
              <w:rPr>
                <w:rFonts w:ascii="Arial" w:hAnsi="Arial" w:cs="Arial"/>
                <w:color w:val="000000"/>
                <w:sz w:val="16"/>
                <w:szCs w:val="16"/>
              </w:rPr>
              <w:t>капсули по 60 мг, по 15 капсул у блістері,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lang w:val="ru-RU"/>
              </w:rPr>
            </w:pPr>
            <w:r w:rsidRPr="0078110E">
              <w:rPr>
                <w:rFonts w:ascii="Arial" w:hAnsi="Arial" w:cs="Arial"/>
                <w:color w:val="000000"/>
                <w:sz w:val="16"/>
                <w:szCs w:val="16"/>
                <w:lang w:val="ru-RU"/>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78110E">
              <w:rPr>
                <w:rFonts w:ascii="Arial" w:hAnsi="Arial" w:cs="Arial"/>
                <w:color w:val="000000"/>
                <w:sz w:val="16"/>
                <w:szCs w:val="16"/>
              </w:rPr>
              <w:br/>
              <w:t xml:space="preserve">Фармасайнс Інк.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color w:val="000000"/>
                <w:sz w:val="16"/>
                <w:szCs w:val="16"/>
              </w:rPr>
            </w:pPr>
            <w:r w:rsidRPr="0078110E">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"Спосіб застосування та дози", "Побічні реакції" відповідно до інформації референтного лікарського засобу (STRATTERA® 10 mg, 18 mg, 25 mg, 40 mg, 60 mg, hard capsules). </w:t>
            </w:r>
            <w:r w:rsidRPr="0078110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b/>
                <w:i/>
                <w:color w:val="000000"/>
                <w:sz w:val="16"/>
                <w:szCs w:val="16"/>
              </w:rPr>
            </w:pPr>
            <w:r w:rsidRPr="007811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60205" w:rsidRPr="001E063C" w:rsidRDefault="00960205" w:rsidP="003E3EC1">
            <w:pPr>
              <w:pStyle w:val="Normal"/>
              <w:tabs>
                <w:tab w:val="left" w:pos="12600"/>
              </w:tabs>
              <w:jc w:val="center"/>
              <w:rPr>
                <w:rFonts w:ascii="Arial" w:hAnsi="Arial" w:cs="Arial"/>
                <w:i/>
                <w:sz w:val="16"/>
                <w:szCs w:val="16"/>
              </w:rPr>
            </w:pPr>
            <w:r w:rsidRPr="001E06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60205" w:rsidRPr="0078110E" w:rsidRDefault="00960205" w:rsidP="003E3EC1">
            <w:pPr>
              <w:pStyle w:val="Normal"/>
              <w:tabs>
                <w:tab w:val="left" w:pos="12600"/>
              </w:tabs>
              <w:jc w:val="center"/>
              <w:rPr>
                <w:rFonts w:ascii="Arial" w:hAnsi="Arial" w:cs="Arial"/>
                <w:sz w:val="16"/>
                <w:szCs w:val="16"/>
              </w:rPr>
            </w:pPr>
            <w:r w:rsidRPr="0078110E">
              <w:rPr>
                <w:rFonts w:ascii="Arial" w:hAnsi="Arial" w:cs="Arial"/>
                <w:sz w:val="16"/>
                <w:szCs w:val="16"/>
              </w:rPr>
              <w:t>UA/16627/01/05</w:t>
            </w:r>
          </w:p>
        </w:tc>
      </w:tr>
    </w:tbl>
    <w:p w:rsidR="00960205" w:rsidRDefault="00960205" w:rsidP="00960205">
      <w:pPr>
        <w:pStyle w:val="Normal"/>
        <w:jc w:val="center"/>
      </w:pPr>
    </w:p>
    <w:p w:rsidR="00960205" w:rsidRDefault="00960205" w:rsidP="00960205">
      <w:pPr>
        <w:pStyle w:val="Normal"/>
        <w:jc w:val="center"/>
      </w:pPr>
    </w:p>
    <w:p w:rsidR="00960205" w:rsidRPr="005174B4" w:rsidRDefault="00960205" w:rsidP="00960205">
      <w:pPr>
        <w:pStyle w:val="Normal"/>
        <w:jc w:val="center"/>
      </w:pPr>
    </w:p>
    <w:p w:rsidR="00960205" w:rsidRDefault="00960205" w:rsidP="00960205">
      <w:pPr>
        <w:ind w:left="567" w:right="20"/>
        <w:rPr>
          <w:b/>
          <w:bCs/>
          <w:sz w:val="28"/>
          <w:szCs w:val="28"/>
        </w:rPr>
      </w:pPr>
      <w:r>
        <w:rPr>
          <w:b/>
          <w:bCs/>
          <w:sz w:val="28"/>
          <w:szCs w:val="28"/>
        </w:rPr>
        <w:t xml:space="preserve">В.о. начальника </w:t>
      </w:r>
    </w:p>
    <w:p w:rsidR="00960205" w:rsidRDefault="00960205" w:rsidP="00960205">
      <w:pPr>
        <w:ind w:left="567" w:right="20"/>
        <w:rPr>
          <w:rStyle w:val="cs7864ebcf1"/>
          <w:sz w:val="28"/>
          <w:szCs w:val="28"/>
        </w:rPr>
      </w:pPr>
      <w:r>
        <w:rPr>
          <w:rStyle w:val="cs7864ebcf1"/>
          <w:sz w:val="28"/>
          <w:szCs w:val="28"/>
        </w:rPr>
        <w:t>Фармацевтичного управління                                                                                                                  Олександр ГРІЦЕНКО</w:t>
      </w:r>
    </w:p>
    <w:p w:rsidR="00960205" w:rsidRDefault="00960205" w:rsidP="004E1A23">
      <w:pPr>
        <w:rPr>
          <w:b/>
          <w:sz w:val="28"/>
          <w:szCs w:val="28"/>
          <w:lang w:val="uk-UA"/>
        </w:rPr>
        <w:sectPr w:rsidR="00960205" w:rsidSect="00B26A25">
          <w:headerReference w:type="even" r:id="rId15"/>
          <w:headerReference w:type="default" r:id="rId16"/>
          <w:pgSz w:w="16838" w:h="11906" w:orient="landscape"/>
          <w:pgMar w:top="568" w:right="850" w:bottom="540" w:left="540" w:header="708" w:footer="708" w:gutter="0"/>
          <w:cols w:space="708"/>
          <w:titlePg/>
          <w:docGrid w:linePitch="360"/>
        </w:sectPr>
      </w:pPr>
    </w:p>
    <w:p w:rsidR="00180B55" w:rsidRDefault="00180B55" w:rsidP="00180B55"/>
    <w:tbl>
      <w:tblPr>
        <w:tblpPr w:leftFromText="180" w:rightFromText="180" w:vertAnchor="text" w:horzAnchor="page" w:tblpX="12546" w:tblpY="-207"/>
        <w:tblW w:w="0" w:type="auto"/>
        <w:tblLook w:val="04A0" w:firstRow="1" w:lastRow="0" w:firstColumn="1" w:lastColumn="0" w:noHBand="0" w:noVBand="1"/>
      </w:tblPr>
      <w:tblGrid>
        <w:gridCol w:w="3827"/>
      </w:tblGrid>
      <w:tr w:rsidR="00180B55" w:rsidRPr="00323AA9" w:rsidTr="00B26A25">
        <w:tc>
          <w:tcPr>
            <w:tcW w:w="3827" w:type="dxa"/>
            <w:hideMark/>
          </w:tcPr>
          <w:p w:rsidR="00180B55" w:rsidRDefault="00180B55" w:rsidP="003E3EC1">
            <w:pPr>
              <w:pStyle w:val="4"/>
              <w:tabs>
                <w:tab w:val="left" w:pos="12600"/>
              </w:tabs>
              <w:spacing w:before="0" w:after="0"/>
              <w:jc w:val="both"/>
              <w:rPr>
                <w:b w:val="0"/>
                <w:sz w:val="18"/>
                <w:szCs w:val="18"/>
              </w:rPr>
            </w:pPr>
            <w:r>
              <w:rPr>
                <w:b w:val="0"/>
                <w:sz w:val="18"/>
                <w:szCs w:val="18"/>
              </w:rPr>
              <w:t>Додаток 3</w:t>
            </w:r>
          </w:p>
          <w:p w:rsidR="00180B55" w:rsidRPr="00135231" w:rsidRDefault="00180B55" w:rsidP="003E3EC1">
            <w:pPr>
              <w:jc w:val="both"/>
              <w:rPr>
                <w:sz w:val="18"/>
                <w:szCs w:val="18"/>
              </w:rPr>
            </w:pPr>
            <w:r w:rsidRPr="00323AA9">
              <w:rPr>
                <w:sz w:val="18"/>
                <w:szCs w:val="18"/>
              </w:rPr>
              <w:t>до наказу Міністерства охорони здоров’я України «</w:t>
            </w:r>
            <w:r w:rsidRPr="00D052F7">
              <w:rPr>
                <w:sz w:val="18"/>
                <w:szCs w:val="18"/>
              </w:rPr>
              <w:t>Про державну реєстрацію,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r w:rsidRPr="00135231">
              <w:rPr>
                <w:sz w:val="18"/>
                <w:szCs w:val="18"/>
              </w:rPr>
              <w:t>»</w:t>
            </w:r>
          </w:p>
          <w:p w:rsidR="00180B55" w:rsidRDefault="00180B55" w:rsidP="003E3EC1">
            <w:pPr>
              <w:jc w:val="both"/>
              <w:rPr>
                <w:rFonts w:cs="Calibri"/>
              </w:rPr>
            </w:pPr>
            <w:r>
              <w:rPr>
                <w:sz w:val="18"/>
                <w:szCs w:val="18"/>
                <w:u w:val="single"/>
              </w:rPr>
              <w:t>від 25 лютого 2023 року № 389</w:t>
            </w:r>
          </w:p>
        </w:tc>
      </w:tr>
    </w:tbl>
    <w:p w:rsidR="00180B55" w:rsidRDefault="00180B55" w:rsidP="00180B55">
      <w:pPr>
        <w:pStyle w:val="4"/>
        <w:tabs>
          <w:tab w:val="left" w:pos="12600"/>
        </w:tabs>
        <w:rPr>
          <w:rFonts w:cs="Arial"/>
          <w:sz w:val="18"/>
          <w:szCs w:val="18"/>
        </w:rPr>
      </w:pPr>
      <w:r>
        <w:rPr>
          <w:rFonts w:cs="Arial"/>
          <w:sz w:val="18"/>
          <w:szCs w:val="18"/>
        </w:rPr>
        <w:t xml:space="preserve">                                                                                                                                                                                                       </w:t>
      </w:r>
    </w:p>
    <w:p w:rsidR="00180B55" w:rsidRDefault="00180B55" w:rsidP="00180B55">
      <w:pPr>
        <w:pStyle w:val="4"/>
        <w:tabs>
          <w:tab w:val="left" w:pos="12600"/>
        </w:tabs>
        <w:rPr>
          <w:rFonts w:cs="Arial"/>
          <w:sz w:val="18"/>
          <w:szCs w:val="18"/>
        </w:rPr>
      </w:pPr>
    </w:p>
    <w:p w:rsidR="00180B55" w:rsidRDefault="00180B55" w:rsidP="00180B55">
      <w:pPr>
        <w:pStyle w:val="4"/>
        <w:tabs>
          <w:tab w:val="left" w:pos="12600"/>
        </w:tabs>
        <w:rPr>
          <w:rFonts w:cs="Arial"/>
          <w:sz w:val="18"/>
          <w:szCs w:val="18"/>
        </w:rPr>
      </w:pPr>
    </w:p>
    <w:p w:rsidR="00180B55" w:rsidRDefault="00180B55" w:rsidP="00180B55">
      <w:pPr>
        <w:pStyle w:val="4"/>
        <w:tabs>
          <w:tab w:val="left" w:pos="12600"/>
        </w:tabs>
        <w:rPr>
          <w:rFonts w:cs="Arial"/>
          <w:sz w:val="18"/>
          <w:szCs w:val="18"/>
        </w:rPr>
      </w:pPr>
    </w:p>
    <w:p w:rsidR="00180B55" w:rsidRDefault="00180B55" w:rsidP="00180B55">
      <w:pPr>
        <w:pStyle w:val="4"/>
        <w:tabs>
          <w:tab w:val="left" w:pos="12600"/>
        </w:tabs>
        <w:rPr>
          <w:rFonts w:cs="Arial"/>
          <w:sz w:val="18"/>
          <w:szCs w:val="18"/>
        </w:rPr>
      </w:pPr>
    </w:p>
    <w:p w:rsidR="00180B55" w:rsidRPr="003E3EC1" w:rsidRDefault="00180B55" w:rsidP="003E3EC1">
      <w:pPr>
        <w:pStyle w:val="2"/>
        <w:tabs>
          <w:tab w:val="left" w:pos="12600"/>
        </w:tabs>
        <w:spacing w:before="0" w:after="0"/>
        <w:jc w:val="center"/>
        <w:rPr>
          <w:rFonts w:ascii="Times New Roman" w:hAnsi="Times New Roman"/>
          <w:i w:val="0"/>
          <w:caps/>
        </w:rPr>
      </w:pPr>
      <w:r w:rsidRPr="003E3EC1">
        <w:rPr>
          <w:rFonts w:ascii="Times New Roman" w:hAnsi="Times New Roman"/>
          <w:i w:val="0"/>
        </w:rPr>
        <w:t>ПЕРЕЛІК</w:t>
      </w:r>
    </w:p>
    <w:p w:rsidR="00180B55" w:rsidRPr="003E3EC1" w:rsidRDefault="00180B55" w:rsidP="003E3EC1">
      <w:pPr>
        <w:pStyle w:val="Normal"/>
        <w:ind w:left="284"/>
        <w:jc w:val="center"/>
        <w:rPr>
          <w:lang w:val="ru-RU"/>
        </w:rPr>
      </w:pPr>
      <w:r w:rsidRPr="003E3EC1">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3E3EC1">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180B55" w:rsidRPr="003E3EC1" w:rsidRDefault="00180B55" w:rsidP="003E3EC1">
      <w:pPr>
        <w:pStyle w:val="Normal"/>
        <w:jc w:val="cente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985"/>
        <w:gridCol w:w="1134"/>
        <w:gridCol w:w="992"/>
        <w:gridCol w:w="3686"/>
        <w:gridCol w:w="1134"/>
        <w:gridCol w:w="2835"/>
        <w:gridCol w:w="993"/>
        <w:gridCol w:w="1416"/>
      </w:tblGrid>
      <w:tr w:rsidR="00180B55" w:rsidRPr="0096650D" w:rsidTr="003E3EC1">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80B55" w:rsidRDefault="00180B55" w:rsidP="00B26A25">
            <w:pPr>
              <w:tabs>
                <w:tab w:val="left" w:pos="12600"/>
              </w:tabs>
              <w:ind w:left="-108"/>
              <w:jc w:val="center"/>
              <w:rPr>
                <w:rFonts w:ascii="Arial" w:hAnsi="Arial" w:cs="Arial"/>
                <w:b/>
                <w:i/>
                <w:sz w:val="16"/>
                <w:szCs w:val="16"/>
              </w:rPr>
            </w:pPr>
            <w:r>
              <w:rPr>
                <w:rFonts w:ascii="Arial" w:hAnsi="Arial" w:cs="Arial"/>
                <w:b/>
                <w:i/>
                <w:sz w:val="16"/>
                <w:szCs w:val="16"/>
              </w:rPr>
              <w:t>Заявник</w:t>
            </w:r>
          </w:p>
          <w:p w:rsidR="00180B55" w:rsidRPr="00693FB0" w:rsidRDefault="00180B55" w:rsidP="00B26A25">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686"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180B55" w:rsidRPr="00693FB0" w:rsidRDefault="00180B55" w:rsidP="00B26A25">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180B55" w:rsidRPr="0096650D" w:rsidTr="003E3EC1">
        <w:trPr>
          <w:tblHeader/>
        </w:trPr>
        <w:tc>
          <w:tcPr>
            <w:tcW w:w="567"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color w:val="000000"/>
                <w:sz w:val="16"/>
                <w:szCs w:val="16"/>
              </w:rPr>
            </w:pPr>
          </w:p>
        </w:tc>
        <w:tc>
          <w:tcPr>
            <w:tcW w:w="3686"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180B55" w:rsidRPr="00693FB0" w:rsidRDefault="00180B55" w:rsidP="00B26A25">
            <w:pPr>
              <w:tabs>
                <w:tab w:val="left" w:pos="12600"/>
              </w:tabs>
              <w:jc w:val="center"/>
              <w:rPr>
                <w:rFonts w:ascii="Arial" w:hAnsi="Arial" w:cs="Arial"/>
                <w:sz w:val="16"/>
                <w:szCs w:val="16"/>
              </w:rPr>
            </w:pP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612851" w:rsidRDefault="00180B55" w:rsidP="00B26A25">
            <w:pPr>
              <w:pStyle w:val="Normal"/>
              <w:tabs>
                <w:tab w:val="left" w:pos="12600"/>
              </w:tabs>
              <w:rPr>
                <w:rFonts w:ascii="Arial" w:hAnsi="Arial" w:cs="Arial"/>
                <w:b/>
                <w:i/>
                <w:color w:val="000000"/>
                <w:sz w:val="16"/>
                <w:szCs w:val="16"/>
              </w:rPr>
            </w:pPr>
            <w:r w:rsidRPr="00612851">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rPr>
                <w:rFonts w:ascii="Arial" w:hAnsi="Arial" w:cs="Arial"/>
                <w:color w:val="000000"/>
                <w:sz w:val="16"/>
                <w:szCs w:val="16"/>
                <w:lang w:val="ru-RU"/>
              </w:rPr>
            </w:pPr>
            <w:r w:rsidRPr="00612851">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 xml:space="preserve">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w:t>
            </w:r>
          </w:p>
          <w:p w:rsidR="00180B55"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частковий контроль якості готового лікарського засобу:</w:t>
            </w:r>
            <w:r w:rsidRPr="00612851">
              <w:rPr>
                <w:rFonts w:ascii="Arial" w:hAnsi="Arial" w:cs="Arial"/>
                <w:color w:val="000000"/>
                <w:sz w:val="16"/>
                <w:szCs w:val="16"/>
              </w:rPr>
              <w:br/>
              <w:t xml:space="preserve">Такеда Мануфекчурінг Австрія АГ, Австрія; </w:t>
            </w:r>
          </w:p>
          <w:p w:rsidR="00180B55"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 xml:space="preserve">виробництво, первинне пакування та контроль якості розчинника: </w:t>
            </w:r>
          </w:p>
          <w:p w:rsidR="00180B55" w:rsidRPr="00D602A3"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Бельгія/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180B55" w:rsidRPr="00D602A3"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lang w:val="ru-RU"/>
              </w:rPr>
            </w:pPr>
            <w:r w:rsidRPr="00612851">
              <w:rPr>
                <w:rFonts w:ascii="Arial" w:hAnsi="Arial" w:cs="Arial"/>
                <w:color w:val="000000"/>
                <w:sz w:val="16"/>
                <w:szCs w:val="16"/>
                <w:lang w:val="ru-RU"/>
              </w:rPr>
              <w:t>Зміна В.</w:t>
            </w:r>
            <w:r w:rsidRPr="00612851">
              <w:rPr>
                <w:rFonts w:ascii="Arial" w:hAnsi="Arial" w:cs="Arial"/>
                <w:color w:val="000000"/>
                <w:sz w:val="16"/>
                <w:szCs w:val="16"/>
              </w:rPr>
              <w:t>I</w:t>
            </w:r>
            <w:r w:rsidRPr="00612851">
              <w:rPr>
                <w:rFonts w:ascii="Arial" w:hAnsi="Arial" w:cs="Arial"/>
                <w:color w:val="000000"/>
                <w:sz w:val="16"/>
                <w:szCs w:val="16"/>
                <w:lang w:val="ru-RU"/>
              </w:rPr>
              <w:t xml:space="preserve">.8. (а), </w:t>
            </w:r>
            <w:r w:rsidRPr="00612851">
              <w:rPr>
                <w:rFonts w:ascii="Arial" w:hAnsi="Arial" w:cs="Arial"/>
                <w:color w:val="000000"/>
                <w:sz w:val="16"/>
                <w:szCs w:val="16"/>
              </w:rPr>
              <w:t>IA</w:t>
            </w:r>
            <w:r w:rsidRPr="00612851">
              <w:rPr>
                <w:rFonts w:ascii="Arial" w:hAnsi="Arial" w:cs="Arial"/>
                <w:color w:val="000000"/>
                <w:sz w:val="16"/>
                <w:szCs w:val="16"/>
                <w:lang w:val="ru-RU"/>
              </w:rPr>
              <w:t xml:space="preserve">нп - Зміна контактної особи заявника, відповідальної за фармаконагляд в Україні. Діюча редакція: Венгер Людмила Анатоліївна / </w:t>
            </w:r>
            <w:r w:rsidRPr="00612851">
              <w:rPr>
                <w:rFonts w:ascii="Arial" w:hAnsi="Arial" w:cs="Arial"/>
                <w:color w:val="000000"/>
                <w:sz w:val="16"/>
                <w:szCs w:val="16"/>
              </w:rPr>
              <w:t>Venher</w:t>
            </w:r>
            <w:r w:rsidRPr="00612851">
              <w:rPr>
                <w:rFonts w:ascii="Arial" w:hAnsi="Arial" w:cs="Arial"/>
                <w:color w:val="000000"/>
                <w:sz w:val="16"/>
                <w:szCs w:val="16"/>
                <w:lang w:val="ru-RU"/>
              </w:rPr>
              <w:t xml:space="preserve"> </w:t>
            </w:r>
            <w:r w:rsidRPr="00612851">
              <w:rPr>
                <w:rFonts w:ascii="Arial" w:hAnsi="Arial" w:cs="Arial"/>
                <w:color w:val="000000"/>
                <w:sz w:val="16"/>
                <w:szCs w:val="16"/>
              </w:rPr>
              <w:t>Liudmyla</w:t>
            </w:r>
            <w:r w:rsidRPr="00612851">
              <w:rPr>
                <w:rFonts w:ascii="Arial" w:hAnsi="Arial" w:cs="Arial"/>
                <w:color w:val="000000"/>
                <w:sz w:val="16"/>
                <w:szCs w:val="16"/>
                <w:lang w:val="ru-RU"/>
              </w:rPr>
              <w:t xml:space="preserve">. Пропонована редакція: Уретій Сергій Іванович / </w:t>
            </w:r>
            <w:r w:rsidRPr="00612851">
              <w:rPr>
                <w:rFonts w:ascii="Arial" w:hAnsi="Arial" w:cs="Arial"/>
                <w:color w:val="000000"/>
                <w:sz w:val="16"/>
                <w:szCs w:val="16"/>
              </w:rPr>
              <w:t>Uretii</w:t>
            </w:r>
            <w:r w:rsidRPr="00612851">
              <w:rPr>
                <w:rFonts w:ascii="Arial" w:hAnsi="Arial" w:cs="Arial"/>
                <w:color w:val="000000"/>
                <w:sz w:val="16"/>
                <w:szCs w:val="16"/>
                <w:lang w:val="ru-RU"/>
              </w:rPr>
              <w:t xml:space="preserve"> </w:t>
            </w:r>
            <w:r w:rsidRPr="00612851">
              <w:rPr>
                <w:rFonts w:ascii="Arial" w:hAnsi="Arial" w:cs="Arial"/>
                <w:color w:val="000000"/>
                <w:sz w:val="16"/>
                <w:szCs w:val="16"/>
              </w:rPr>
              <w:t>Sergii</w:t>
            </w:r>
            <w:r w:rsidRPr="00612851">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ind w:left="-114"/>
              <w:jc w:val="center"/>
              <w:rPr>
                <w:rFonts w:ascii="Arial" w:hAnsi="Arial" w:cs="Arial"/>
                <w:b/>
                <w:i/>
                <w:color w:val="000000"/>
                <w:sz w:val="16"/>
                <w:szCs w:val="16"/>
              </w:rPr>
            </w:pPr>
            <w:r w:rsidRPr="0061285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sz w:val="16"/>
                <w:szCs w:val="16"/>
              </w:rPr>
            </w:pPr>
            <w:r w:rsidRPr="00612851">
              <w:rPr>
                <w:rFonts w:ascii="Arial" w:hAnsi="Arial" w:cs="Arial"/>
                <w:sz w:val="16"/>
                <w:szCs w:val="16"/>
              </w:rPr>
              <w:t>UA/16801/01/01</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612851" w:rsidRDefault="00180B55" w:rsidP="00B26A25">
            <w:pPr>
              <w:pStyle w:val="Normal"/>
              <w:tabs>
                <w:tab w:val="left" w:pos="12600"/>
              </w:tabs>
              <w:rPr>
                <w:rFonts w:ascii="Arial" w:hAnsi="Arial" w:cs="Arial"/>
                <w:b/>
                <w:i/>
                <w:color w:val="000000"/>
                <w:sz w:val="16"/>
                <w:szCs w:val="16"/>
              </w:rPr>
            </w:pPr>
            <w:r w:rsidRPr="00612851">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rPr>
                <w:rFonts w:ascii="Arial" w:hAnsi="Arial" w:cs="Arial"/>
                <w:color w:val="000000"/>
                <w:sz w:val="16"/>
                <w:szCs w:val="16"/>
                <w:lang w:val="ru-RU"/>
              </w:rPr>
            </w:pPr>
            <w:r w:rsidRPr="00612851">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612851">
              <w:rPr>
                <w:rFonts w:ascii="Arial" w:hAnsi="Arial" w:cs="Arial"/>
                <w:color w:val="000000"/>
                <w:sz w:val="16"/>
                <w:szCs w:val="16"/>
              </w:rPr>
              <w:t>i</w:t>
            </w:r>
            <w:r w:rsidRPr="00C744DD">
              <w:rPr>
                <w:rFonts w:ascii="Arial" w:hAnsi="Arial" w:cs="Arial"/>
                <w:color w:val="000000"/>
                <w:sz w:val="16"/>
                <w:szCs w:val="16"/>
                <w:lang w:val="ru-RU"/>
              </w:rPr>
              <w:t xml:space="preserve">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w:t>
            </w:r>
          </w:p>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частковий контроль якості готового лікарського засобу:</w:t>
            </w:r>
            <w:r w:rsidRPr="00C744DD">
              <w:rPr>
                <w:rFonts w:ascii="Arial" w:hAnsi="Arial" w:cs="Arial"/>
                <w:color w:val="000000"/>
                <w:sz w:val="16"/>
                <w:szCs w:val="16"/>
                <w:lang w:val="ru-RU"/>
              </w:rPr>
              <w:br/>
              <w:t xml:space="preserve">Такеда Мануфекчурінг Австрія АГ, Австрія; </w:t>
            </w:r>
          </w:p>
          <w:p w:rsidR="00180B55"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 xml:space="preserve">виробництво, первинне пакування та контроль якості розчинника: </w:t>
            </w:r>
          </w:p>
          <w:p w:rsidR="00180B55" w:rsidRPr="00D602A3"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Бельгія/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180B55" w:rsidRPr="00D602A3"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lang w:val="ru-RU"/>
              </w:rPr>
            </w:pPr>
            <w:r w:rsidRPr="00612851">
              <w:rPr>
                <w:rFonts w:ascii="Arial" w:hAnsi="Arial" w:cs="Arial"/>
                <w:color w:val="000000"/>
                <w:sz w:val="16"/>
                <w:szCs w:val="16"/>
                <w:lang w:val="ru-RU"/>
              </w:rPr>
              <w:t>Зміна В.</w:t>
            </w:r>
            <w:r w:rsidRPr="00612851">
              <w:rPr>
                <w:rFonts w:ascii="Arial" w:hAnsi="Arial" w:cs="Arial"/>
                <w:color w:val="000000"/>
                <w:sz w:val="16"/>
                <w:szCs w:val="16"/>
              </w:rPr>
              <w:t>I</w:t>
            </w:r>
            <w:r w:rsidRPr="00612851">
              <w:rPr>
                <w:rFonts w:ascii="Arial" w:hAnsi="Arial" w:cs="Arial"/>
                <w:color w:val="000000"/>
                <w:sz w:val="16"/>
                <w:szCs w:val="16"/>
                <w:lang w:val="ru-RU"/>
              </w:rPr>
              <w:t xml:space="preserve">.8. (а), </w:t>
            </w:r>
            <w:r w:rsidRPr="00612851">
              <w:rPr>
                <w:rFonts w:ascii="Arial" w:hAnsi="Arial" w:cs="Arial"/>
                <w:color w:val="000000"/>
                <w:sz w:val="16"/>
                <w:szCs w:val="16"/>
              </w:rPr>
              <w:t>IA</w:t>
            </w:r>
            <w:r w:rsidRPr="00612851">
              <w:rPr>
                <w:rFonts w:ascii="Arial" w:hAnsi="Arial" w:cs="Arial"/>
                <w:color w:val="000000"/>
                <w:sz w:val="16"/>
                <w:szCs w:val="16"/>
                <w:lang w:val="ru-RU"/>
              </w:rPr>
              <w:t xml:space="preserve">нп - Зміна контактної особи заявника, відповідальної за фармаконагляд в Україні. Діюча редакція: Венгер Людмила Анатоліївна / </w:t>
            </w:r>
            <w:r w:rsidRPr="00612851">
              <w:rPr>
                <w:rFonts w:ascii="Arial" w:hAnsi="Arial" w:cs="Arial"/>
                <w:color w:val="000000"/>
                <w:sz w:val="16"/>
                <w:szCs w:val="16"/>
              </w:rPr>
              <w:t>Venher</w:t>
            </w:r>
            <w:r w:rsidRPr="00612851">
              <w:rPr>
                <w:rFonts w:ascii="Arial" w:hAnsi="Arial" w:cs="Arial"/>
                <w:color w:val="000000"/>
                <w:sz w:val="16"/>
                <w:szCs w:val="16"/>
                <w:lang w:val="ru-RU"/>
              </w:rPr>
              <w:t xml:space="preserve"> </w:t>
            </w:r>
            <w:r w:rsidRPr="00612851">
              <w:rPr>
                <w:rFonts w:ascii="Arial" w:hAnsi="Arial" w:cs="Arial"/>
                <w:color w:val="000000"/>
                <w:sz w:val="16"/>
                <w:szCs w:val="16"/>
              </w:rPr>
              <w:t>Liudmyla</w:t>
            </w:r>
            <w:r w:rsidRPr="00612851">
              <w:rPr>
                <w:rFonts w:ascii="Arial" w:hAnsi="Arial" w:cs="Arial"/>
                <w:color w:val="000000"/>
                <w:sz w:val="16"/>
                <w:szCs w:val="16"/>
                <w:lang w:val="ru-RU"/>
              </w:rPr>
              <w:t xml:space="preserve">. Пропонована редакція: Уретій Сергій Іванович / </w:t>
            </w:r>
            <w:r w:rsidRPr="00612851">
              <w:rPr>
                <w:rFonts w:ascii="Arial" w:hAnsi="Arial" w:cs="Arial"/>
                <w:color w:val="000000"/>
                <w:sz w:val="16"/>
                <w:szCs w:val="16"/>
              </w:rPr>
              <w:t>Uretii</w:t>
            </w:r>
            <w:r w:rsidRPr="00612851">
              <w:rPr>
                <w:rFonts w:ascii="Arial" w:hAnsi="Arial" w:cs="Arial"/>
                <w:color w:val="000000"/>
                <w:sz w:val="16"/>
                <w:szCs w:val="16"/>
                <w:lang w:val="ru-RU"/>
              </w:rPr>
              <w:t xml:space="preserve"> </w:t>
            </w:r>
            <w:r w:rsidRPr="00612851">
              <w:rPr>
                <w:rFonts w:ascii="Arial" w:hAnsi="Arial" w:cs="Arial"/>
                <w:color w:val="000000"/>
                <w:sz w:val="16"/>
                <w:szCs w:val="16"/>
              </w:rPr>
              <w:t>Sergii</w:t>
            </w:r>
            <w:r w:rsidRPr="00612851">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ind w:left="-114"/>
              <w:jc w:val="center"/>
              <w:rPr>
                <w:rFonts w:ascii="Arial" w:hAnsi="Arial" w:cs="Arial"/>
                <w:b/>
                <w:i/>
                <w:color w:val="000000"/>
                <w:sz w:val="16"/>
                <w:szCs w:val="16"/>
              </w:rPr>
            </w:pPr>
            <w:r w:rsidRPr="0061285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sz w:val="16"/>
                <w:szCs w:val="16"/>
              </w:rPr>
            </w:pPr>
            <w:r w:rsidRPr="00612851">
              <w:rPr>
                <w:rFonts w:ascii="Arial" w:hAnsi="Arial" w:cs="Arial"/>
                <w:sz w:val="16"/>
                <w:szCs w:val="16"/>
              </w:rPr>
              <w:t>UA/16801/01/02</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612851" w:rsidRDefault="00180B55" w:rsidP="00B26A25">
            <w:pPr>
              <w:pStyle w:val="Normal"/>
              <w:tabs>
                <w:tab w:val="left" w:pos="12600"/>
              </w:tabs>
              <w:rPr>
                <w:rFonts w:ascii="Arial" w:hAnsi="Arial" w:cs="Arial"/>
                <w:b/>
                <w:i/>
                <w:color w:val="000000"/>
                <w:sz w:val="16"/>
                <w:szCs w:val="16"/>
              </w:rPr>
            </w:pPr>
            <w:r w:rsidRPr="00612851">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rPr>
                <w:rFonts w:ascii="Arial" w:hAnsi="Arial" w:cs="Arial"/>
                <w:color w:val="000000"/>
                <w:sz w:val="16"/>
                <w:szCs w:val="16"/>
                <w:lang w:val="ru-RU"/>
              </w:rPr>
            </w:pPr>
            <w:r w:rsidRPr="00612851">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612851">
              <w:rPr>
                <w:rFonts w:ascii="Arial" w:hAnsi="Arial" w:cs="Arial"/>
                <w:color w:val="000000"/>
                <w:sz w:val="16"/>
                <w:szCs w:val="16"/>
              </w:rPr>
              <w:t>i</w:t>
            </w:r>
            <w:r w:rsidRPr="00C744DD">
              <w:rPr>
                <w:rFonts w:ascii="Arial" w:hAnsi="Arial" w:cs="Arial"/>
                <w:color w:val="000000"/>
                <w:sz w:val="16"/>
                <w:szCs w:val="16"/>
                <w:lang w:val="ru-RU"/>
              </w:rPr>
              <w:t xml:space="preserve">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w:t>
            </w:r>
          </w:p>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частковий контроль якості готового лікарського засобу:</w:t>
            </w:r>
            <w:r w:rsidRPr="00C744DD">
              <w:rPr>
                <w:rFonts w:ascii="Arial" w:hAnsi="Arial" w:cs="Arial"/>
                <w:color w:val="000000"/>
                <w:sz w:val="16"/>
                <w:szCs w:val="16"/>
                <w:lang w:val="ru-RU"/>
              </w:rPr>
              <w:br/>
              <w:t xml:space="preserve">Такеда Мануфекчурінг Австрія АГ, Австрія; </w:t>
            </w:r>
          </w:p>
          <w:p w:rsidR="00180B55"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 xml:space="preserve">виробництво, первинне пакування та контроль якості розчинника: </w:t>
            </w:r>
          </w:p>
          <w:p w:rsidR="00180B55" w:rsidRPr="00D602A3"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Бельгія/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180B55" w:rsidRPr="00D602A3"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lang w:val="ru-RU"/>
              </w:rPr>
            </w:pPr>
            <w:r w:rsidRPr="00612851">
              <w:rPr>
                <w:rFonts w:ascii="Arial" w:hAnsi="Arial" w:cs="Arial"/>
                <w:color w:val="000000"/>
                <w:sz w:val="16"/>
                <w:szCs w:val="16"/>
                <w:lang w:val="ru-RU"/>
              </w:rPr>
              <w:t>Зміна В.</w:t>
            </w:r>
            <w:r w:rsidRPr="00612851">
              <w:rPr>
                <w:rFonts w:ascii="Arial" w:hAnsi="Arial" w:cs="Arial"/>
                <w:color w:val="000000"/>
                <w:sz w:val="16"/>
                <w:szCs w:val="16"/>
              </w:rPr>
              <w:t>I</w:t>
            </w:r>
            <w:r w:rsidRPr="00612851">
              <w:rPr>
                <w:rFonts w:ascii="Arial" w:hAnsi="Arial" w:cs="Arial"/>
                <w:color w:val="000000"/>
                <w:sz w:val="16"/>
                <w:szCs w:val="16"/>
                <w:lang w:val="ru-RU"/>
              </w:rPr>
              <w:t xml:space="preserve">.8. (а), </w:t>
            </w:r>
            <w:r w:rsidRPr="00612851">
              <w:rPr>
                <w:rFonts w:ascii="Arial" w:hAnsi="Arial" w:cs="Arial"/>
                <w:color w:val="000000"/>
                <w:sz w:val="16"/>
                <w:szCs w:val="16"/>
              </w:rPr>
              <w:t>IA</w:t>
            </w:r>
            <w:r w:rsidRPr="00612851">
              <w:rPr>
                <w:rFonts w:ascii="Arial" w:hAnsi="Arial" w:cs="Arial"/>
                <w:color w:val="000000"/>
                <w:sz w:val="16"/>
                <w:szCs w:val="16"/>
                <w:lang w:val="ru-RU"/>
              </w:rPr>
              <w:t xml:space="preserve">нп - Зміна контактної особи заявника, відповідальної за фармаконагляд в Україні. Діюча редакція: Венгер Людмила Анатоліївна / </w:t>
            </w:r>
            <w:r w:rsidRPr="00612851">
              <w:rPr>
                <w:rFonts w:ascii="Arial" w:hAnsi="Arial" w:cs="Arial"/>
                <w:color w:val="000000"/>
                <w:sz w:val="16"/>
                <w:szCs w:val="16"/>
              </w:rPr>
              <w:t>Venher</w:t>
            </w:r>
            <w:r w:rsidRPr="00612851">
              <w:rPr>
                <w:rFonts w:ascii="Arial" w:hAnsi="Arial" w:cs="Arial"/>
                <w:color w:val="000000"/>
                <w:sz w:val="16"/>
                <w:szCs w:val="16"/>
                <w:lang w:val="ru-RU"/>
              </w:rPr>
              <w:t xml:space="preserve"> </w:t>
            </w:r>
            <w:r w:rsidRPr="00612851">
              <w:rPr>
                <w:rFonts w:ascii="Arial" w:hAnsi="Arial" w:cs="Arial"/>
                <w:color w:val="000000"/>
                <w:sz w:val="16"/>
                <w:szCs w:val="16"/>
              </w:rPr>
              <w:t>Liudmyla</w:t>
            </w:r>
            <w:r w:rsidRPr="00612851">
              <w:rPr>
                <w:rFonts w:ascii="Arial" w:hAnsi="Arial" w:cs="Arial"/>
                <w:color w:val="000000"/>
                <w:sz w:val="16"/>
                <w:szCs w:val="16"/>
                <w:lang w:val="ru-RU"/>
              </w:rPr>
              <w:t xml:space="preserve">. Пропонована редакція: Уретій Сергій Іванович / </w:t>
            </w:r>
            <w:r w:rsidRPr="00612851">
              <w:rPr>
                <w:rFonts w:ascii="Arial" w:hAnsi="Arial" w:cs="Arial"/>
                <w:color w:val="000000"/>
                <w:sz w:val="16"/>
                <w:szCs w:val="16"/>
              </w:rPr>
              <w:t>Uretii</w:t>
            </w:r>
            <w:r w:rsidRPr="00612851">
              <w:rPr>
                <w:rFonts w:ascii="Arial" w:hAnsi="Arial" w:cs="Arial"/>
                <w:color w:val="000000"/>
                <w:sz w:val="16"/>
                <w:szCs w:val="16"/>
                <w:lang w:val="ru-RU"/>
              </w:rPr>
              <w:t xml:space="preserve"> </w:t>
            </w:r>
            <w:r w:rsidRPr="00612851">
              <w:rPr>
                <w:rFonts w:ascii="Arial" w:hAnsi="Arial" w:cs="Arial"/>
                <w:color w:val="000000"/>
                <w:sz w:val="16"/>
                <w:szCs w:val="16"/>
              </w:rPr>
              <w:t>Sergii</w:t>
            </w:r>
            <w:r w:rsidRPr="00612851">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ind w:left="-114"/>
              <w:jc w:val="center"/>
              <w:rPr>
                <w:rFonts w:ascii="Arial" w:hAnsi="Arial" w:cs="Arial"/>
                <w:b/>
                <w:i/>
                <w:color w:val="000000"/>
                <w:sz w:val="16"/>
                <w:szCs w:val="16"/>
              </w:rPr>
            </w:pPr>
            <w:r w:rsidRPr="0061285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sz w:val="16"/>
                <w:szCs w:val="16"/>
              </w:rPr>
            </w:pPr>
            <w:r w:rsidRPr="00612851">
              <w:rPr>
                <w:rFonts w:ascii="Arial" w:hAnsi="Arial" w:cs="Arial"/>
                <w:sz w:val="16"/>
                <w:szCs w:val="16"/>
              </w:rPr>
              <w:t>UA/16801/01/03</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612851" w:rsidRDefault="00180B55" w:rsidP="00B26A25">
            <w:pPr>
              <w:pStyle w:val="Normal"/>
              <w:tabs>
                <w:tab w:val="left" w:pos="12600"/>
              </w:tabs>
              <w:rPr>
                <w:rFonts w:ascii="Arial" w:hAnsi="Arial" w:cs="Arial"/>
                <w:b/>
                <w:i/>
                <w:color w:val="000000"/>
                <w:sz w:val="16"/>
                <w:szCs w:val="16"/>
              </w:rPr>
            </w:pPr>
            <w:r w:rsidRPr="00612851">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rPr>
                <w:rFonts w:ascii="Arial" w:hAnsi="Arial" w:cs="Arial"/>
                <w:color w:val="000000"/>
                <w:sz w:val="16"/>
                <w:szCs w:val="16"/>
                <w:lang w:val="ru-RU"/>
              </w:rPr>
            </w:pPr>
            <w:r w:rsidRPr="00612851">
              <w:rPr>
                <w:rFonts w:ascii="Arial" w:hAnsi="Arial" w:cs="Arial"/>
                <w:color w:val="000000"/>
                <w:sz w:val="16"/>
                <w:szCs w:val="16"/>
                <w:lang w:val="ru-RU"/>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612851">
              <w:rPr>
                <w:rFonts w:ascii="Arial" w:hAnsi="Arial" w:cs="Arial"/>
                <w:color w:val="000000"/>
                <w:sz w:val="16"/>
                <w:szCs w:val="16"/>
              </w:rPr>
              <w:t>i</w:t>
            </w:r>
            <w:r w:rsidRPr="00C744DD">
              <w:rPr>
                <w:rFonts w:ascii="Arial" w:hAnsi="Arial" w:cs="Arial"/>
                <w:color w:val="000000"/>
                <w:sz w:val="16"/>
                <w:szCs w:val="16"/>
                <w:lang w:val="ru-RU"/>
              </w:rPr>
              <w:t xml:space="preserve">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w:t>
            </w:r>
          </w:p>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частковий контроль якості готового лікарського засобу:</w:t>
            </w:r>
            <w:r w:rsidRPr="00C744DD">
              <w:rPr>
                <w:rFonts w:ascii="Arial" w:hAnsi="Arial" w:cs="Arial"/>
                <w:color w:val="000000"/>
                <w:sz w:val="16"/>
                <w:szCs w:val="16"/>
                <w:lang w:val="ru-RU"/>
              </w:rPr>
              <w:br/>
              <w:t xml:space="preserve">Такеда Мануфекчурінг Австрія АГ, Австрія; </w:t>
            </w:r>
          </w:p>
          <w:p w:rsidR="00180B55"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 xml:space="preserve">виробництво, первинне пакування та контроль якості розчинника: </w:t>
            </w:r>
          </w:p>
          <w:p w:rsidR="00180B55" w:rsidRPr="00D602A3"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Бельгія/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180B55" w:rsidRPr="00D602A3"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lang w:val="ru-RU"/>
              </w:rPr>
              <w:t>Зміна</w:t>
            </w:r>
            <w:r w:rsidRPr="00612851">
              <w:rPr>
                <w:rFonts w:ascii="Arial" w:hAnsi="Arial" w:cs="Arial"/>
                <w:color w:val="000000"/>
                <w:sz w:val="16"/>
                <w:szCs w:val="16"/>
              </w:rPr>
              <w:t xml:space="preserve"> </w:t>
            </w:r>
            <w:r w:rsidRPr="00612851">
              <w:rPr>
                <w:rFonts w:ascii="Arial" w:hAnsi="Arial" w:cs="Arial"/>
                <w:color w:val="000000"/>
                <w:sz w:val="16"/>
                <w:szCs w:val="16"/>
                <w:lang w:val="ru-RU"/>
              </w:rPr>
              <w:t>В</w:t>
            </w:r>
            <w:r w:rsidRPr="00612851">
              <w:rPr>
                <w:rFonts w:ascii="Arial" w:hAnsi="Arial" w:cs="Arial"/>
                <w:color w:val="000000"/>
                <w:sz w:val="16"/>
                <w:szCs w:val="16"/>
              </w:rPr>
              <w:t>.I.8. (</w:t>
            </w:r>
            <w:r w:rsidRPr="00612851">
              <w:rPr>
                <w:rFonts w:ascii="Arial" w:hAnsi="Arial" w:cs="Arial"/>
                <w:color w:val="000000"/>
                <w:sz w:val="16"/>
                <w:szCs w:val="16"/>
                <w:lang w:val="ru-RU"/>
              </w:rPr>
              <w:t>а</w:t>
            </w:r>
            <w:r w:rsidRPr="00612851">
              <w:rPr>
                <w:rFonts w:ascii="Arial" w:hAnsi="Arial" w:cs="Arial"/>
                <w:color w:val="000000"/>
                <w:sz w:val="16"/>
                <w:szCs w:val="16"/>
              </w:rPr>
              <w:t>), IA</w:t>
            </w:r>
            <w:r w:rsidRPr="00612851">
              <w:rPr>
                <w:rFonts w:ascii="Arial" w:hAnsi="Arial" w:cs="Arial"/>
                <w:color w:val="000000"/>
                <w:sz w:val="16"/>
                <w:szCs w:val="16"/>
                <w:lang w:val="ru-RU"/>
              </w:rPr>
              <w:t>нп</w:t>
            </w:r>
            <w:r w:rsidRPr="00612851">
              <w:rPr>
                <w:rFonts w:ascii="Arial" w:hAnsi="Arial" w:cs="Arial"/>
                <w:color w:val="000000"/>
                <w:sz w:val="16"/>
                <w:szCs w:val="16"/>
              </w:rPr>
              <w:t xml:space="preserve"> - </w:t>
            </w:r>
            <w:r w:rsidRPr="00612851">
              <w:rPr>
                <w:rFonts w:ascii="Arial" w:hAnsi="Arial" w:cs="Arial"/>
                <w:color w:val="000000"/>
                <w:sz w:val="16"/>
                <w:szCs w:val="16"/>
                <w:lang w:val="ru-RU"/>
              </w:rPr>
              <w:t>Зміна</w:t>
            </w:r>
            <w:r w:rsidRPr="00612851">
              <w:rPr>
                <w:rFonts w:ascii="Arial" w:hAnsi="Arial" w:cs="Arial"/>
                <w:color w:val="000000"/>
                <w:sz w:val="16"/>
                <w:szCs w:val="16"/>
              </w:rPr>
              <w:t xml:space="preserve"> </w:t>
            </w:r>
            <w:r w:rsidRPr="00612851">
              <w:rPr>
                <w:rFonts w:ascii="Arial" w:hAnsi="Arial" w:cs="Arial"/>
                <w:color w:val="000000"/>
                <w:sz w:val="16"/>
                <w:szCs w:val="16"/>
                <w:lang w:val="ru-RU"/>
              </w:rPr>
              <w:t>контактної</w:t>
            </w:r>
            <w:r w:rsidRPr="00612851">
              <w:rPr>
                <w:rFonts w:ascii="Arial" w:hAnsi="Arial" w:cs="Arial"/>
                <w:color w:val="000000"/>
                <w:sz w:val="16"/>
                <w:szCs w:val="16"/>
              </w:rPr>
              <w:t xml:space="preserve"> </w:t>
            </w:r>
            <w:r w:rsidRPr="00612851">
              <w:rPr>
                <w:rFonts w:ascii="Arial" w:hAnsi="Arial" w:cs="Arial"/>
                <w:color w:val="000000"/>
                <w:sz w:val="16"/>
                <w:szCs w:val="16"/>
                <w:lang w:val="ru-RU"/>
              </w:rPr>
              <w:t>особи</w:t>
            </w:r>
            <w:r w:rsidRPr="00612851">
              <w:rPr>
                <w:rFonts w:ascii="Arial" w:hAnsi="Arial" w:cs="Arial"/>
                <w:color w:val="000000"/>
                <w:sz w:val="16"/>
                <w:szCs w:val="16"/>
              </w:rPr>
              <w:t xml:space="preserve"> </w:t>
            </w:r>
            <w:r w:rsidRPr="00612851">
              <w:rPr>
                <w:rFonts w:ascii="Arial" w:hAnsi="Arial" w:cs="Arial"/>
                <w:color w:val="000000"/>
                <w:sz w:val="16"/>
                <w:szCs w:val="16"/>
                <w:lang w:val="ru-RU"/>
              </w:rPr>
              <w:t>заявника</w:t>
            </w:r>
            <w:r w:rsidRPr="00612851">
              <w:rPr>
                <w:rFonts w:ascii="Arial" w:hAnsi="Arial" w:cs="Arial"/>
                <w:color w:val="000000"/>
                <w:sz w:val="16"/>
                <w:szCs w:val="16"/>
              </w:rPr>
              <w:t xml:space="preserve">, </w:t>
            </w:r>
            <w:r w:rsidRPr="00612851">
              <w:rPr>
                <w:rFonts w:ascii="Arial" w:hAnsi="Arial" w:cs="Arial"/>
                <w:color w:val="000000"/>
                <w:sz w:val="16"/>
                <w:szCs w:val="16"/>
                <w:lang w:val="ru-RU"/>
              </w:rPr>
              <w:t>відповідальної</w:t>
            </w:r>
            <w:r w:rsidRPr="00612851">
              <w:rPr>
                <w:rFonts w:ascii="Arial" w:hAnsi="Arial" w:cs="Arial"/>
                <w:color w:val="000000"/>
                <w:sz w:val="16"/>
                <w:szCs w:val="16"/>
              </w:rPr>
              <w:t xml:space="preserve"> </w:t>
            </w:r>
            <w:r w:rsidRPr="00612851">
              <w:rPr>
                <w:rFonts w:ascii="Arial" w:hAnsi="Arial" w:cs="Arial"/>
                <w:color w:val="000000"/>
                <w:sz w:val="16"/>
                <w:szCs w:val="16"/>
                <w:lang w:val="ru-RU"/>
              </w:rPr>
              <w:t>за</w:t>
            </w:r>
            <w:r w:rsidRPr="00612851">
              <w:rPr>
                <w:rFonts w:ascii="Arial" w:hAnsi="Arial" w:cs="Arial"/>
                <w:color w:val="000000"/>
                <w:sz w:val="16"/>
                <w:szCs w:val="16"/>
              </w:rPr>
              <w:t xml:space="preserve"> </w:t>
            </w:r>
            <w:r w:rsidRPr="00612851">
              <w:rPr>
                <w:rFonts w:ascii="Arial" w:hAnsi="Arial" w:cs="Arial"/>
                <w:color w:val="000000"/>
                <w:sz w:val="16"/>
                <w:szCs w:val="16"/>
                <w:lang w:val="ru-RU"/>
              </w:rPr>
              <w:t>фармаконагляд</w:t>
            </w:r>
            <w:r w:rsidRPr="00612851">
              <w:rPr>
                <w:rFonts w:ascii="Arial" w:hAnsi="Arial" w:cs="Arial"/>
                <w:color w:val="000000"/>
                <w:sz w:val="16"/>
                <w:szCs w:val="16"/>
              </w:rPr>
              <w:t xml:space="preserve"> </w:t>
            </w:r>
            <w:r w:rsidRPr="00612851">
              <w:rPr>
                <w:rFonts w:ascii="Arial" w:hAnsi="Arial" w:cs="Arial"/>
                <w:color w:val="000000"/>
                <w:sz w:val="16"/>
                <w:szCs w:val="16"/>
                <w:lang w:val="ru-RU"/>
              </w:rPr>
              <w:t>в</w:t>
            </w:r>
            <w:r w:rsidRPr="00612851">
              <w:rPr>
                <w:rFonts w:ascii="Arial" w:hAnsi="Arial" w:cs="Arial"/>
                <w:color w:val="000000"/>
                <w:sz w:val="16"/>
                <w:szCs w:val="16"/>
              </w:rPr>
              <w:t xml:space="preserve"> </w:t>
            </w:r>
            <w:r w:rsidRPr="00612851">
              <w:rPr>
                <w:rFonts w:ascii="Arial" w:hAnsi="Arial" w:cs="Arial"/>
                <w:color w:val="000000"/>
                <w:sz w:val="16"/>
                <w:szCs w:val="16"/>
                <w:lang w:val="ru-RU"/>
              </w:rPr>
              <w:t>Україні</w:t>
            </w:r>
            <w:r w:rsidRPr="00612851">
              <w:rPr>
                <w:rFonts w:ascii="Arial" w:hAnsi="Arial" w:cs="Arial"/>
                <w:color w:val="000000"/>
                <w:sz w:val="16"/>
                <w:szCs w:val="16"/>
              </w:rPr>
              <w:t xml:space="preserve">. </w:t>
            </w:r>
            <w:r w:rsidRPr="00D61579">
              <w:rPr>
                <w:rFonts w:ascii="Arial" w:hAnsi="Arial" w:cs="Arial"/>
                <w:color w:val="000000"/>
                <w:sz w:val="16"/>
                <w:szCs w:val="16"/>
              </w:rPr>
              <w:t>Діюча</w:t>
            </w:r>
            <w:r w:rsidRPr="00612851">
              <w:rPr>
                <w:rFonts w:ascii="Arial" w:hAnsi="Arial" w:cs="Arial"/>
                <w:color w:val="000000"/>
                <w:sz w:val="16"/>
                <w:szCs w:val="16"/>
              </w:rPr>
              <w:t xml:space="preserve"> </w:t>
            </w:r>
            <w:r w:rsidRPr="00D61579">
              <w:rPr>
                <w:rFonts w:ascii="Arial" w:hAnsi="Arial" w:cs="Arial"/>
                <w:color w:val="000000"/>
                <w:sz w:val="16"/>
                <w:szCs w:val="16"/>
              </w:rPr>
              <w:t>редакція</w:t>
            </w:r>
            <w:r w:rsidRPr="00612851">
              <w:rPr>
                <w:rFonts w:ascii="Arial" w:hAnsi="Arial" w:cs="Arial"/>
                <w:color w:val="000000"/>
                <w:sz w:val="16"/>
                <w:szCs w:val="16"/>
              </w:rPr>
              <w:t xml:space="preserve">: </w:t>
            </w:r>
            <w:r w:rsidRPr="00D61579">
              <w:rPr>
                <w:rFonts w:ascii="Arial" w:hAnsi="Arial" w:cs="Arial"/>
                <w:color w:val="000000"/>
                <w:sz w:val="16"/>
                <w:szCs w:val="16"/>
              </w:rPr>
              <w:t>Венгер</w:t>
            </w:r>
            <w:r w:rsidRPr="00612851">
              <w:rPr>
                <w:rFonts w:ascii="Arial" w:hAnsi="Arial" w:cs="Arial"/>
                <w:color w:val="000000"/>
                <w:sz w:val="16"/>
                <w:szCs w:val="16"/>
              </w:rPr>
              <w:t xml:space="preserve"> </w:t>
            </w:r>
            <w:r w:rsidRPr="00D61579">
              <w:rPr>
                <w:rFonts w:ascii="Arial" w:hAnsi="Arial" w:cs="Arial"/>
                <w:color w:val="000000"/>
                <w:sz w:val="16"/>
                <w:szCs w:val="16"/>
              </w:rPr>
              <w:t>Людмила</w:t>
            </w:r>
            <w:r w:rsidRPr="00612851">
              <w:rPr>
                <w:rFonts w:ascii="Arial" w:hAnsi="Arial" w:cs="Arial"/>
                <w:color w:val="000000"/>
                <w:sz w:val="16"/>
                <w:szCs w:val="16"/>
              </w:rPr>
              <w:t xml:space="preserve"> </w:t>
            </w:r>
            <w:r w:rsidRPr="00D61579">
              <w:rPr>
                <w:rFonts w:ascii="Arial" w:hAnsi="Arial" w:cs="Arial"/>
                <w:color w:val="000000"/>
                <w:sz w:val="16"/>
                <w:szCs w:val="16"/>
              </w:rPr>
              <w:t>Анатоліївна</w:t>
            </w:r>
            <w:r w:rsidRPr="00612851">
              <w:rPr>
                <w:rFonts w:ascii="Arial" w:hAnsi="Arial" w:cs="Arial"/>
                <w:color w:val="000000"/>
                <w:sz w:val="16"/>
                <w:szCs w:val="16"/>
              </w:rPr>
              <w:t xml:space="preserve"> / Venher Liudmyla. </w:t>
            </w:r>
            <w:r w:rsidRPr="00D61579">
              <w:rPr>
                <w:rFonts w:ascii="Arial" w:hAnsi="Arial" w:cs="Arial"/>
                <w:color w:val="000000"/>
                <w:sz w:val="16"/>
                <w:szCs w:val="16"/>
              </w:rPr>
              <w:t>Пропонована</w:t>
            </w:r>
            <w:r w:rsidRPr="00612851">
              <w:rPr>
                <w:rFonts w:ascii="Arial" w:hAnsi="Arial" w:cs="Arial"/>
                <w:color w:val="000000"/>
                <w:sz w:val="16"/>
                <w:szCs w:val="16"/>
              </w:rPr>
              <w:t xml:space="preserve"> </w:t>
            </w:r>
            <w:r w:rsidRPr="00D61579">
              <w:rPr>
                <w:rFonts w:ascii="Arial" w:hAnsi="Arial" w:cs="Arial"/>
                <w:color w:val="000000"/>
                <w:sz w:val="16"/>
                <w:szCs w:val="16"/>
              </w:rPr>
              <w:t>редакція</w:t>
            </w:r>
            <w:r w:rsidRPr="00612851">
              <w:rPr>
                <w:rFonts w:ascii="Arial" w:hAnsi="Arial" w:cs="Arial"/>
                <w:color w:val="000000"/>
                <w:sz w:val="16"/>
                <w:szCs w:val="16"/>
              </w:rPr>
              <w:t xml:space="preserve">: </w:t>
            </w:r>
            <w:r w:rsidRPr="00D61579">
              <w:rPr>
                <w:rFonts w:ascii="Arial" w:hAnsi="Arial" w:cs="Arial"/>
                <w:color w:val="000000"/>
                <w:sz w:val="16"/>
                <w:szCs w:val="16"/>
              </w:rPr>
              <w:t>Уретій</w:t>
            </w:r>
            <w:r w:rsidRPr="00612851">
              <w:rPr>
                <w:rFonts w:ascii="Arial" w:hAnsi="Arial" w:cs="Arial"/>
                <w:color w:val="000000"/>
                <w:sz w:val="16"/>
                <w:szCs w:val="16"/>
              </w:rPr>
              <w:t xml:space="preserve"> </w:t>
            </w:r>
            <w:r w:rsidRPr="00D61579">
              <w:rPr>
                <w:rFonts w:ascii="Arial" w:hAnsi="Arial" w:cs="Arial"/>
                <w:color w:val="000000"/>
                <w:sz w:val="16"/>
                <w:szCs w:val="16"/>
              </w:rPr>
              <w:t>Сергій</w:t>
            </w:r>
            <w:r w:rsidRPr="00612851">
              <w:rPr>
                <w:rFonts w:ascii="Arial" w:hAnsi="Arial" w:cs="Arial"/>
                <w:color w:val="000000"/>
                <w:sz w:val="16"/>
                <w:szCs w:val="16"/>
              </w:rPr>
              <w:t xml:space="preserve"> </w:t>
            </w:r>
            <w:r w:rsidRPr="00D61579">
              <w:rPr>
                <w:rFonts w:ascii="Arial" w:hAnsi="Arial" w:cs="Arial"/>
                <w:color w:val="000000"/>
                <w:sz w:val="16"/>
                <w:szCs w:val="16"/>
              </w:rPr>
              <w:t>Іванович</w:t>
            </w:r>
            <w:r w:rsidRPr="00612851">
              <w:rPr>
                <w:rFonts w:ascii="Arial" w:hAnsi="Arial" w:cs="Arial"/>
                <w:color w:val="000000"/>
                <w:sz w:val="16"/>
                <w:szCs w:val="16"/>
              </w:rPr>
              <w:t xml:space="preserve"> / Uretii Sergii. </w:t>
            </w:r>
            <w:r w:rsidRPr="00612851">
              <w:rPr>
                <w:rFonts w:ascii="Arial" w:hAnsi="Arial" w:cs="Arial"/>
                <w:color w:val="000000"/>
                <w:sz w:val="16"/>
                <w:szCs w:val="16"/>
                <w:lang w:val="ru-RU"/>
              </w:rPr>
              <w:t>Зміна</w:t>
            </w:r>
            <w:r w:rsidRPr="00612851">
              <w:rPr>
                <w:rFonts w:ascii="Arial" w:hAnsi="Arial" w:cs="Arial"/>
                <w:color w:val="000000"/>
                <w:sz w:val="16"/>
                <w:szCs w:val="16"/>
              </w:rPr>
              <w:t xml:space="preserve"> </w:t>
            </w:r>
            <w:r w:rsidRPr="00612851">
              <w:rPr>
                <w:rFonts w:ascii="Arial" w:hAnsi="Arial" w:cs="Arial"/>
                <w:color w:val="000000"/>
                <w:sz w:val="16"/>
                <w:szCs w:val="16"/>
                <w:lang w:val="ru-RU"/>
              </w:rPr>
              <w:t>контактних</w:t>
            </w:r>
            <w:r w:rsidRPr="00612851">
              <w:rPr>
                <w:rFonts w:ascii="Arial" w:hAnsi="Arial" w:cs="Arial"/>
                <w:color w:val="000000"/>
                <w:sz w:val="16"/>
                <w:szCs w:val="16"/>
              </w:rPr>
              <w:t xml:space="preserve"> </w:t>
            </w:r>
            <w:r w:rsidRPr="00612851">
              <w:rPr>
                <w:rFonts w:ascii="Arial" w:hAnsi="Arial" w:cs="Arial"/>
                <w:color w:val="000000"/>
                <w:sz w:val="16"/>
                <w:szCs w:val="16"/>
                <w:lang w:val="ru-RU"/>
              </w:rPr>
              <w:t>даних</w:t>
            </w:r>
            <w:r w:rsidRPr="00612851">
              <w:rPr>
                <w:rFonts w:ascii="Arial" w:hAnsi="Arial" w:cs="Arial"/>
                <w:color w:val="000000"/>
                <w:sz w:val="16"/>
                <w:szCs w:val="16"/>
              </w:rPr>
              <w:t xml:space="preserve"> </w:t>
            </w:r>
            <w:r w:rsidRPr="00612851">
              <w:rPr>
                <w:rFonts w:ascii="Arial" w:hAnsi="Arial" w:cs="Arial"/>
                <w:color w:val="000000"/>
                <w:sz w:val="16"/>
                <w:szCs w:val="16"/>
                <w:lang w:val="ru-RU"/>
              </w:rPr>
              <w:t>контактної</w:t>
            </w:r>
            <w:r w:rsidRPr="00612851">
              <w:rPr>
                <w:rFonts w:ascii="Arial" w:hAnsi="Arial" w:cs="Arial"/>
                <w:color w:val="000000"/>
                <w:sz w:val="16"/>
                <w:szCs w:val="16"/>
              </w:rPr>
              <w:t xml:space="preserve"> </w:t>
            </w:r>
            <w:r w:rsidRPr="00612851">
              <w:rPr>
                <w:rFonts w:ascii="Arial" w:hAnsi="Arial" w:cs="Arial"/>
                <w:color w:val="000000"/>
                <w:sz w:val="16"/>
                <w:szCs w:val="16"/>
                <w:lang w:val="ru-RU"/>
              </w:rPr>
              <w:t>особи</w:t>
            </w:r>
            <w:r w:rsidRPr="00612851">
              <w:rPr>
                <w:rFonts w:ascii="Arial" w:hAnsi="Arial" w:cs="Arial"/>
                <w:color w:val="000000"/>
                <w:sz w:val="16"/>
                <w:szCs w:val="16"/>
              </w:rPr>
              <w:t xml:space="preserve"> </w:t>
            </w:r>
            <w:r w:rsidRPr="00612851">
              <w:rPr>
                <w:rFonts w:ascii="Arial" w:hAnsi="Arial" w:cs="Arial"/>
                <w:color w:val="000000"/>
                <w:sz w:val="16"/>
                <w:szCs w:val="16"/>
                <w:lang w:val="ru-RU"/>
              </w:rPr>
              <w:t>заявника</w:t>
            </w:r>
            <w:r w:rsidRPr="00612851">
              <w:rPr>
                <w:rFonts w:ascii="Arial" w:hAnsi="Arial" w:cs="Arial"/>
                <w:color w:val="000000"/>
                <w:sz w:val="16"/>
                <w:szCs w:val="16"/>
              </w:rPr>
              <w:t xml:space="preserve">, </w:t>
            </w:r>
            <w:r w:rsidRPr="00612851">
              <w:rPr>
                <w:rFonts w:ascii="Arial" w:hAnsi="Arial" w:cs="Arial"/>
                <w:color w:val="000000"/>
                <w:sz w:val="16"/>
                <w:szCs w:val="16"/>
                <w:lang w:val="ru-RU"/>
              </w:rPr>
              <w:t>відповідальної</w:t>
            </w:r>
            <w:r w:rsidRPr="00612851">
              <w:rPr>
                <w:rFonts w:ascii="Arial" w:hAnsi="Arial" w:cs="Arial"/>
                <w:color w:val="000000"/>
                <w:sz w:val="16"/>
                <w:szCs w:val="16"/>
              </w:rPr>
              <w:t xml:space="preserve"> </w:t>
            </w:r>
            <w:r w:rsidRPr="00612851">
              <w:rPr>
                <w:rFonts w:ascii="Arial" w:hAnsi="Arial" w:cs="Arial"/>
                <w:color w:val="000000"/>
                <w:sz w:val="16"/>
                <w:szCs w:val="16"/>
                <w:lang w:val="ru-RU"/>
              </w:rPr>
              <w:t>за</w:t>
            </w:r>
            <w:r w:rsidRPr="00612851">
              <w:rPr>
                <w:rFonts w:ascii="Arial" w:hAnsi="Arial" w:cs="Arial"/>
                <w:color w:val="000000"/>
                <w:sz w:val="16"/>
                <w:szCs w:val="16"/>
              </w:rPr>
              <w:t xml:space="preserve"> </w:t>
            </w:r>
            <w:r w:rsidRPr="00612851">
              <w:rPr>
                <w:rFonts w:ascii="Arial" w:hAnsi="Arial" w:cs="Arial"/>
                <w:color w:val="000000"/>
                <w:sz w:val="16"/>
                <w:szCs w:val="16"/>
                <w:lang w:val="ru-RU"/>
              </w:rPr>
              <w:t>фармаконагляд</w:t>
            </w:r>
            <w:r w:rsidRPr="00612851">
              <w:rPr>
                <w:rFonts w:ascii="Arial" w:hAnsi="Arial" w:cs="Arial"/>
                <w:color w:val="000000"/>
                <w:sz w:val="16"/>
                <w:szCs w:val="16"/>
              </w:rPr>
              <w:t xml:space="preserve"> </w:t>
            </w:r>
            <w:r w:rsidRPr="00612851">
              <w:rPr>
                <w:rFonts w:ascii="Arial" w:hAnsi="Arial" w:cs="Arial"/>
                <w:color w:val="000000"/>
                <w:sz w:val="16"/>
                <w:szCs w:val="16"/>
                <w:lang w:val="ru-RU"/>
              </w:rPr>
              <w:t>в</w:t>
            </w:r>
            <w:r w:rsidRPr="00612851">
              <w:rPr>
                <w:rFonts w:ascii="Arial" w:hAnsi="Arial" w:cs="Arial"/>
                <w:color w:val="000000"/>
                <w:sz w:val="16"/>
                <w:szCs w:val="16"/>
              </w:rPr>
              <w:t xml:space="preserve"> </w:t>
            </w:r>
            <w:r w:rsidRPr="00612851">
              <w:rPr>
                <w:rFonts w:ascii="Arial" w:hAnsi="Arial" w:cs="Arial"/>
                <w:color w:val="000000"/>
                <w:sz w:val="16"/>
                <w:szCs w:val="16"/>
                <w:lang w:val="ru-RU"/>
              </w:rPr>
              <w:t>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ind w:left="-114"/>
              <w:jc w:val="center"/>
              <w:rPr>
                <w:rFonts w:ascii="Arial" w:hAnsi="Arial" w:cs="Arial"/>
                <w:b/>
                <w:i/>
                <w:color w:val="000000"/>
                <w:sz w:val="16"/>
                <w:szCs w:val="16"/>
              </w:rPr>
            </w:pPr>
            <w:r w:rsidRPr="0061285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sz w:val="16"/>
                <w:szCs w:val="16"/>
              </w:rPr>
            </w:pPr>
            <w:r w:rsidRPr="00612851">
              <w:rPr>
                <w:rFonts w:ascii="Arial" w:hAnsi="Arial" w:cs="Arial"/>
                <w:sz w:val="16"/>
                <w:szCs w:val="16"/>
              </w:rPr>
              <w:t>UA/16801/01/04</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612851" w:rsidRDefault="00180B55" w:rsidP="00B26A25">
            <w:pPr>
              <w:pStyle w:val="Normal"/>
              <w:tabs>
                <w:tab w:val="left" w:pos="12600"/>
              </w:tabs>
              <w:rPr>
                <w:rFonts w:ascii="Arial" w:hAnsi="Arial" w:cs="Arial"/>
                <w:b/>
                <w:i/>
                <w:color w:val="000000"/>
                <w:sz w:val="16"/>
                <w:szCs w:val="16"/>
              </w:rPr>
            </w:pPr>
            <w:r w:rsidRPr="00612851">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rPr>
                <w:rFonts w:ascii="Arial" w:hAnsi="Arial" w:cs="Arial"/>
                <w:color w:val="000000"/>
                <w:sz w:val="16"/>
                <w:szCs w:val="16"/>
                <w:lang w:val="ru-RU"/>
              </w:rPr>
            </w:pPr>
            <w:r w:rsidRPr="00612851">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612851">
              <w:rPr>
                <w:rFonts w:ascii="Arial" w:hAnsi="Arial" w:cs="Arial"/>
                <w:color w:val="000000"/>
                <w:sz w:val="16"/>
                <w:szCs w:val="16"/>
              </w:rPr>
              <w:t>i</w:t>
            </w:r>
            <w:r w:rsidRPr="00C744DD">
              <w:rPr>
                <w:rFonts w:ascii="Arial" w:hAnsi="Arial" w:cs="Arial"/>
                <w:color w:val="000000"/>
                <w:sz w:val="16"/>
                <w:szCs w:val="16"/>
                <w:lang w:val="ru-RU"/>
              </w:rPr>
              <w:t xml:space="preserve">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w:t>
            </w:r>
          </w:p>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частковий контроль якості готового лікарського засобу:</w:t>
            </w:r>
            <w:r w:rsidRPr="00C744DD">
              <w:rPr>
                <w:rFonts w:ascii="Arial" w:hAnsi="Arial" w:cs="Arial"/>
                <w:color w:val="000000"/>
                <w:sz w:val="16"/>
                <w:szCs w:val="16"/>
                <w:lang w:val="ru-RU"/>
              </w:rPr>
              <w:br/>
              <w:t xml:space="preserve">Такеда Мануфекчурінг Австрія АГ, Австрія; </w:t>
            </w:r>
          </w:p>
          <w:p w:rsidR="00180B55"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 xml:space="preserve">виробництво, первинне пакування та контроль якості розчинника: </w:t>
            </w:r>
          </w:p>
          <w:p w:rsidR="00180B55" w:rsidRPr="00D602A3"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Бельгія/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180B55" w:rsidRPr="00D602A3"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lang w:val="ru-RU"/>
              </w:rPr>
            </w:pPr>
            <w:r w:rsidRPr="00612851">
              <w:rPr>
                <w:rFonts w:ascii="Arial" w:hAnsi="Arial" w:cs="Arial"/>
                <w:color w:val="000000"/>
                <w:sz w:val="16"/>
                <w:szCs w:val="16"/>
                <w:lang w:val="ru-RU"/>
              </w:rPr>
              <w:t>Зміна В.</w:t>
            </w:r>
            <w:r w:rsidRPr="00612851">
              <w:rPr>
                <w:rFonts w:ascii="Arial" w:hAnsi="Arial" w:cs="Arial"/>
                <w:color w:val="000000"/>
                <w:sz w:val="16"/>
                <w:szCs w:val="16"/>
              </w:rPr>
              <w:t>I</w:t>
            </w:r>
            <w:r w:rsidRPr="00612851">
              <w:rPr>
                <w:rFonts w:ascii="Arial" w:hAnsi="Arial" w:cs="Arial"/>
                <w:color w:val="000000"/>
                <w:sz w:val="16"/>
                <w:szCs w:val="16"/>
                <w:lang w:val="ru-RU"/>
              </w:rPr>
              <w:t xml:space="preserve">.8. (а), </w:t>
            </w:r>
            <w:r w:rsidRPr="00612851">
              <w:rPr>
                <w:rFonts w:ascii="Arial" w:hAnsi="Arial" w:cs="Arial"/>
                <w:color w:val="000000"/>
                <w:sz w:val="16"/>
                <w:szCs w:val="16"/>
              </w:rPr>
              <w:t>IA</w:t>
            </w:r>
            <w:r w:rsidRPr="00612851">
              <w:rPr>
                <w:rFonts w:ascii="Arial" w:hAnsi="Arial" w:cs="Arial"/>
                <w:color w:val="000000"/>
                <w:sz w:val="16"/>
                <w:szCs w:val="16"/>
                <w:lang w:val="ru-RU"/>
              </w:rPr>
              <w:t xml:space="preserve">нп - Зміна контактної особи заявника, відповідальної за фармаконагляд в Україні. Діюча редакція: Венгер Людмила Анатоліївна / </w:t>
            </w:r>
            <w:r w:rsidRPr="00612851">
              <w:rPr>
                <w:rFonts w:ascii="Arial" w:hAnsi="Arial" w:cs="Arial"/>
                <w:color w:val="000000"/>
                <w:sz w:val="16"/>
                <w:szCs w:val="16"/>
              </w:rPr>
              <w:t>Venher</w:t>
            </w:r>
            <w:r w:rsidRPr="00612851">
              <w:rPr>
                <w:rFonts w:ascii="Arial" w:hAnsi="Arial" w:cs="Arial"/>
                <w:color w:val="000000"/>
                <w:sz w:val="16"/>
                <w:szCs w:val="16"/>
                <w:lang w:val="ru-RU"/>
              </w:rPr>
              <w:t xml:space="preserve"> </w:t>
            </w:r>
            <w:r w:rsidRPr="00612851">
              <w:rPr>
                <w:rFonts w:ascii="Arial" w:hAnsi="Arial" w:cs="Arial"/>
                <w:color w:val="000000"/>
                <w:sz w:val="16"/>
                <w:szCs w:val="16"/>
              </w:rPr>
              <w:t>Liudmyla</w:t>
            </w:r>
            <w:r w:rsidRPr="00612851">
              <w:rPr>
                <w:rFonts w:ascii="Arial" w:hAnsi="Arial" w:cs="Arial"/>
                <w:color w:val="000000"/>
                <w:sz w:val="16"/>
                <w:szCs w:val="16"/>
                <w:lang w:val="ru-RU"/>
              </w:rPr>
              <w:t xml:space="preserve">. Пропонована редакція: Уретій Сергій Іванович / </w:t>
            </w:r>
            <w:r w:rsidRPr="00612851">
              <w:rPr>
                <w:rFonts w:ascii="Arial" w:hAnsi="Arial" w:cs="Arial"/>
                <w:color w:val="000000"/>
                <w:sz w:val="16"/>
                <w:szCs w:val="16"/>
              </w:rPr>
              <w:t>Uretii</w:t>
            </w:r>
            <w:r w:rsidRPr="00612851">
              <w:rPr>
                <w:rFonts w:ascii="Arial" w:hAnsi="Arial" w:cs="Arial"/>
                <w:color w:val="000000"/>
                <w:sz w:val="16"/>
                <w:szCs w:val="16"/>
                <w:lang w:val="ru-RU"/>
              </w:rPr>
              <w:t xml:space="preserve"> </w:t>
            </w:r>
            <w:r w:rsidRPr="00612851">
              <w:rPr>
                <w:rFonts w:ascii="Arial" w:hAnsi="Arial" w:cs="Arial"/>
                <w:color w:val="000000"/>
                <w:sz w:val="16"/>
                <w:szCs w:val="16"/>
              </w:rPr>
              <w:t>Sergii</w:t>
            </w:r>
            <w:r w:rsidRPr="00612851">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ind w:left="-114"/>
              <w:jc w:val="center"/>
              <w:rPr>
                <w:rFonts w:ascii="Arial" w:hAnsi="Arial" w:cs="Arial"/>
                <w:b/>
                <w:i/>
                <w:color w:val="000000"/>
                <w:sz w:val="16"/>
                <w:szCs w:val="16"/>
              </w:rPr>
            </w:pPr>
            <w:r w:rsidRPr="0061285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sz w:val="16"/>
                <w:szCs w:val="16"/>
              </w:rPr>
            </w:pPr>
            <w:r w:rsidRPr="00612851">
              <w:rPr>
                <w:rFonts w:ascii="Arial" w:hAnsi="Arial" w:cs="Arial"/>
                <w:sz w:val="16"/>
                <w:szCs w:val="16"/>
              </w:rPr>
              <w:t>UA/16801/01/05</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612851" w:rsidRDefault="00180B55" w:rsidP="00B26A25">
            <w:pPr>
              <w:pStyle w:val="Normal"/>
              <w:tabs>
                <w:tab w:val="left" w:pos="12600"/>
              </w:tabs>
              <w:rPr>
                <w:rFonts w:ascii="Arial" w:hAnsi="Arial" w:cs="Arial"/>
                <w:b/>
                <w:i/>
                <w:color w:val="000000"/>
                <w:sz w:val="16"/>
                <w:szCs w:val="16"/>
              </w:rPr>
            </w:pPr>
            <w:r w:rsidRPr="00612851">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rPr>
                <w:rFonts w:ascii="Arial" w:hAnsi="Arial" w:cs="Arial"/>
                <w:color w:val="000000"/>
                <w:sz w:val="16"/>
                <w:szCs w:val="16"/>
                <w:lang w:val="ru-RU"/>
              </w:rPr>
            </w:pPr>
            <w:r w:rsidRPr="00612851">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rPr>
            </w:pPr>
            <w:r w:rsidRPr="00612851">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w:t>
            </w:r>
            <w:r w:rsidRPr="00612851">
              <w:rPr>
                <w:rFonts w:ascii="Arial" w:hAnsi="Arial" w:cs="Arial"/>
                <w:color w:val="000000"/>
                <w:sz w:val="16"/>
                <w:szCs w:val="16"/>
              </w:rPr>
              <w:t>i</w:t>
            </w:r>
            <w:r w:rsidRPr="00C744DD">
              <w:rPr>
                <w:rFonts w:ascii="Arial" w:hAnsi="Arial" w:cs="Arial"/>
                <w:color w:val="000000"/>
                <w:sz w:val="16"/>
                <w:szCs w:val="16"/>
                <w:lang w:val="ru-RU"/>
              </w:rPr>
              <w:t xml:space="preserve">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Такеда Мануфекчурінг Австрія АГ, Австрія; </w:t>
            </w:r>
          </w:p>
          <w:p w:rsidR="00180B55" w:rsidRPr="00C744DD" w:rsidRDefault="00180B55" w:rsidP="00B26A25">
            <w:pPr>
              <w:pStyle w:val="Normal"/>
              <w:tabs>
                <w:tab w:val="left" w:pos="12600"/>
              </w:tabs>
              <w:jc w:val="center"/>
              <w:rPr>
                <w:rFonts w:ascii="Arial" w:hAnsi="Arial" w:cs="Arial"/>
                <w:color w:val="000000"/>
                <w:sz w:val="16"/>
                <w:szCs w:val="16"/>
                <w:lang w:val="ru-RU"/>
              </w:rPr>
            </w:pPr>
            <w:r w:rsidRPr="00C744DD">
              <w:rPr>
                <w:rFonts w:ascii="Arial" w:hAnsi="Arial" w:cs="Arial"/>
                <w:color w:val="000000"/>
                <w:sz w:val="16"/>
                <w:szCs w:val="16"/>
                <w:lang w:val="ru-RU"/>
              </w:rPr>
              <w:t>частковий контроль якості готового лікарського засобу:</w:t>
            </w:r>
            <w:r w:rsidRPr="00C744DD">
              <w:rPr>
                <w:rFonts w:ascii="Arial" w:hAnsi="Arial" w:cs="Arial"/>
                <w:color w:val="000000"/>
                <w:sz w:val="16"/>
                <w:szCs w:val="16"/>
                <w:lang w:val="ru-RU"/>
              </w:rPr>
              <w:br/>
              <w:t xml:space="preserve">Такеда Мануфекчурінг Австрія АГ, Австрія; </w:t>
            </w:r>
          </w:p>
          <w:p w:rsidR="00180B55"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 xml:space="preserve">виробництво, первинне пакування та контроль якості розчинника: </w:t>
            </w:r>
          </w:p>
          <w:p w:rsidR="00180B55" w:rsidRPr="00D602A3" w:rsidRDefault="00180B55" w:rsidP="00B26A25">
            <w:pPr>
              <w:pStyle w:val="Normal"/>
              <w:tabs>
                <w:tab w:val="left" w:pos="12600"/>
              </w:tabs>
              <w:jc w:val="center"/>
              <w:rPr>
                <w:rFonts w:ascii="Arial" w:hAnsi="Arial" w:cs="Arial"/>
                <w:color w:val="000000"/>
                <w:sz w:val="16"/>
                <w:szCs w:val="16"/>
                <w:lang w:val="ru-RU"/>
              </w:rPr>
            </w:pPr>
            <w:r w:rsidRPr="00D602A3">
              <w:rPr>
                <w:rFonts w:ascii="Arial" w:hAnsi="Arial" w:cs="Arial"/>
                <w:color w:val="000000"/>
                <w:sz w:val="16"/>
                <w:szCs w:val="16"/>
                <w:lang w:val="ru-RU"/>
              </w:rP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Бельгія/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Швейцарія/</w:t>
            </w:r>
          </w:p>
          <w:p w:rsidR="00180B55"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180B55" w:rsidRPr="00D602A3"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color w:val="000000"/>
                <w:sz w:val="16"/>
                <w:szCs w:val="16"/>
                <w:lang w:val="ru-RU"/>
              </w:rPr>
            </w:pPr>
            <w:r w:rsidRPr="00612851">
              <w:rPr>
                <w:rFonts w:ascii="Arial" w:hAnsi="Arial" w:cs="Arial"/>
                <w:color w:val="000000"/>
                <w:sz w:val="16"/>
                <w:szCs w:val="16"/>
                <w:lang w:val="ru-RU"/>
              </w:rPr>
              <w:t>Зміна В.</w:t>
            </w:r>
            <w:r w:rsidRPr="00612851">
              <w:rPr>
                <w:rFonts w:ascii="Arial" w:hAnsi="Arial" w:cs="Arial"/>
                <w:color w:val="000000"/>
                <w:sz w:val="16"/>
                <w:szCs w:val="16"/>
              </w:rPr>
              <w:t>I</w:t>
            </w:r>
            <w:r w:rsidRPr="00612851">
              <w:rPr>
                <w:rFonts w:ascii="Arial" w:hAnsi="Arial" w:cs="Arial"/>
                <w:color w:val="000000"/>
                <w:sz w:val="16"/>
                <w:szCs w:val="16"/>
                <w:lang w:val="ru-RU"/>
              </w:rPr>
              <w:t xml:space="preserve">.8. (а), </w:t>
            </w:r>
            <w:r w:rsidRPr="00612851">
              <w:rPr>
                <w:rFonts w:ascii="Arial" w:hAnsi="Arial" w:cs="Arial"/>
                <w:color w:val="000000"/>
                <w:sz w:val="16"/>
                <w:szCs w:val="16"/>
              </w:rPr>
              <w:t>IA</w:t>
            </w:r>
            <w:r w:rsidRPr="00612851">
              <w:rPr>
                <w:rFonts w:ascii="Arial" w:hAnsi="Arial" w:cs="Arial"/>
                <w:color w:val="000000"/>
                <w:sz w:val="16"/>
                <w:szCs w:val="16"/>
                <w:lang w:val="ru-RU"/>
              </w:rPr>
              <w:t xml:space="preserve">нп - Зміна контактної особи заявника, відповідальної за фармаконагляд в Україні. Діюча редакція: Венгер Людмила Анатоліївна / </w:t>
            </w:r>
            <w:r w:rsidRPr="00612851">
              <w:rPr>
                <w:rFonts w:ascii="Arial" w:hAnsi="Arial" w:cs="Arial"/>
                <w:color w:val="000000"/>
                <w:sz w:val="16"/>
                <w:szCs w:val="16"/>
              </w:rPr>
              <w:t>Venher</w:t>
            </w:r>
            <w:r w:rsidRPr="00612851">
              <w:rPr>
                <w:rFonts w:ascii="Arial" w:hAnsi="Arial" w:cs="Arial"/>
                <w:color w:val="000000"/>
                <w:sz w:val="16"/>
                <w:szCs w:val="16"/>
                <w:lang w:val="ru-RU"/>
              </w:rPr>
              <w:t xml:space="preserve"> </w:t>
            </w:r>
            <w:r w:rsidRPr="00612851">
              <w:rPr>
                <w:rFonts w:ascii="Arial" w:hAnsi="Arial" w:cs="Arial"/>
                <w:color w:val="000000"/>
                <w:sz w:val="16"/>
                <w:szCs w:val="16"/>
              </w:rPr>
              <w:t>Liudmyla</w:t>
            </w:r>
            <w:r w:rsidRPr="00612851">
              <w:rPr>
                <w:rFonts w:ascii="Arial" w:hAnsi="Arial" w:cs="Arial"/>
                <w:color w:val="000000"/>
                <w:sz w:val="16"/>
                <w:szCs w:val="16"/>
                <w:lang w:val="ru-RU"/>
              </w:rPr>
              <w:t xml:space="preserve">. Пропонована редакція: Уретій Сергій Іванович / </w:t>
            </w:r>
            <w:r w:rsidRPr="00612851">
              <w:rPr>
                <w:rFonts w:ascii="Arial" w:hAnsi="Arial" w:cs="Arial"/>
                <w:color w:val="000000"/>
                <w:sz w:val="16"/>
                <w:szCs w:val="16"/>
              </w:rPr>
              <w:t>Uretii</w:t>
            </w:r>
            <w:r w:rsidRPr="00612851">
              <w:rPr>
                <w:rFonts w:ascii="Arial" w:hAnsi="Arial" w:cs="Arial"/>
                <w:color w:val="000000"/>
                <w:sz w:val="16"/>
                <w:szCs w:val="16"/>
                <w:lang w:val="ru-RU"/>
              </w:rPr>
              <w:t xml:space="preserve"> </w:t>
            </w:r>
            <w:r w:rsidRPr="00612851">
              <w:rPr>
                <w:rFonts w:ascii="Arial" w:hAnsi="Arial" w:cs="Arial"/>
                <w:color w:val="000000"/>
                <w:sz w:val="16"/>
                <w:szCs w:val="16"/>
              </w:rPr>
              <w:t>Sergii</w:t>
            </w:r>
            <w:r w:rsidRPr="00612851">
              <w:rPr>
                <w:rFonts w:ascii="Arial" w:hAnsi="Arial" w:cs="Arial"/>
                <w:color w:val="000000"/>
                <w:sz w:val="16"/>
                <w:szCs w:val="16"/>
                <w:lang w:val="ru-RU"/>
              </w:rPr>
              <w:t>.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ind w:left="-114"/>
              <w:jc w:val="center"/>
              <w:rPr>
                <w:rFonts w:ascii="Arial" w:hAnsi="Arial" w:cs="Arial"/>
                <w:b/>
                <w:i/>
                <w:color w:val="000000"/>
                <w:sz w:val="16"/>
                <w:szCs w:val="16"/>
              </w:rPr>
            </w:pPr>
            <w:r w:rsidRPr="00612851">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612851" w:rsidRDefault="00180B55" w:rsidP="00B26A25">
            <w:pPr>
              <w:pStyle w:val="Normal"/>
              <w:tabs>
                <w:tab w:val="left" w:pos="12600"/>
              </w:tabs>
              <w:jc w:val="center"/>
              <w:rPr>
                <w:rFonts w:ascii="Arial" w:hAnsi="Arial" w:cs="Arial"/>
                <w:sz w:val="16"/>
                <w:szCs w:val="16"/>
              </w:rPr>
            </w:pPr>
            <w:r w:rsidRPr="00612851">
              <w:rPr>
                <w:rFonts w:ascii="Arial" w:hAnsi="Arial" w:cs="Arial"/>
                <w:sz w:val="16"/>
                <w:szCs w:val="16"/>
              </w:rPr>
              <w:t>UA/16801/01/06</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1E19D3" w:rsidRDefault="00180B55" w:rsidP="00B26A25">
            <w:pPr>
              <w:pStyle w:val="Normal"/>
              <w:tabs>
                <w:tab w:val="left" w:pos="12600"/>
              </w:tabs>
              <w:rPr>
                <w:rFonts w:ascii="Arial" w:hAnsi="Arial" w:cs="Arial"/>
                <w:b/>
                <w:i/>
                <w:color w:val="000000"/>
                <w:sz w:val="16"/>
                <w:szCs w:val="16"/>
              </w:rPr>
            </w:pPr>
            <w:r w:rsidRPr="001E19D3">
              <w:rPr>
                <w:rFonts w:ascii="Arial" w:hAnsi="Arial" w:cs="Arial"/>
                <w:b/>
                <w:sz w:val="16"/>
                <w:szCs w:val="16"/>
              </w:rPr>
              <w:t>ВАРГАТЕФ®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rPr>
                <w:rFonts w:ascii="Arial" w:hAnsi="Arial" w:cs="Arial"/>
                <w:color w:val="000000"/>
                <w:sz w:val="16"/>
                <w:szCs w:val="16"/>
                <w:lang w:val="ru-RU"/>
              </w:rPr>
            </w:pPr>
            <w:r w:rsidRPr="001E19D3">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 xml:space="preserve">виробник, що відповідає за випуск серії: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lang w:val="ru-RU"/>
              </w:rPr>
              <w:t xml:space="preserve">Берінгер Інгельхайм Фарма ГмбХ і Ко. </w:t>
            </w:r>
            <w:r w:rsidRPr="001E19D3">
              <w:rPr>
                <w:rFonts w:ascii="Arial" w:hAnsi="Arial" w:cs="Arial"/>
                <w:color w:val="000000"/>
                <w:sz w:val="16"/>
                <w:szCs w:val="16"/>
              </w:rPr>
              <w:t xml:space="preserve">КГ, Німеччина; виробництво, упаковка та контроль якості капсул in bulk (нерозфасованої продукції лікарського засобу):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 xml:space="preserve">Каталент Німеччина Ебербах ГмбХ, Німеччина;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lang w:val="ru-RU"/>
              </w:rPr>
              <w:t xml:space="preserve">Берінгер Інгельхайм Фарма ГмбХ і Ко. </w:t>
            </w:r>
            <w:r w:rsidRPr="001E19D3">
              <w:rPr>
                <w:rFonts w:ascii="Arial" w:hAnsi="Arial" w:cs="Arial"/>
                <w:color w:val="000000"/>
                <w:sz w:val="16"/>
                <w:szCs w:val="16"/>
              </w:rPr>
              <w:t xml:space="preserve">КГ, Німеччина; альтернативні дільниці для вторинного пакування та маркування: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 xml:space="preserve">ФармЛог Фарма Лоджістік ГмбХ, Німеччина;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 xml:space="preserve">Штегеманн Льонферпакунген унд Логістішер Сервіс е. К., Німеччина;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 xml:space="preserve">альтернативні лабораторії для проведення контролю якості (за виключенням мікробіологічної чистоти):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 xml:space="preserve">А енд Ем Штабтест ГмбХ (Лабораторія контролю якості та тестування стабільності), Німеччина;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lang w:val="ru-RU"/>
              </w:rPr>
              <w:t xml:space="preserve">Лабор ЛС СЕ енд Ко. </w:t>
            </w:r>
            <w:r w:rsidRPr="001E19D3">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b/>
                <w:color w:val="000000"/>
                <w:sz w:val="16"/>
                <w:szCs w:val="16"/>
              </w:rPr>
              <w:t>C.I.11.b type II – Introduction of, or change(s) to, the obligations and conditions of a marketing authorisation, including the RMP - Implementation of change(s) which require to be further substantiated by new additional data to be submitted by the MAH where significant assessment is required.</w:t>
            </w:r>
            <w:r w:rsidRPr="001E19D3">
              <w:rPr>
                <w:rFonts w:ascii="Arial" w:hAnsi="Arial" w:cs="Arial"/>
                <w:color w:val="000000"/>
                <w:sz w:val="16"/>
                <w:szCs w:val="16"/>
              </w:rPr>
              <w:br/>
              <w:t>Submission of an updated RMP version 10.2 in order to remove safety concerns that were classified as important identified risks, important potential risks and missing information, based on cumulative post-marketing experience. The MAH is also proposing an update of the ATC code, an update of post-marketing exposure, the removal of adverse event follow-up forms and an update of search strategies.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ind w:left="-114"/>
              <w:jc w:val="center"/>
              <w:rPr>
                <w:rFonts w:ascii="Arial" w:hAnsi="Arial" w:cs="Arial"/>
                <w:b/>
                <w:i/>
                <w:color w:val="000000"/>
                <w:sz w:val="16"/>
                <w:szCs w:val="16"/>
              </w:rPr>
            </w:pPr>
            <w:r w:rsidRPr="001E19D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sz w:val="16"/>
                <w:szCs w:val="16"/>
              </w:rPr>
            </w:pPr>
            <w:r w:rsidRPr="001E19D3">
              <w:rPr>
                <w:rFonts w:ascii="Arial" w:hAnsi="Arial" w:cs="Arial"/>
                <w:sz w:val="16"/>
                <w:szCs w:val="16"/>
              </w:rPr>
              <w:t>UA/16651/01/01</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1E19D3" w:rsidRDefault="00180B55" w:rsidP="00B26A25">
            <w:pPr>
              <w:pStyle w:val="Normal"/>
              <w:tabs>
                <w:tab w:val="left" w:pos="12600"/>
              </w:tabs>
              <w:rPr>
                <w:rFonts w:ascii="Arial" w:hAnsi="Arial" w:cs="Arial"/>
                <w:b/>
                <w:i/>
                <w:color w:val="000000"/>
                <w:sz w:val="16"/>
                <w:szCs w:val="16"/>
              </w:rPr>
            </w:pPr>
            <w:r w:rsidRPr="001E19D3">
              <w:rPr>
                <w:rFonts w:ascii="Arial" w:hAnsi="Arial" w:cs="Arial"/>
                <w:b/>
                <w:sz w:val="16"/>
                <w:szCs w:val="16"/>
              </w:rPr>
              <w:t>ВАРГАТЕФ®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rPr>
                <w:rFonts w:ascii="Arial" w:hAnsi="Arial" w:cs="Arial"/>
                <w:color w:val="000000"/>
                <w:sz w:val="16"/>
                <w:szCs w:val="16"/>
                <w:lang w:val="ru-RU"/>
              </w:rPr>
            </w:pPr>
            <w:r w:rsidRPr="001E19D3">
              <w:rPr>
                <w:rFonts w:ascii="Arial" w:hAnsi="Arial" w:cs="Arial"/>
                <w:color w:val="000000"/>
                <w:sz w:val="16"/>
                <w:szCs w:val="16"/>
                <w:lang w:val="ru-RU"/>
              </w:rPr>
              <w:t>капсули м`які по 150 мг; по 10 капсул м'яких в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виробник, що відповідає за випуск серії: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Берінгер Інгельхайм Фарма ГмбХ і Ко. КГ, Німеччина; виробництво, упаковка та контроль якості капсул </w:t>
            </w:r>
            <w:r w:rsidRPr="001E19D3">
              <w:rPr>
                <w:rFonts w:ascii="Arial" w:hAnsi="Arial" w:cs="Arial"/>
                <w:color w:val="000000"/>
                <w:sz w:val="16"/>
                <w:szCs w:val="16"/>
              </w:rPr>
              <w:t>in</w:t>
            </w:r>
            <w:r w:rsidRPr="001E19D3">
              <w:rPr>
                <w:rFonts w:ascii="Arial" w:hAnsi="Arial" w:cs="Arial"/>
                <w:color w:val="000000"/>
                <w:sz w:val="16"/>
                <w:szCs w:val="16"/>
                <w:lang w:val="ru-RU"/>
              </w:rPr>
              <w:t xml:space="preserve"> </w:t>
            </w:r>
            <w:r w:rsidRPr="001E19D3">
              <w:rPr>
                <w:rFonts w:ascii="Arial" w:hAnsi="Arial" w:cs="Arial"/>
                <w:color w:val="000000"/>
                <w:sz w:val="16"/>
                <w:szCs w:val="16"/>
              </w:rPr>
              <w:t>bulk</w:t>
            </w:r>
            <w:r w:rsidRPr="001E19D3">
              <w:rPr>
                <w:rFonts w:ascii="Arial" w:hAnsi="Arial" w:cs="Arial"/>
                <w:color w:val="000000"/>
                <w:sz w:val="16"/>
                <w:szCs w:val="16"/>
                <w:lang w:val="ru-RU"/>
              </w:rPr>
              <w:t xml:space="preserve"> (нерозфасованої продукції лікарського засобу):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Каталент Німеччина Ебербах ГмбХ, Німеччина;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первинне (блістери) та вторинне пакування (коробки), маркування (первинного та вторинного пакування) та контроль якості лікарського засобу: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Берінгер Інгельхайм Фарма ГмбХ і Ко. КГ, Німеччина; альтернативні дільниці для вторинного пакування та маркування: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ФармЛог Фарма Лоджістік ГмбХ, Німеччина;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Штегеманн Льонферпакунген унд Логістішер Сервіс е. К., Німеччина;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альтернативні лабораторії для проведення контролю якості (за виключенням мікробіологічної чистоти):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А енд Ем Штабтест ГмбХ (Лабораторія контролю якості та тестування стабільності), Німеччина;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 xml:space="preserve">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lang w:val="ru-RU"/>
              </w:rPr>
              <w:t xml:space="preserve">Лабор ЛС СЕ енд Ко. </w:t>
            </w:r>
            <w:r w:rsidRPr="001E19D3">
              <w:rPr>
                <w:rFonts w:ascii="Arial" w:hAnsi="Arial" w:cs="Arial"/>
                <w:color w:val="000000"/>
                <w:sz w:val="16"/>
                <w:szCs w:val="16"/>
              </w:rPr>
              <w:t>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b/>
                <w:color w:val="000000"/>
                <w:sz w:val="16"/>
                <w:szCs w:val="16"/>
              </w:rPr>
              <w:t>C.I.11.b type II – Introduction of, or change(s) to, the obligations and conditions of a marketing authorisation, including the RMP - Implementation of change(s) which require to be further substantiated by new additional data to be submitted by the MAH where significant assessment is required.</w:t>
            </w:r>
            <w:r w:rsidRPr="001E19D3">
              <w:rPr>
                <w:rFonts w:ascii="Arial" w:hAnsi="Arial" w:cs="Arial"/>
                <w:color w:val="000000"/>
                <w:sz w:val="16"/>
                <w:szCs w:val="16"/>
              </w:rPr>
              <w:br/>
              <w:t>Submission of an updated RMP version 10.2 in order to remove safety concerns that were classified as important identified risks, important potential risks and missing information, based on cumulative post-marketing experience. The MAH is also proposing an update of the ATC code, an update of post-marketing exposure, the removal of adverse event follow-up forms and an update of search strategies.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ind w:left="-114"/>
              <w:jc w:val="center"/>
              <w:rPr>
                <w:rFonts w:ascii="Arial" w:hAnsi="Arial" w:cs="Arial"/>
                <w:b/>
                <w:i/>
                <w:color w:val="000000"/>
                <w:sz w:val="16"/>
                <w:szCs w:val="16"/>
              </w:rPr>
            </w:pPr>
            <w:r w:rsidRPr="001E19D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sz w:val="16"/>
                <w:szCs w:val="16"/>
              </w:rPr>
            </w:pPr>
            <w:r w:rsidRPr="001E19D3">
              <w:rPr>
                <w:rFonts w:ascii="Arial" w:hAnsi="Arial" w:cs="Arial"/>
                <w:sz w:val="16"/>
                <w:szCs w:val="16"/>
              </w:rPr>
              <w:t>UA/16651/01/02</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B85B48" w:rsidRDefault="00180B55" w:rsidP="00B26A25">
            <w:pPr>
              <w:pStyle w:val="Normal"/>
              <w:tabs>
                <w:tab w:val="left" w:pos="12600"/>
              </w:tabs>
              <w:rPr>
                <w:rFonts w:ascii="Arial" w:hAnsi="Arial" w:cs="Arial"/>
                <w:b/>
                <w:i/>
                <w:color w:val="000000"/>
                <w:sz w:val="16"/>
                <w:szCs w:val="16"/>
              </w:rPr>
            </w:pPr>
            <w:r w:rsidRPr="00B85B48">
              <w:rPr>
                <w:rFonts w:ascii="Arial" w:hAnsi="Arial" w:cs="Arial"/>
                <w:b/>
                <w:sz w:val="16"/>
                <w:szCs w:val="16"/>
              </w:rPr>
              <w:t>ЄЛЛОКС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B85B48" w:rsidRDefault="00180B55" w:rsidP="00B26A25">
            <w:pPr>
              <w:pStyle w:val="Normal"/>
              <w:tabs>
                <w:tab w:val="left" w:pos="12600"/>
              </w:tabs>
              <w:rPr>
                <w:rFonts w:ascii="Arial" w:hAnsi="Arial" w:cs="Arial"/>
                <w:color w:val="000000"/>
                <w:sz w:val="16"/>
                <w:szCs w:val="16"/>
                <w:lang w:val="ru-RU"/>
              </w:rPr>
            </w:pPr>
            <w:r w:rsidRPr="00B85B48">
              <w:rPr>
                <w:rFonts w:ascii="Arial" w:hAnsi="Arial" w:cs="Arial"/>
                <w:color w:val="000000"/>
                <w:sz w:val="16"/>
                <w:szCs w:val="16"/>
                <w:lang w:val="ru-RU"/>
              </w:rPr>
              <w:t>краплі очні, розчин, 0,9 мг/мл по 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B85B48" w:rsidRDefault="00180B55" w:rsidP="00B26A25">
            <w:pPr>
              <w:pStyle w:val="Normal"/>
              <w:tabs>
                <w:tab w:val="left" w:pos="12600"/>
              </w:tabs>
              <w:jc w:val="center"/>
              <w:rPr>
                <w:rFonts w:ascii="Arial" w:hAnsi="Arial" w:cs="Arial"/>
                <w:color w:val="000000"/>
                <w:sz w:val="16"/>
                <w:szCs w:val="16"/>
              </w:rPr>
            </w:pPr>
            <w:r w:rsidRPr="00B85B48">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B85B48" w:rsidRDefault="00180B55" w:rsidP="00B26A25">
            <w:pPr>
              <w:pStyle w:val="Normal"/>
              <w:tabs>
                <w:tab w:val="left" w:pos="12600"/>
              </w:tabs>
              <w:jc w:val="center"/>
              <w:rPr>
                <w:rFonts w:ascii="Arial" w:hAnsi="Arial" w:cs="Arial"/>
                <w:color w:val="000000"/>
                <w:sz w:val="16"/>
                <w:szCs w:val="16"/>
              </w:rPr>
            </w:pPr>
            <w:r w:rsidRPr="00B85B48">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lang w:val="ru-RU"/>
              </w:rPr>
            </w:pPr>
            <w:r w:rsidRPr="00B85B48">
              <w:rPr>
                <w:rFonts w:ascii="Arial" w:hAnsi="Arial" w:cs="Arial"/>
                <w:color w:val="000000"/>
                <w:sz w:val="16"/>
                <w:szCs w:val="16"/>
                <w:lang w:val="ru-RU"/>
              </w:rPr>
              <w:t xml:space="preserve">виробництво лікарського засобу, первинне та вторинне пакування, контроль серії, випуск серії: </w:t>
            </w:r>
          </w:p>
          <w:p w:rsidR="00180B55" w:rsidRDefault="00180B55" w:rsidP="00B26A25">
            <w:pPr>
              <w:pStyle w:val="Normal"/>
              <w:tabs>
                <w:tab w:val="left" w:pos="12600"/>
              </w:tabs>
              <w:jc w:val="center"/>
              <w:rPr>
                <w:rFonts w:ascii="Arial" w:hAnsi="Arial" w:cs="Arial"/>
                <w:color w:val="000000"/>
                <w:sz w:val="16"/>
                <w:szCs w:val="16"/>
                <w:lang w:val="ru-RU"/>
              </w:rPr>
            </w:pPr>
            <w:r w:rsidRPr="00B85B48">
              <w:rPr>
                <w:rFonts w:ascii="Arial" w:hAnsi="Arial" w:cs="Arial"/>
                <w:color w:val="000000"/>
                <w:sz w:val="16"/>
                <w:szCs w:val="16"/>
                <w:lang w:val="ru-RU"/>
              </w:rPr>
              <w:t xml:space="preserve">Др. Герхард Манн Хем.-фарм. Фабрик ГмбХ, Німеччина; дільниця, на якій проводиться стерилізація: </w:t>
            </w:r>
          </w:p>
          <w:p w:rsidR="00180B55" w:rsidRDefault="00180B55" w:rsidP="00B26A25">
            <w:pPr>
              <w:pStyle w:val="Normal"/>
              <w:tabs>
                <w:tab w:val="left" w:pos="12600"/>
              </w:tabs>
              <w:jc w:val="center"/>
              <w:rPr>
                <w:rFonts w:ascii="Arial" w:hAnsi="Arial" w:cs="Arial"/>
                <w:color w:val="000000"/>
                <w:sz w:val="16"/>
                <w:szCs w:val="16"/>
                <w:lang w:val="ru-RU"/>
              </w:rPr>
            </w:pPr>
            <w:r w:rsidRPr="00B85B48">
              <w:rPr>
                <w:rFonts w:ascii="Arial" w:hAnsi="Arial" w:cs="Arial"/>
                <w:color w:val="000000"/>
                <w:sz w:val="16"/>
                <w:szCs w:val="16"/>
                <w:lang w:val="ru-RU"/>
              </w:rPr>
              <w:t xml:space="preserve">ББФ Стерилізейшнсервіс ГмбХ, Німеччина; </w:t>
            </w:r>
          </w:p>
          <w:p w:rsidR="00180B55" w:rsidRDefault="00180B55" w:rsidP="00B26A25">
            <w:pPr>
              <w:pStyle w:val="Normal"/>
              <w:tabs>
                <w:tab w:val="left" w:pos="12600"/>
              </w:tabs>
              <w:jc w:val="center"/>
              <w:rPr>
                <w:rFonts w:ascii="Arial" w:hAnsi="Arial" w:cs="Arial"/>
                <w:color w:val="000000"/>
                <w:sz w:val="16"/>
                <w:szCs w:val="16"/>
                <w:lang w:val="ru-RU"/>
              </w:rPr>
            </w:pPr>
            <w:r w:rsidRPr="00B85B48">
              <w:rPr>
                <w:rFonts w:ascii="Arial" w:hAnsi="Arial" w:cs="Arial"/>
                <w:color w:val="000000"/>
                <w:sz w:val="16"/>
                <w:szCs w:val="16"/>
                <w:lang w:val="ru-RU"/>
              </w:rPr>
              <w:t xml:space="preserve">ідентифікація натрію сульфіту та кількісне визначення: </w:t>
            </w:r>
          </w:p>
          <w:p w:rsidR="00180B55" w:rsidRPr="00B85B48" w:rsidRDefault="00180B55" w:rsidP="00B26A25">
            <w:pPr>
              <w:pStyle w:val="Normal"/>
              <w:tabs>
                <w:tab w:val="left" w:pos="12600"/>
              </w:tabs>
              <w:jc w:val="center"/>
              <w:rPr>
                <w:rFonts w:ascii="Arial" w:hAnsi="Arial" w:cs="Arial"/>
                <w:color w:val="000000"/>
                <w:sz w:val="16"/>
                <w:szCs w:val="16"/>
                <w:lang w:val="ru-RU"/>
              </w:rPr>
            </w:pPr>
            <w:r w:rsidRPr="00B85B48">
              <w:rPr>
                <w:rFonts w:ascii="Arial" w:hAnsi="Arial" w:cs="Arial"/>
                <w:color w:val="000000"/>
                <w:sz w:val="16"/>
                <w:szCs w:val="16"/>
                <w:lang w:val="ru-RU"/>
              </w:rPr>
              <w:t>ГБА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B85B48" w:rsidRDefault="00180B55" w:rsidP="00B26A25">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B85B48" w:rsidRDefault="00180B55" w:rsidP="00B26A25">
            <w:pPr>
              <w:pStyle w:val="Normal"/>
              <w:tabs>
                <w:tab w:val="left" w:pos="12600"/>
              </w:tabs>
              <w:jc w:val="center"/>
              <w:rPr>
                <w:rFonts w:ascii="Arial" w:hAnsi="Arial" w:cs="Arial"/>
                <w:color w:val="000000"/>
                <w:sz w:val="16"/>
                <w:szCs w:val="16"/>
              </w:rPr>
            </w:pPr>
            <w:r w:rsidRPr="00093169">
              <w:rPr>
                <w:rFonts w:ascii="Arial" w:hAnsi="Arial" w:cs="Arial"/>
                <w:b/>
                <w:color w:val="000000"/>
                <w:sz w:val="16"/>
                <w:szCs w:val="16"/>
              </w:rPr>
              <w:t>Type ІА variation (B.II.d.1.c): Change in the specification parameters and/or limits of the finished product - Addition of a new specification parameter to the specification with its corresponding test method</w:t>
            </w:r>
            <w:r w:rsidRPr="00B85B48">
              <w:rPr>
                <w:rFonts w:ascii="Arial" w:hAnsi="Arial" w:cs="Arial"/>
                <w:color w:val="000000"/>
                <w:sz w:val="16"/>
                <w:szCs w:val="16"/>
              </w:rPr>
              <w:t xml:space="preserve"> – To add the new specification parameter Sub-visible particles with its corresponding test method to the release specification of the finished product.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B85B48" w:rsidRDefault="00180B55" w:rsidP="00B26A25">
            <w:pPr>
              <w:pStyle w:val="Normal"/>
              <w:tabs>
                <w:tab w:val="left" w:pos="12600"/>
              </w:tabs>
              <w:ind w:left="-114"/>
              <w:jc w:val="center"/>
              <w:rPr>
                <w:rFonts w:ascii="Arial" w:hAnsi="Arial" w:cs="Arial"/>
                <w:b/>
                <w:i/>
                <w:color w:val="000000"/>
                <w:sz w:val="16"/>
                <w:szCs w:val="16"/>
              </w:rPr>
            </w:pPr>
            <w:r w:rsidRPr="00B85B48">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B85B48" w:rsidRDefault="00180B55" w:rsidP="00B26A25">
            <w:pPr>
              <w:pStyle w:val="Normal"/>
              <w:tabs>
                <w:tab w:val="left" w:pos="12600"/>
              </w:tabs>
              <w:jc w:val="center"/>
              <w:rPr>
                <w:rFonts w:ascii="Arial" w:hAnsi="Arial" w:cs="Arial"/>
                <w:sz w:val="16"/>
                <w:szCs w:val="16"/>
              </w:rPr>
            </w:pPr>
            <w:r w:rsidRPr="00B85B48">
              <w:rPr>
                <w:rFonts w:ascii="Arial" w:hAnsi="Arial" w:cs="Arial"/>
                <w:sz w:val="16"/>
                <w:szCs w:val="16"/>
              </w:rPr>
              <w:t>UA/18429/01/01</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1E19D3" w:rsidRDefault="00180B55" w:rsidP="00B26A25">
            <w:pPr>
              <w:pStyle w:val="Normal"/>
              <w:tabs>
                <w:tab w:val="left" w:pos="12600"/>
              </w:tabs>
              <w:rPr>
                <w:rFonts w:ascii="Arial" w:hAnsi="Arial" w:cs="Arial"/>
                <w:b/>
                <w:i/>
                <w:color w:val="000000"/>
                <w:sz w:val="16"/>
                <w:szCs w:val="16"/>
              </w:rPr>
            </w:pPr>
            <w:r w:rsidRPr="001E19D3">
              <w:rPr>
                <w:rFonts w:ascii="Arial" w:hAnsi="Arial" w:cs="Arial"/>
                <w:b/>
                <w:sz w:val="16"/>
                <w:szCs w:val="16"/>
              </w:rPr>
              <w:t>ЕФАВІРЕНЗ/ЕМТРИЦИТАБІН/ТЕНОФОВІРУ ДИЗОПРОКСИЛ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rPr>
                <w:rFonts w:ascii="Arial" w:hAnsi="Arial" w:cs="Arial"/>
                <w:color w:val="000000"/>
                <w:sz w:val="16"/>
                <w:szCs w:val="16"/>
                <w:lang w:val="ru-RU"/>
              </w:rPr>
            </w:pPr>
            <w:r w:rsidRPr="001E19D3">
              <w:rPr>
                <w:rFonts w:ascii="Arial" w:hAnsi="Arial" w:cs="Arial"/>
                <w:color w:val="000000"/>
                <w:sz w:val="16"/>
                <w:szCs w:val="16"/>
                <w:lang w:val="ru-RU"/>
              </w:rPr>
              <w:t>таблетки, вкриті плівковою оболонкою, по 600 мг/200 мг/245 мг, по 30 таблеток у флаконі; по 1 або 3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відповідальний за виробництво "</w:t>
            </w:r>
            <w:r w:rsidRPr="001E19D3">
              <w:rPr>
                <w:rFonts w:ascii="Arial" w:hAnsi="Arial" w:cs="Arial"/>
                <w:color w:val="000000"/>
                <w:sz w:val="16"/>
                <w:szCs w:val="16"/>
              </w:rPr>
              <w:t>in</w:t>
            </w:r>
            <w:r w:rsidRPr="001E19D3">
              <w:rPr>
                <w:rFonts w:ascii="Arial" w:hAnsi="Arial" w:cs="Arial"/>
                <w:color w:val="000000"/>
                <w:sz w:val="16"/>
                <w:szCs w:val="16"/>
                <w:lang w:val="ru-RU"/>
              </w:rPr>
              <w:t xml:space="preserve"> </w:t>
            </w:r>
            <w:r w:rsidRPr="001E19D3">
              <w:rPr>
                <w:rFonts w:ascii="Arial" w:hAnsi="Arial" w:cs="Arial"/>
                <w:color w:val="000000"/>
                <w:sz w:val="16"/>
                <w:szCs w:val="16"/>
              </w:rPr>
              <w:t>bulk</w:t>
            </w:r>
            <w:r w:rsidRPr="001E19D3">
              <w:rPr>
                <w:rFonts w:ascii="Arial" w:hAnsi="Arial" w:cs="Arial"/>
                <w:color w:val="000000"/>
                <w:sz w:val="16"/>
                <w:szCs w:val="16"/>
                <w:lang w:val="ru-RU"/>
              </w:rPr>
              <w:t>", первинне та вторинне пакування, контроль та випуск серій:</w:t>
            </w:r>
            <w:r w:rsidRPr="001E19D3">
              <w:rPr>
                <w:rFonts w:ascii="Arial" w:hAnsi="Arial" w:cs="Arial"/>
                <w:color w:val="000000"/>
                <w:sz w:val="16"/>
                <w:szCs w:val="16"/>
                <w:lang w:val="ru-RU"/>
              </w:rPr>
              <w:br/>
              <w:t>КРКА, д.д., Ново место, Словенія</w:t>
            </w:r>
            <w:r w:rsidRPr="001E19D3">
              <w:rPr>
                <w:rFonts w:ascii="Arial" w:hAnsi="Arial" w:cs="Arial"/>
                <w:color w:val="000000"/>
                <w:sz w:val="16"/>
                <w:szCs w:val="16"/>
                <w:lang w:val="ru-RU"/>
              </w:rPr>
              <w:br/>
              <w:t>відповідальний за вторинне пакування та випуск серій:</w:t>
            </w:r>
            <w:r w:rsidRPr="001E19D3">
              <w:rPr>
                <w:rFonts w:ascii="Arial" w:hAnsi="Arial" w:cs="Arial"/>
                <w:color w:val="000000"/>
                <w:sz w:val="16"/>
                <w:szCs w:val="16"/>
                <w:lang w:val="ru-RU"/>
              </w:rPr>
              <w:br/>
              <w:t>ТАД Фарма ГмбХ, Німеччина</w:t>
            </w:r>
            <w:r w:rsidRPr="001E19D3">
              <w:rPr>
                <w:rFonts w:ascii="Arial" w:hAnsi="Arial" w:cs="Arial"/>
                <w:color w:val="000000"/>
                <w:sz w:val="16"/>
                <w:szCs w:val="16"/>
                <w:lang w:val="ru-RU"/>
              </w:rPr>
              <w:br/>
              <w:t>відповідальний за контроль серій:</w:t>
            </w:r>
            <w:r w:rsidRPr="001E19D3">
              <w:rPr>
                <w:rFonts w:ascii="Arial" w:hAnsi="Arial" w:cs="Arial"/>
                <w:color w:val="000000"/>
                <w:sz w:val="16"/>
                <w:szCs w:val="16"/>
                <w:lang w:val="ru-RU"/>
              </w:rPr>
              <w:br/>
              <w:t>КРКА, д.д., Ново место, Словенія</w:t>
            </w:r>
            <w:r w:rsidRPr="001E19D3">
              <w:rPr>
                <w:rFonts w:ascii="Arial" w:hAnsi="Arial" w:cs="Arial"/>
                <w:color w:val="000000"/>
                <w:sz w:val="16"/>
                <w:szCs w:val="16"/>
                <w:lang w:val="ru-RU"/>
              </w:rPr>
              <w:br/>
              <w:t>ТАД Фарма ГмбХ, Німеччина</w:t>
            </w:r>
            <w:r w:rsidRPr="001E19D3">
              <w:rPr>
                <w:rFonts w:ascii="Arial" w:hAnsi="Arial" w:cs="Arial"/>
                <w:color w:val="000000"/>
                <w:sz w:val="16"/>
                <w:szCs w:val="16"/>
                <w:lang w:val="ru-RU"/>
              </w:rPr>
              <w:br/>
              <w:t>Лабор Л+С АГ, Німеччина</w:t>
            </w:r>
            <w:r w:rsidRPr="001E19D3">
              <w:rPr>
                <w:rFonts w:ascii="Arial" w:hAnsi="Arial" w:cs="Arial"/>
                <w:color w:val="000000"/>
                <w:sz w:val="16"/>
                <w:szCs w:val="16"/>
                <w:lang w:val="ru-RU"/>
              </w:rPr>
              <w:br/>
              <w:t>відповідальний за вторинне пакування:</w:t>
            </w:r>
            <w:r w:rsidRPr="001E19D3">
              <w:rPr>
                <w:rFonts w:ascii="Arial" w:hAnsi="Arial" w:cs="Arial"/>
                <w:color w:val="000000"/>
                <w:sz w:val="16"/>
                <w:szCs w:val="16"/>
                <w:lang w:val="ru-RU"/>
              </w:rPr>
              <w:br/>
              <w:t>Престиж Промоушен Веркауфсфоердерунг&amp;Вербесервіс ГмбХ, Німеччина</w:t>
            </w:r>
            <w:r w:rsidRPr="001E19D3">
              <w:rPr>
                <w:rFonts w:ascii="Arial" w:hAnsi="Arial" w:cs="Arial"/>
                <w:color w:val="000000"/>
                <w:sz w:val="16"/>
                <w:szCs w:val="16"/>
                <w:lang w:val="ru-RU"/>
              </w:rPr>
              <w:br/>
              <w:t>РАФАРМ СА, Грец</w:t>
            </w:r>
            <w:r w:rsidRPr="001E19D3">
              <w:rPr>
                <w:rFonts w:ascii="Arial" w:hAnsi="Arial" w:cs="Arial"/>
                <w:color w:val="000000"/>
                <w:sz w:val="16"/>
                <w:szCs w:val="16"/>
              </w:rPr>
              <w:t>i</w:t>
            </w:r>
            <w:r w:rsidRPr="001E19D3">
              <w:rPr>
                <w:rFonts w:ascii="Arial" w:hAnsi="Arial" w:cs="Arial"/>
                <w:color w:val="000000"/>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Словенія/</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Німеччина/</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lang w:val="ru-RU"/>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b/>
                <w:color w:val="000000"/>
                <w:sz w:val="16"/>
                <w:szCs w:val="16"/>
              </w:rPr>
              <w:t>C.I.z type IAin - Changes (Safety/Efficacy) of Human and Veterinary Medicinal Products - Other variation.</w:t>
            </w:r>
            <w:r w:rsidRPr="001E19D3">
              <w:rPr>
                <w:rFonts w:ascii="Arial" w:hAnsi="Arial" w:cs="Arial"/>
                <w:color w:val="000000"/>
                <w:sz w:val="16"/>
                <w:szCs w:val="16"/>
              </w:rPr>
              <w:t xml:space="preserve">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rPr>
              <w:t xml:space="preserve">To update sections 4.4 and 4.8 of the SmPC to implement the signal recommendations on 'Antiretrovirals - Autoimmune hepatitis (EPITT no 18956)' adopted at the 9-12 July 2018 PRAC. </w:t>
            </w:r>
            <w:r w:rsidRPr="001E19D3">
              <w:rPr>
                <w:rFonts w:ascii="Arial" w:hAnsi="Arial" w:cs="Arial"/>
                <w:color w:val="000000"/>
                <w:sz w:val="16"/>
                <w:szCs w:val="16"/>
                <w:lang w:val="ru-RU"/>
              </w:rPr>
              <w:t xml:space="preserve">Інформація вноситься в розділи Інструкції для медичного застосування: «Особливості застосування» і «Побічні реакції».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b/>
                <w:color w:val="000000"/>
                <w:sz w:val="16"/>
                <w:szCs w:val="16"/>
              </w:rPr>
              <w:t>C.I.2.a type IB – Change in the SPC, Labelling or PL of a generic/hybrid/biosimilar products following assessment of the same change for the reference product - Implementation of change(s) for which NO new additional data is required to be submitted by the MAH.</w:t>
            </w:r>
            <w:r w:rsidRPr="001E19D3">
              <w:rPr>
                <w:rFonts w:ascii="Arial" w:hAnsi="Arial" w:cs="Arial"/>
                <w:color w:val="000000"/>
                <w:sz w:val="16"/>
                <w:szCs w:val="16"/>
              </w:rPr>
              <w:t xml:space="preserve"> </w:t>
            </w:r>
            <w:r w:rsidRPr="001E19D3">
              <w:rPr>
                <w:rFonts w:ascii="Arial" w:hAnsi="Arial" w:cs="Arial"/>
                <w:b/>
                <w:color w:val="000000"/>
                <w:sz w:val="16"/>
                <w:szCs w:val="16"/>
              </w:rPr>
              <w:t>C.I.2.a type IB – Change in the SPC, Labelling or PL of a generic/hybrid/biosimilar products following assessment of the same change for the reference product - Implementation of change(s) for which NO new additional data is required to be submitted by the MAH.</w:t>
            </w:r>
            <w:r w:rsidRPr="001E19D3">
              <w:rPr>
                <w:rFonts w:ascii="Arial" w:hAnsi="Arial" w:cs="Arial"/>
                <w:color w:val="000000"/>
                <w:sz w:val="16"/>
                <w:szCs w:val="16"/>
              </w:rPr>
              <w:t xml:space="preserve"> Update of sections 4.3 and 4.5 of the SmPC to add a new contraindication. Co administration of Efavirenz/Emtricitabine/Tenofovir disoproxil Krka with elbasvir/grazoprevir is contraindicated as it may lead to loss of virologic response to elbasvir/grazoprevir. The Package Leaflet has been updated accordingly. Furthermore, minor changes were introduced in clinical data of studies in pregnancy in section 4.6 of the SmPC. Update of sections 4.4 and 4.5 of the SmPC in order to add a warning on the co-administration with elbasvir/grazoprevir due to the expected significant decreases in plasma concentrations of elbasvir and grazoprevir. Section 2 of the Package Leaflet is updated accordingly. All changes were made in line with the reference medicinal product Atripla. The MAH also took the opportunity to update the Sodium wording in section 4.4 of the SmPC in line with latest published guideline and to update the local representative for HI-J. Minor editorial changes were introduces to the following languages in line with the latest QRD template: CS, DK, DE, EE, FR, HU, HR, IS, LT, LV, MT - all changes are in line with the text of the originator. Інформація вноситься в розділи Інструкції для медичного застосування: 1. «Протипоказання», «Взаємодія з іншими лікарськими засобами та інші види взаємодій», «Застосування у період вагітності або годування груддю». 2. «Особливості застосування», «Взаємодія з іншими лікарськими засобами та інші види взаємодій», «Застосування у період вагітності або годування груддю». та незначні зміни в розділах «Фармакодинаміка», «Фармакокінетика», «Спосіб застосування та дози», «Побічні реакції».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b/>
                <w:color w:val="000000"/>
                <w:sz w:val="16"/>
                <w:szCs w:val="16"/>
              </w:rPr>
              <w:t>C.I.3.z type IB - Change(s) in the SPC, Labelling or PL intended to implement the outcome of a procedure concerning PSI-JR or PASS or the outcome of the assessment done under A 45/46 - Other variation.</w:t>
            </w:r>
            <w:r w:rsidRPr="001E19D3">
              <w:rPr>
                <w:rFonts w:ascii="Arial" w:hAnsi="Arial" w:cs="Arial"/>
                <w:color w:val="000000"/>
                <w:sz w:val="16"/>
                <w:szCs w:val="16"/>
              </w:rPr>
              <w:t xml:space="preserve">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color w:val="000000"/>
                <w:sz w:val="16"/>
                <w:szCs w:val="16"/>
              </w:rPr>
              <w:t xml:space="preserve">To update the table "Interactions between efavirenz and other medicinal products in adults" in section 4.5 of the SmPC: to delete the sentence "Interaction not studied." for the interaction with etonogestrel implant in line with the published PSUSA outcome of EMEA/H/C/PSUSA/00001200/201804 for efavirenz. </w:t>
            </w:r>
            <w:r w:rsidRPr="001E19D3">
              <w:rPr>
                <w:rFonts w:ascii="Arial" w:hAnsi="Arial" w:cs="Arial"/>
                <w:color w:val="000000"/>
                <w:sz w:val="16"/>
                <w:szCs w:val="16"/>
                <w:lang w:val="ru-RU"/>
              </w:rPr>
              <w:t xml:space="preserve">Інформація вноситься в розділ Інструкції для медичного застосування: «Взаємодія з іншими лікарськими засобами та інші види взаємодій». </w:t>
            </w:r>
          </w:p>
          <w:p w:rsidR="00180B55" w:rsidRPr="001E19D3" w:rsidRDefault="00180B55" w:rsidP="00B26A25">
            <w:pPr>
              <w:pStyle w:val="Normal"/>
              <w:tabs>
                <w:tab w:val="left" w:pos="12600"/>
              </w:tabs>
              <w:jc w:val="center"/>
              <w:rPr>
                <w:rFonts w:ascii="Arial" w:hAnsi="Arial" w:cs="Arial"/>
                <w:b/>
                <w:color w:val="000000"/>
                <w:sz w:val="16"/>
                <w:szCs w:val="16"/>
              </w:rPr>
            </w:pPr>
            <w:r w:rsidRPr="001E19D3">
              <w:rPr>
                <w:rFonts w:ascii="Arial" w:hAnsi="Arial" w:cs="Arial"/>
                <w:b/>
                <w:color w:val="000000"/>
                <w:sz w:val="16"/>
                <w:szCs w:val="16"/>
              </w:rPr>
              <w:t xml:space="preserve">C.I.2.a type IB – Change in the SPC, Labelling or PL of a generic/hybrid/biosimilar products following assessment of the same change for the reference product - Implementation of change(s) for which NO new additional data is required to be submitted by the MAH. </w:t>
            </w:r>
          </w:p>
          <w:p w:rsidR="00180B55" w:rsidRPr="001E19D3" w:rsidRDefault="00180B55" w:rsidP="00B26A25">
            <w:pPr>
              <w:pStyle w:val="Normal"/>
              <w:tabs>
                <w:tab w:val="left" w:pos="12600"/>
              </w:tabs>
              <w:jc w:val="center"/>
              <w:rPr>
                <w:rFonts w:ascii="Arial" w:hAnsi="Arial" w:cs="Arial"/>
                <w:b/>
                <w:color w:val="000000"/>
                <w:sz w:val="16"/>
                <w:szCs w:val="16"/>
              </w:rPr>
            </w:pPr>
            <w:r w:rsidRPr="001E19D3">
              <w:rPr>
                <w:rFonts w:ascii="Arial" w:hAnsi="Arial" w:cs="Arial"/>
                <w:b/>
                <w:color w:val="000000"/>
                <w:sz w:val="16"/>
                <w:szCs w:val="16"/>
              </w:rPr>
              <w:t xml:space="preserve">C.I.2.a type IB – Change in the SPC, Labelling or PL of a generic/hybrid/biosimilar products following assessment of the same change for the reference product - Implementation of change(s) for which NO new additional data is required to be submitted by the MAH. </w:t>
            </w:r>
          </w:p>
          <w:p w:rsidR="00180B55" w:rsidRPr="001E19D3" w:rsidRDefault="00180B55" w:rsidP="00B26A25">
            <w:pPr>
              <w:pStyle w:val="Normal"/>
              <w:tabs>
                <w:tab w:val="left" w:pos="12600"/>
              </w:tabs>
              <w:jc w:val="center"/>
              <w:rPr>
                <w:rFonts w:ascii="Arial" w:hAnsi="Arial" w:cs="Arial"/>
                <w:color w:val="000000"/>
                <w:sz w:val="16"/>
                <w:szCs w:val="16"/>
              </w:rPr>
            </w:pPr>
            <w:r w:rsidRPr="001E19D3">
              <w:rPr>
                <w:rFonts w:ascii="Arial" w:hAnsi="Arial" w:cs="Arial"/>
                <w:color w:val="000000"/>
                <w:sz w:val="16"/>
                <w:szCs w:val="16"/>
              </w:rPr>
              <w:t xml:space="preserve">To update sections 4.4, 4.5 and 4.8 of the SmPC regarding the drug-drug interaction with didanosine and of section 4.8 of the SmPC regarding lactic acidosis, as agreed by the PRAC in the Viread procedure EMEA/H/C/PSUSA/00002892/201903. To update section 4.5 of the SmPC to state that co-administration of glecaprevir/pibrentasvir is not recommended following the same changes adopted for parent product Atripla. the Package Leaflet is updated accordingly. Інформація вноситься в розділи Інструкції для медичного застосування: 1. «Особливості застосування», «Взаємодія з іншими лікарськими засобами та інші види взаємодій», «Побічні реакції». 2. «Взаємодія з іншими лікарськими засобами та інші види взаємодій». </w:t>
            </w:r>
          </w:p>
          <w:p w:rsidR="00180B55" w:rsidRPr="001E19D3" w:rsidRDefault="00180B55" w:rsidP="00B26A25">
            <w:pPr>
              <w:pStyle w:val="Normal"/>
              <w:tabs>
                <w:tab w:val="left" w:pos="12600"/>
              </w:tabs>
              <w:jc w:val="center"/>
              <w:rPr>
                <w:rFonts w:ascii="Arial" w:hAnsi="Arial" w:cs="Arial"/>
                <w:color w:val="000000"/>
                <w:sz w:val="16"/>
                <w:szCs w:val="16"/>
                <w:lang w:val="ru-RU"/>
              </w:rPr>
            </w:pPr>
            <w:r w:rsidRPr="001E19D3">
              <w:rPr>
                <w:rFonts w:ascii="Arial" w:hAnsi="Arial" w:cs="Arial"/>
                <w:b/>
                <w:color w:val="000000"/>
                <w:sz w:val="16"/>
                <w:szCs w:val="16"/>
              </w:rPr>
              <w:t>C.I.3.z type IB - Change(s) in the SPC, Labelling or PL intended to implement the outcome of a procedure concerning PSI-JR or PASS or the outcome of the assessment done under A 45/46 - Other variation.</w:t>
            </w:r>
            <w:r w:rsidRPr="001E19D3">
              <w:rPr>
                <w:rFonts w:ascii="Arial" w:hAnsi="Arial" w:cs="Arial"/>
                <w:color w:val="000000"/>
                <w:sz w:val="16"/>
                <w:szCs w:val="16"/>
              </w:rPr>
              <w:br/>
              <w:t>To update section 4.4 and 5.1 of the SmPC following assessment PSI-JR procedure</w:t>
            </w:r>
            <w:r w:rsidRPr="001E19D3">
              <w:rPr>
                <w:rFonts w:ascii="Arial" w:hAnsi="Arial" w:cs="Arial"/>
                <w:color w:val="000000"/>
                <w:sz w:val="16"/>
                <w:szCs w:val="16"/>
              </w:rPr>
              <w:br/>
              <w:t>EMEA/H/C/PSUSA/00001210/202004 for Truvada (emtricitabine/tenofovir disoproxil) adopted on 12 November 2020 and related to bone abnormalities associated with tenofovir disoproxil. The PL was updated accordingly.</w:t>
            </w:r>
            <w:r w:rsidRPr="001E19D3">
              <w:rPr>
                <w:rFonts w:ascii="Arial" w:hAnsi="Arial" w:cs="Arial"/>
                <w:color w:val="000000"/>
                <w:sz w:val="16"/>
                <w:szCs w:val="16"/>
              </w:rPr>
              <w:br/>
              <w:t>Інформація вноситься в розділ Інструкції для медичного застосування: «Особливості застосування».</w:t>
            </w:r>
            <w:r w:rsidRPr="001E19D3">
              <w:rPr>
                <w:rFonts w:ascii="Arial" w:hAnsi="Arial" w:cs="Arial"/>
                <w:color w:val="000000"/>
                <w:sz w:val="16"/>
                <w:szCs w:val="16"/>
              </w:rPr>
              <w:br/>
            </w:r>
            <w:r w:rsidRPr="001E19D3">
              <w:rPr>
                <w:rFonts w:ascii="Arial" w:hAnsi="Arial" w:cs="Arial"/>
                <w:b/>
                <w:color w:val="000000"/>
                <w:sz w:val="16"/>
                <w:szCs w:val="16"/>
              </w:rPr>
              <w:t>C.I.3.z type IB - Change(s) in the SPC, Labelling or PL intended to implement the outcome of a procedure concerning PSI-JR or PASS or the outcome of the assessment done under A 45/46 - Other variation.</w:t>
            </w:r>
            <w:r w:rsidRPr="001E19D3">
              <w:rPr>
                <w:rFonts w:ascii="Arial" w:hAnsi="Arial" w:cs="Arial"/>
                <w:color w:val="000000"/>
                <w:sz w:val="16"/>
                <w:szCs w:val="16"/>
              </w:rPr>
              <w:br/>
              <w:t>To update Section 4.5 of SmPC and Section 2 of PL contain new information regarding interaction between praziquantel and efavirenz in line with the wording recommended by CMDh following PSUSA/00002503/202104 procedure.</w:t>
            </w:r>
            <w:r w:rsidRPr="001E19D3">
              <w:rPr>
                <w:rFonts w:ascii="Arial" w:hAnsi="Arial" w:cs="Arial"/>
                <w:color w:val="000000"/>
                <w:sz w:val="16"/>
                <w:szCs w:val="16"/>
              </w:rPr>
              <w:br/>
            </w:r>
            <w:r w:rsidRPr="001E19D3">
              <w:rPr>
                <w:rFonts w:ascii="Arial" w:hAnsi="Arial" w:cs="Arial"/>
                <w:color w:val="000000"/>
                <w:sz w:val="16"/>
                <w:szCs w:val="16"/>
                <w:lang w:val="ru-RU"/>
              </w:rPr>
              <w:t>Інформація вноситься в розділ Інструкції для медичного застосування: «Взаємодія з іншими лікарськими засобами та інші види взаємодій».</w:t>
            </w:r>
            <w:r w:rsidRPr="001E19D3">
              <w:rPr>
                <w:rFonts w:ascii="Arial" w:hAnsi="Arial" w:cs="Arial"/>
                <w:color w:val="000000"/>
                <w:sz w:val="16"/>
                <w:szCs w:val="16"/>
                <w:lang w:val="ru-RU"/>
              </w:rPr>
              <w:br/>
            </w:r>
            <w:r w:rsidRPr="001E19D3">
              <w:rPr>
                <w:rFonts w:ascii="Arial" w:hAnsi="Arial" w:cs="Arial"/>
                <w:b/>
                <w:color w:val="000000"/>
                <w:sz w:val="16"/>
                <w:szCs w:val="16"/>
                <w:lang w:val="ru-RU"/>
              </w:rPr>
              <w:t>Зміна типу ІБ (безпека)</w:t>
            </w:r>
            <w:r w:rsidRPr="001E19D3">
              <w:rPr>
                <w:rFonts w:ascii="Arial" w:hAnsi="Arial" w:cs="Arial"/>
                <w:color w:val="000000"/>
                <w:sz w:val="16"/>
                <w:szCs w:val="16"/>
                <w:lang w:val="ru-RU"/>
              </w:rPr>
              <w:br/>
              <w:t>Інформація вноситься в розділ Інструкції для медичного застосування: «Особливості застосування», а саме:</w:t>
            </w:r>
            <w:r w:rsidRPr="001E19D3">
              <w:rPr>
                <w:rFonts w:ascii="Arial" w:hAnsi="Arial" w:cs="Arial"/>
                <w:color w:val="000000"/>
                <w:sz w:val="16"/>
                <w:szCs w:val="16"/>
                <w:lang w:val="ru-RU"/>
              </w:rPr>
              <w:br/>
              <w:t xml:space="preserve">Одночасне застосування ефавіренцу з метамізолом, який є індуктором метаболізуючих ферментів, включаючи </w:t>
            </w:r>
            <w:r w:rsidRPr="001E19D3">
              <w:rPr>
                <w:rFonts w:ascii="Arial" w:hAnsi="Arial" w:cs="Arial"/>
                <w:color w:val="000000"/>
                <w:sz w:val="16"/>
                <w:szCs w:val="16"/>
              </w:rPr>
              <w:t>CYP</w:t>
            </w:r>
            <w:r w:rsidRPr="001E19D3">
              <w:rPr>
                <w:rFonts w:ascii="Arial" w:hAnsi="Arial" w:cs="Arial"/>
                <w:color w:val="000000"/>
                <w:sz w:val="16"/>
                <w:szCs w:val="16"/>
                <w:lang w:val="ru-RU"/>
              </w:rPr>
              <w:t>2</w:t>
            </w:r>
            <w:r w:rsidRPr="001E19D3">
              <w:rPr>
                <w:rFonts w:ascii="Arial" w:hAnsi="Arial" w:cs="Arial"/>
                <w:color w:val="000000"/>
                <w:sz w:val="16"/>
                <w:szCs w:val="16"/>
              </w:rPr>
              <w:t>B</w:t>
            </w:r>
            <w:r w:rsidRPr="001E19D3">
              <w:rPr>
                <w:rFonts w:ascii="Arial" w:hAnsi="Arial" w:cs="Arial"/>
                <w:color w:val="000000"/>
                <w:sz w:val="16"/>
                <w:szCs w:val="16"/>
                <w:lang w:val="ru-RU"/>
              </w:rPr>
              <w:t xml:space="preserve">6 і </w:t>
            </w:r>
            <w:r w:rsidRPr="001E19D3">
              <w:rPr>
                <w:rFonts w:ascii="Arial" w:hAnsi="Arial" w:cs="Arial"/>
                <w:color w:val="000000"/>
                <w:sz w:val="16"/>
                <w:szCs w:val="16"/>
              </w:rPr>
              <w:t>CYP</w:t>
            </w:r>
            <w:r w:rsidRPr="001E19D3">
              <w:rPr>
                <w:rFonts w:ascii="Arial" w:hAnsi="Arial" w:cs="Arial"/>
                <w:color w:val="000000"/>
                <w:sz w:val="16"/>
                <w:szCs w:val="16"/>
                <w:lang w:val="ru-RU"/>
              </w:rPr>
              <w:t>3</w:t>
            </w:r>
            <w:r w:rsidRPr="001E19D3">
              <w:rPr>
                <w:rFonts w:ascii="Arial" w:hAnsi="Arial" w:cs="Arial"/>
                <w:color w:val="000000"/>
                <w:sz w:val="16"/>
                <w:szCs w:val="16"/>
              </w:rPr>
              <w:t>B</w:t>
            </w:r>
            <w:r w:rsidRPr="001E19D3">
              <w:rPr>
                <w:rFonts w:ascii="Arial" w:hAnsi="Arial" w:cs="Arial"/>
                <w:color w:val="000000"/>
                <w:sz w:val="16"/>
                <w:szCs w:val="16"/>
                <w:lang w:val="ru-RU"/>
              </w:rPr>
              <w:t>4, може призвести до зниження концентрації ефавіренцу в плазмі з потенційним зниженням клінічної ефективності. Тому рекомендується бути обережним при одночасному застосуванні метамізолу та ефавірензу; необхідно контролювати клінічну відповідь та/або рівні препарату.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1E19D3" w:rsidRDefault="00180B55" w:rsidP="00B26A25">
            <w:pPr>
              <w:pStyle w:val="Normal"/>
              <w:tabs>
                <w:tab w:val="left" w:pos="12600"/>
              </w:tabs>
              <w:ind w:left="-114"/>
              <w:jc w:val="center"/>
              <w:rPr>
                <w:rFonts w:ascii="Arial" w:hAnsi="Arial" w:cs="Arial"/>
                <w:b/>
                <w:i/>
                <w:color w:val="000000"/>
                <w:sz w:val="16"/>
                <w:szCs w:val="16"/>
              </w:rPr>
            </w:pPr>
            <w:r w:rsidRPr="001E19D3">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651F00" w:rsidRDefault="00180B55" w:rsidP="00B26A25">
            <w:pPr>
              <w:pStyle w:val="Normal"/>
              <w:tabs>
                <w:tab w:val="left" w:pos="12600"/>
              </w:tabs>
              <w:jc w:val="center"/>
              <w:rPr>
                <w:rFonts w:ascii="Arial" w:hAnsi="Arial" w:cs="Arial"/>
                <w:sz w:val="16"/>
                <w:szCs w:val="16"/>
              </w:rPr>
            </w:pPr>
            <w:r w:rsidRPr="001E19D3">
              <w:rPr>
                <w:rFonts w:ascii="Arial" w:hAnsi="Arial" w:cs="Arial"/>
                <w:sz w:val="16"/>
                <w:szCs w:val="16"/>
              </w:rPr>
              <w:t>UA/17160/01/01</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4F682D" w:rsidRDefault="00180B55" w:rsidP="00B26A25">
            <w:pPr>
              <w:pStyle w:val="Normal"/>
              <w:tabs>
                <w:tab w:val="left" w:pos="12600"/>
              </w:tabs>
              <w:rPr>
                <w:rFonts w:ascii="Arial" w:hAnsi="Arial" w:cs="Arial"/>
                <w:b/>
                <w:i/>
                <w:color w:val="000000"/>
                <w:sz w:val="16"/>
                <w:szCs w:val="16"/>
              </w:rPr>
            </w:pPr>
            <w:r w:rsidRPr="004F682D">
              <w:rPr>
                <w:rFonts w:ascii="Arial" w:hAnsi="Arial" w:cs="Arial"/>
                <w:b/>
                <w:sz w:val="16"/>
                <w:szCs w:val="16"/>
              </w:rPr>
              <w:t>МАЙЛОТАРГ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4F682D" w:rsidRDefault="00180B55" w:rsidP="00B26A25">
            <w:pPr>
              <w:pStyle w:val="Normal"/>
              <w:tabs>
                <w:tab w:val="left" w:pos="12600"/>
              </w:tabs>
              <w:rPr>
                <w:rFonts w:ascii="Arial" w:hAnsi="Arial" w:cs="Arial"/>
                <w:color w:val="000000"/>
                <w:sz w:val="16"/>
                <w:szCs w:val="16"/>
                <w:lang w:val="ru-RU"/>
              </w:rPr>
            </w:pPr>
            <w:r w:rsidRPr="004F682D">
              <w:rPr>
                <w:rFonts w:ascii="Arial" w:hAnsi="Arial" w:cs="Arial"/>
                <w:color w:val="000000"/>
                <w:sz w:val="16"/>
                <w:szCs w:val="16"/>
                <w:lang w:val="ru-RU"/>
              </w:rPr>
              <w:t>порошок для концентрату для розчину для інфузій, 4,5 мг, по 4,5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4F682D" w:rsidRDefault="00180B55" w:rsidP="00B26A25">
            <w:pPr>
              <w:pStyle w:val="Normal"/>
              <w:tabs>
                <w:tab w:val="left" w:pos="12600"/>
              </w:tabs>
              <w:jc w:val="center"/>
              <w:rPr>
                <w:rFonts w:ascii="Arial" w:hAnsi="Arial" w:cs="Arial"/>
                <w:color w:val="000000"/>
                <w:sz w:val="16"/>
                <w:szCs w:val="16"/>
                <w:lang w:val="ru-RU"/>
              </w:rPr>
            </w:pPr>
            <w:r w:rsidRPr="004F682D">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4F682D" w:rsidRDefault="00180B55" w:rsidP="00B26A25">
            <w:pPr>
              <w:pStyle w:val="Normal"/>
              <w:tabs>
                <w:tab w:val="left" w:pos="12600"/>
              </w:tabs>
              <w:jc w:val="center"/>
              <w:rPr>
                <w:rFonts w:ascii="Arial" w:hAnsi="Arial" w:cs="Arial"/>
                <w:color w:val="000000"/>
                <w:sz w:val="16"/>
                <w:szCs w:val="16"/>
              </w:rPr>
            </w:pPr>
            <w:r w:rsidRPr="004F682D">
              <w:rPr>
                <w:rFonts w:ascii="Arial" w:hAnsi="Arial" w:cs="Arial"/>
                <w:color w:val="000000"/>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4F682D" w:rsidRDefault="00180B55" w:rsidP="00B26A25">
            <w:pPr>
              <w:pStyle w:val="Normal"/>
              <w:tabs>
                <w:tab w:val="left" w:pos="12600"/>
              </w:tabs>
              <w:jc w:val="center"/>
              <w:rPr>
                <w:rFonts w:ascii="Arial" w:hAnsi="Arial" w:cs="Arial"/>
                <w:color w:val="000000"/>
                <w:sz w:val="16"/>
                <w:szCs w:val="16"/>
                <w:lang w:val="ru-RU"/>
              </w:rPr>
            </w:pPr>
            <w:r w:rsidRPr="004F682D">
              <w:rPr>
                <w:rFonts w:ascii="Arial" w:hAnsi="Arial" w:cs="Arial"/>
                <w:color w:val="000000"/>
                <w:sz w:val="16"/>
                <w:szCs w:val="16"/>
                <w:lang w:val="ru-RU"/>
              </w:rPr>
              <w:t>вторинне пакування, маркування, зберігання, випуск серії:</w:t>
            </w:r>
          </w:p>
          <w:p w:rsidR="00180B55" w:rsidRPr="004F682D" w:rsidRDefault="00180B55" w:rsidP="00B26A25">
            <w:pPr>
              <w:pStyle w:val="Normal"/>
              <w:tabs>
                <w:tab w:val="left" w:pos="12600"/>
              </w:tabs>
              <w:jc w:val="center"/>
              <w:rPr>
                <w:rFonts w:ascii="Arial" w:hAnsi="Arial" w:cs="Arial"/>
                <w:color w:val="000000"/>
                <w:sz w:val="16"/>
                <w:szCs w:val="16"/>
                <w:lang w:val="ru-RU"/>
              </w:rPr>
            </w:pPr>
            <w:r w:rsidRPr="004F682D">
              <w:rPr>
                <w:rFonts w:ascii="Arial" w:hAnsi="Arial" w:cs="Arial"/>
                <w:color w:val="000000"/>
                <w:sz w:val="16"/>
                <w:szCs w:val="16"/>
                <w:lang w:val="ru-RU"/>
              </w:rPr>
              <w:t>Фармація і Апджон Компані ЛЛС, США;</w:t>
            </w:r>
          </w:p>
          <w:p w:rsidR="00180B55" w:rsidRPr="004F682D" w:rsidRDefault="00180B55" w:rsidP="00B26A25">
            <w:pPr>
              <w:pStyle w:val="Normal"/>
              <w:tabs>
                <w:tab w:val="left" w:pos="12600"/>
              </w:tabs>
              <w:jc w:val="center"/>
              <w:rPr>
                <w:rFonts w:ascii="Arial" w:hAnsi="Arial" w:cs="Arial"/>
                <w:color w:val="000000"/>
                <w:sz w:val="16"/>
                <w:szCs w:val="16"/>
                <w:lang w:val="ru-RU"/>
              </w:rPr>
            </w:pPr>
            <w:r w:rsidRPr="004F682D">
              <w:rPr>
                <w:rFonts w:ascii="Arial" w:hAnsi="Arial" w:cs="Arial"/>
                <w:color w:val="000000"/>
                <w:sz w:val="16"/>
                <w:szCs w:val="16"/>
                <w:lang w:val="ru-RU"/>
              </w:rPr>
              <w:t>виробництво, первинне пакування, тестування при випуску серії, тестування при дослідженні стабільності, зберігання:</w:t>
            </w:r>
          </w:p>
          <w:p w:rsidR="00180B55" w:rsidRPr="004F682D" w:rsidRDefault="00180B55" w:rsidP="00B26A25">
            <w:pPr>
              <w:pStyle w:val="Normal"/>
              <w:tabs>
                <w:tab w:val="left" w:pos="12600"/>
              </w:tabs>
              <w:jc w:val="center"/>
              <w:rPr>
                <w:rFonts w:ascii="Arial" w:hAnsi="Arial" w:cs="Arial"/>
                <w:color w:val="000000"/>
                <w:sz w:val="16"/>
                <w:szCs w:val="16"/>
                <w:lang w:val="ru-RU"/>
              </w:rPr>
            </w:pPr>
            <w:r w:rsidRPr="004F682D">
              <w:rPr>
                <w:rFonts w:ascii="Arial" w:hAnsi="Arial" w:cs="Arial"/>
                <w:color w:val="000000"/>
                <w:sz w:val="16"/>
                <w:szCs w:val="16"/>
                <w:lang w:val="ru-RU"/>
              </w:rPr>
              <w:t xml:space="preserve">Ваєт Фармасьютікал </w:t>
            </w:r>
            <w:r w:rsidRPr="004F682D">
              <w:rPr>
                <w:rFonts w:ascii="Arial" w:hAnsi="Arial" w:cs="Arial"/>
                <w:color w:val="000000"/>
                <w:sz w:val="16"/>
                <w:szCs w:val="16"/>
              </w:rPr>
              <w:t> </w:t>
            </w:r>
            <w:r w:rsidRPr="004F682D">
              <w:rPr>
                <w:rFonts w:ascii="Arial" w:hAnsi="Arial" w:cs="Arial"/>
                <w:color w:val="000000"/>
                <w:sz w:val="16"/>
                <w:szCs w:val="16"/>
                <w:lang w:val="ru-RU"/>
              </w:rPr>
              <w:t>Дівіжн оф Ваєт Холдінгс ЛЛС , США;</w:t>
            </w:r>
          </w:p>
          <w:p w:rsidR="00180B55" w:rsidRPr="004F682D" w:rsidRDefault="00180B55" w:rsidP="00B26A25">
            <w:pPr>
              <w:pStyle w:val="Normal"/>
              <w:tabs>
                <w:tab w:val="left" w:pos="12600"/>
              </w:tabs>
              <w:jc w:val="center"/>
              <w:rPr>
                <w:rFonts w:ascii="Arial" w:hAnsi="Arial" w:cs="Arial"/>
                <w:color w:val="000000"/>
                <w:sz w:val="16"/>
                <w:szCs w:val="16"/>
                <w:lang w:val="ru-RU"/>
              </w:rPr>
            </w:pPr>
            <w:r w:rsidRPr="004F682D">
              <w:rPr>
                <w:rFonts w:ascii="Arial" w:hAnsi="Arial" w:cs="Arial"/>
                <w:color w:val="000000"/>
                <w:sz w:val="16"/>
                <w:szCs w:val="16"/>
                <w:lang w:val="ru-RU"/>
              </w:rPr>
              <w:t>тестування на цілісність упаковки (при дослідженні стабільності):</w:t>
            </w:r>
          </w:p>
          <w:p w:rsidR="00180B55" w:rsidRPr="004F682D" w:rsidRDefault="00180B55" w:rsidP="00B26A25">
            <w:pPr>
              <w:pStyle w:val="Normal"/>
              <w:tabs>
                <w:tab w:val="left" w:pos="12600"/>
              </w:tabs>
              <w:jc w:val="center"/>
              <w:rPr>
                <w:rFonts w:ascii="Arial" w:hAnsi="Arial" w:cs="Arial"/>
                <w:color w:val="000000"/>
                <w:sz w:val="16"/>
                <w:szCs w:val="16"/>
                <w:lang w:val="ru-RU"/>
              </w:rPr>
            </w:pPr>
            <w:r w:rsidRPr="004F682D">
              <w:rPr>
                <w:rFonts w:ascii="Arial" w:hAnsi="Arial" w:cs="Arial"/>
                <w:color w:val="000000"/>
                <w:sz w:val="16"/>
                <w:szCs w:val="16"/>
                <w:lang w:val="ru-RU"/>
              </w:rPr>
              <w:t>Вест Фармасьютікал Сервісес,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4F682D" w:rsidRDefault="00180B55" w:rsidP="00B26A25">
            <w:pPr>
              <w:pStyle w:val="Normal"/>
              <w:tabs>
                <w:tab w:val="left" w:pos="12600"/>
              </w:tabs>
              <w:jc w:val="center"/>
              <w:rPr>
                <w:rFonts w:ascii="Arial" w:hAnsi="Arial" w:cs="Arial"/>
                <w:color w:val="000000"/>
                <w:sz w:val="16"/>
                <w:szCs w:val="16"/>
              </w:rPr>
            </w:pPr>
            <w:r w:rsidRPr="004F682D">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rPr>
            </w:pPr>
            <w:r w:rsidRPr="004F682D">
              <w:rPr>
                <w:rFonts w:ascii="Arial" w:hAnsi="Arial" w:cs="Arial"/>
                <w:color w:val="000000"/>
                <w:sz w:val="16"/>
                <w:szCs w:val="16"/>
              </w:rPr>
              <w:t>«This Prior Approval sBLA provides for the following changes:</w:t>
            </w:r>
            <w:r w:rsidRPr="004F682D">
              <w:rPr>
                <w:rFonts w:ascii="Arial" w:hAnsi="Arial" w:cs="Arial"/>
                <w:color w:val="000000"/>
                <w:sz w:val="16"/>
                <w:szCs w:val="16"/>
              </w:rPr>
              <w:br/>
              <w:t>- Site transfer and scale-up of gemtuzumab antibody intermediate manufacture at</w:t>
            </w:r>
            <w:r w:rsidRPr="004F682D">
              <w:rPr>
                <w:rFonts w:ascii="Arial" w:hAnsi="Arial" w:cs="Arial"/>
                <w:color w:val="000000"/>
                <w:sz w:val="16"/>
                <w:szCs w:val="16"/>
              </w:rPr>
              <w:br/>
              <w:t>Wyeth BioPharma Division of Wyeth Pharmaceuticals LLC, Andover, MA (FEI:</w:t>
            </w:r>
            <w:r w:rsidRPr="004F682D">
              <w:rPr>
                <w:rFonts w:ascii="Arial" w:hAnsi="Arial" w:cs="Arial"/>
                <w:color w:val="000000"/>
                <w:sz w:val="16"/>
                <w:szCs w:val="16"/>
              </w:rPr>
              <w:br/>
              <w:t>1222181)</w:t>
            </w:r>
            <w:r w:rsidRPr="004F682D">
              <w:rPr>
                <w:rFonts w:ascii="Arial" w:hAnsi="Arial" w:cs="Arial"/>
                <w:color w:val="000000"/>
                <w:sz w:val="16"/>
                <w:szCs w:val="16"/>
              </w:rPr>
              <w:br/>
              <w:t>- Changes to gemtuzumab antibody intermediate manufacturing process to reduce</w:t>
            </w:r>
            <w:r w:rsidRPr="004F682D">
              <w:rPr>
                <w:rFonts w:ascii="Arial" w:hAnsi="Arial" w:cs="Arial"/>
                <w:color w:val="000000"/>
                <w:sz w:val="16"/>
                <w:szCs w:val="16"/>
              </w:rPr>
              <w:br/>
              <w:t>amino acid substitution (AAS)</w:t>
            </w:r>
            <w:r w:rsidRPr="004F682D">
              <w:rPr>
                <w:rFonts w:ascii="Arial" w:hAnsi="Arial" w:cs="Arial"/>
                <w:color w:val="000000"/>
                <w:sz w:val="16"/>
                <w:szCs w:val="16"/>
              </w:rPr>
              <w:br/>
              <w:t>- Comparability protocol to support the replacement of Lipid Supplement 1 (LS1)</w:t>
            </w:r>
            <w:r w:rsidRPr="004F682D">
              <w:rPr>
                <w:rFonts w:ascii="Arial" w:hAnsi="Arial" w:cs="Arial"/>
                <w:color w:val="000000"/>
                <w:sz w:val="16"/>
                <w:szCs w:val="16"/>
              </w:rPr>
              <w:br/>
              <w:t>used in the gemtuzumab cell culture process</w:t>
            </w:r>
            <w:r w:rsidRPr="004F682D">
              <w:rPr>
                <w:rFonts w:ascii="Arial" w:hAnsi="Arial" w:cs="Arial"/>
                <w:color w:val="000000"/>
                <w:sz w:val="16"/>
                <w:szCs w:val="16"/>
              </w:rPr>
              <w:br/>
              <w:t>- Comparability protocol to support the new product introduction for drug</w:t>
            </w:r>
            <w:r w:rsidRPr="004F682D">
              <w:rPr>
                <w:rFonts w:ascii="Arial" w:hAnsi="Arial" w:cs="Arial"/>
                <w:color w:val="000000"/>
                <w:sz w:val="16"/>
                <w:szCs w:val="16"/>
              </w:rPr>
              <w:br/>
              <w:t>substance manufacture at Wyeth BioPharma Division of Wyeth Pharmaceuticals</w:t>
            </w:r>
            <w:r w:rsidRPr="004F682D">
              <w:rPr>
                <w:rFonts w:ascii="Arial" w:hAnsi="Arial" w:cs="Arial"/>
                <w:color w:val="000000"/>
                <w:sz w:val="16"/>
                <w:szCs w:val="16"/>
              </w:rPr>
              <w:br/>
              <w:t>LLC, Andover, MA (FEI: 1222181)»</w:t>
            </w:r>
          </w:p>
          <w:p w:rsidR="00180B55" w:rsidRPr="004F682D"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Термін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4F682D" w:rsidRDefault="00180B55" w:rsidP="00B26A25">
            <w:pPr>
              <w:pStyle w:val="Normal"/>
              <w:tabs>
                <w:tab w:val="left" w:pos="12600"/>
              </w:tabs>
              <w:ind w:left="-114"/>
              <w:jc w:val="center"/>
              <w:rPr>
                <w:rFonts w:ascii="Arial" w:hAnsi="Arial" w:cs="Arial"/>
                <w:i/>
                <w:sz w:val="16"/>
                <w:szCs w:val="16"/>
              </w:rPr>
            </w:pPr>
            <w:r w:rsidRPr="004F682D">
              <w:rPr>
                <w:rFonts w:ascii="Arial" w:hAnsi="Arial" w:cs="Arial"/>
                <w:i/>
                <w:sz w:val="16"/>
                <w:szCs w:val="16"/>
              </w:rPr>
              <w:t xml:space="preserve">за </w:t>
            </w:r>
          </w:p>
          <w:p w:rsidR="00180B55" w:rsidRPr="004F682D" w:rsidRDefault="00180B55" w:rsidP="00B26A25">
            <w:pPr>
              <w:pStyle w:val="Normal"/>
              <w:tabs>
                <w:tab w:val="left" w:pos="12600"/>
              </w:tabs>
              <w:ind w:left="-114"/>
              <w:jc w:val="center"/>
              <w:rPr>
                <w:rFonts w:ascii="Arial" w:hAnsi="Arial" w:cs="Arial"/>
                <w:b/>
                <w:i/>
                <w:color w:val="000000"/>
                <w:sz w:val="16"/>
                <w:szCs w:val="16"/>
              </w:rPr>
            </w:pPr>
            <w:r w:rsidRPr="004F682D">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4F682D" w:rsidRDefault="00180B55" w:rsidP="00B26A25">
            <w:pPr>
              <w:pStyle w:val="Normal"/>
              <w:tabs>
                <w:tab w:val="left" w:pos="12600"/>
              </w:tabs>
              <w:jc w:val="center"/>
              <w:rPr>
                <w:rFonts w:ascii="Arial" w:hAnsi="Arial" w:cs="Arial"/>
                <w:sz w:val="16"/>
                <w:szCs w:val="16"/>
              </w:rPr>
            </w:pPr>
            <w:r w:rsidRPr="004F682D">
              <w:rPr>
                <w:rFonts w:ascii="Arial" w:hAnsi="Arial" w:cs="Arial"/>
                <w:sz w:val="16"/>
                <w:szCs w:val="16"/>
              </w:rPr>
              <w:t>UA/18298/01/01</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DA65B7" w:rsidRDefault="00180B55" w:rsidP="00B26A25">
            <w:pPr>
              <w:pStyle w:val="Normal"/>
              <w:tabs>
                <w:tab w:val="left" w:pos="12600"/>
              </w:tabs>
              <w:rPr>
                <w:rFonts w:ascii="Arial" w:hAnsi="Arial" w:cs="Arial"/>
                <w:b/>
                <w:i/>
                <w:color w:val="000000"/>
                <w:sz w:val="16"/>
                <w:szCs w:val="16"/>
              </w:rPr>
            </w:pPr>
            <w:r w:rsidRPr="00DA65B7">
              <w:rPr>
                <w:rFonts w:ascii="Arial" w:hAnsi="Arial" w:cs="Arial"/>
                <w:b/>
                <w:sz w:val="16"/>
                <w:szCs w:val="16"/>
              </w:rPr>
              <w:t>РІКСУБІС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rPr>
                <w:rFonts w:ascii="Arial" w:hAnsi="Arial" w:cs="Arial"/>
                <w:color w:val="000000"/>
                <w:sz w:val="16"/>
                <w:szCs w:val="16"/>
                <w:lang w:val="ru-RU"/>
              </w:rPr>
            </w:pPr>
            <w:r w:rsidRPr="00DA65B7">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Омаркування,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80B55" w:rsidRPr="00DA65B7"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lang w:val="ru-RU"/>
              </w:rPr>
            </w:pPr>
            <w:r w:rsidRPr="00DA65B7">
              <w:rPr>
                <w:rFonts w:ascii="Arial" w:hAnsi="Arial" w:cs="Arial"/>
                <w:color w:val="000000"/>
                <w:sz w:val="16"/>
                <w:szCs w:val="16"/>
                <w:lang w:val="ru-RU"/>
              </w:rPr>
              <w:t>В.ІІ.</w:t>
            </w:r>
            <w:r w:rsidRPr="00DA65B7">
              <w:rPr>
                <w:rFonts w:ascii="Arial" w:hAnsi="Arial" w:cs="Arial"/>
                <w:color w:val="000000"/>
                <w:sz w:val="16"/>
                <w:szCs w:val="16"/>
              </w:rPr>
              <w:t>d</w:t>
            </w:r>
            <w:r w:rsidRPr="00DA65B7">
              <w:rPr>
                <w:rFonts w:ascii="Arial" w:hAnsi="Arial" w:cs="Arial"/>
                <w:color w:val="000000"/>
                <w:sz w:val="16"/>
                <w:szCs w:val="16"/>
                <w:lang w:val="ru-RU"/>
              </w:rPr>
              <w:t>.2.а, І</w:t>
            </w:r>
            <w:r w:rsidRPr="00DA65B7">
              <w:rPr>
                <w:rFonts w:ascii="Arial" w:hAnsi="Arial" w:cs="Arial"/>
                <w:color w:val="000000"/>
                <w:sz w:val="16"/>
                <w:szCs w:val="16"/>
              </w:rPr>
              <w:t>B</w:t>
            </w:r>
            <w:r w:rsidRPr="00DA65B7">
              <w:rPr>
                <w:rFonts w:ascii="Arial" w:hAnsi="Arial" w:cs="Arial"/>
                <w:color w:val="000000"/>
                <w:sz w:val="16"/>
                <w:szCs w:val="16"/>
                <w:lang w:val="ru-RU"/>
              </w:rPr>
              <w:t xml:space="preserve"> </w:t>
            </w:r>
            <w:r w:rsidRPr="00DA65B7">
              <w:rPr>
                <w:rFonts w:ascii="Arial" w:hAnsi="Arial" w:cs="Arial"/>
                <w:color w:val="000000"/>
                <w:sz w:val="16"/>
                <w:szCs w:val="16"/>
                <w:lang w:val="ru-RU"/>
              </w:rPr>
              <w:br/>
              <w:t>Введення нового тест-набору для визначення вмісту цукрози для випробування при випуску</w:t>
            </w:r>
            <w:r w:rsidRPr="00DA65B7">
              <w:rPr>
                <w:rFonts w:ascii="Arial" w:hAnsi="Arial" w:cs="Arial"/>
                <w:color w:val="000000"/>
                <w:sz w:val="16"/>
                <w:szCs w:val="16"/>
                <w:lang w:val="ru-RU"/>
              </w:rPr>
              <w:br/>
              <w:t xml:space="preserve">готового лікарського засобу. </w:t>
            </w:r>
            <w:r w:rsidRPr="00DA65B7">
              <w:rPr>
                <w:rFonts w:ascii="Arial" w:hAnsi="Arial" w:cs="Arial"/>
                <w:color w:val="000000"/>
                <w:sz w:val="16"/>
                <w:szCs w:val="16"/>
                <w:lang w:val="ru-RU"/>
              </w:rPr>
              <w:br/>
              <w:t xml:space="preserve">Вищенаведена зміна введення нового тест-набору вноситься до Методів контролю якості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ind w:left="-114"/>
              <w:jc w:val="center"/>
              <w:rPr>
                <w:rFonts w:ascii="Arial" w:hAnsi="Arial" w:cs="Arial"/>
                <w:b/>
                <w:i/>
                <w:color w:val="000000"/>
                <w:sz w:val="16"/>
                <w:szCs w:val="16"/>
              </w:rPr>
            </w:pPr>
            <w:r w:rsidRPr="00DA65B7">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sz w:val="16"/>
                <w:szCs w:val="16"/>
              </w:rPr>
            </w:pPr>
            <w:r w:rsidRPr="00DA65B7">
              <w:rPr>
                <w:rFonts w:ascii="Arial" w:hAnsi="Arial" w:cs="Arial"/>
                <w:sz w:val="16"/>
                <w:szCs w:val="16"/>
              </w:rPr>
              <w:t>UA/16879/01/01</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DA65B7" w:rsidRDefault="00180B55" w:rsidP="00B26A25">
            <w:pPr>
              <w:pStyle w:val="Normal"/>
              <w:tabs>
                <w:tab w:val="left" w:pos="12600"/>
              </w:tabs>
              <w:rPr>
                <w:rFonts w:ascii="Arial" w:hAnsi="Arial" w:cs="Arial"/>
                <w:b/>
                <w:i/>
                <w:color w:val="000000"/>
                <w:sz w:val="16"/>
                <w:szCs w:val="16"/>
              </w:rPr>
            </w:pPr>
            <w:r w:rsidRPr="00DA65B7">
              <w:rPr>
                <w:rFonts w:ascii="Arial" w:hAnsi="Arial" w:cs="Arial"/>
                <w:b/>
                <w:sz w:val="16"/>
                <w:szCs w:val="16"/>
              </w:rPr>
              <w:t>РІКСУБІС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rPr>
                <w:rFonts w:ascii="Arial" w:hAnsi="Arial" w:cs="Arial"/>
                <w:color w:val="000000"/>
                <w:sz w:val="16"/>
                <w:szCs w:val="16"/>
                <w:lang w:val="ru-RU"/>
              </w:rPr>
            </w:pPr>
            <w:r w:rsidRPr="00DA65B7">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Омаркування,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80B55" w:rsidRPr="00DA65B7"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lang w:val="ru-RU"/>
              </w:rPr>
            </w:pPr>
            <w:r w:rsidRPr="00DA65B7">
              <w:rPr>
                <w:rFonts w:ascii="Arial" w:hAnsi="Arial" w:cs="Arial"/>
                <w:color w:val="000000"/>
                <w:sz w:val="16"/>
                <w:szCs w:val="16"/>
                <w:lang w:val="ru-RU"/>
              </w:rPr>
              <w:t>В.ІІ.</w:t>
            </w:r>
            <w:r w:rsidRPr="00DA65B7">
              <w:rPr>
                <w:rFonts w:ascii="Arial" w:hAnsi="Arial" w:cs="Arial"/>
                <w:color w:val="000000"/>
                <w:sz w:val="16"/>
                <w:szCs w:val="16"/>
              </w:rPr>
              <w:t>d</w:t>
            </w:r>
            <w:r w:rsidRPr="00DA65B7">
              <w:rPr>
                <w:rFonts w:ascii="Arial" w:hAnsi="Arial" w:cs="Arial"/>
                <w:color w:val="000000"/>
                <w:sz w:val="16"/>
                <w:szCs w:val="16"/>
                <w:lang w:val="ru-RU"/>
              </w:rPr>
              <w:t>.2.а, І</w:t>
            </w:r>
            <w:r w:rsidRPr="00DA65B7">
              <w:rPr>
                <w:rFonts w:ascii="Arial" w:hAnsi="Arial" w:cs="Arial"/>
                <w:color w:val="000000"/>
                <w:sz w:val="16"/>
                <w:szCs w:val="16"/>
              </w:rPr>
              <w:t>B</w:t>
            </w:r>
            <w:r w:rsidRPr="00DA65B7">
              <w:rPr>
                <w:rFonts w:ascii="Arial" w:hAnsi="Arial" w:cs="Arial"/>
                <w:color w:val="000000"/>
                <w:sz w:val="16"/>
                <w:szCs w:val="16"/>
                <w:lang w:val="ru-RU"/>
              </w:rPr>
              <w:t xml:space="preserve"> </w:t>
            </w:r>
            <w:r w:rsidRPr="00DA65B7">
              <w:rPr>
                <w:rFonts w:ascii="Arial" w:hAnsi="Arial" w:cs="Arial"/>
                <w:color w:val="000000"/>
                <w:sz w:val="16"/>
                <w:szCs w:val="16"/>
                <w:lang w:val="ru-RU"/>
              </w:rPr>
              <w:br/>
              <w:t>Введення нового тест-набору для визначення вмісту цукрози для випробування при випуску</w:t>
            </w:r>
            <w:r w:rsidRPr="00DA65B7">
              <w:rPr>
                <w:rFonts w:ascii="Arial" w:hAnsi="Arial" w:cs="Arial"/>
                <w:color w:val="000000"/>
                <w:sz w:val="16"/>
                <w:szCs w:val="16"/>
                <w:lang w:val="ru-RU"/>
              </w:rPr>
              <w:br/>
              <w:t xml:space="preserve">готового лікарського засобу. </w:t>
            </w:r>
            <w:r w:rsidRPr="00DA65B7">
              <w:rPr>
                <w:rFonts w:ascii="Arial" w:hAnsi="Arial" w:cs="Arial"/>
                <w:color w:val="000000"/>
                <w:sz w:val="16"/>
                <w:szCs w:val="16"/>
                <w:lang w:val="ru-RU"/>
              </w:rPr>
              <w:br/>
              <w:t xml:space="preserve">Вищенаведена зміна введення нового тест-набору вноситься до Методів контролю якості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ind w:left="-114"/>
              <w:jc w:val="center"/>
              <w:rPr>
                <w:rFonts w:ascii="Arial" w:hAnsi="Arial" w:cs="Arial"/>
                <w:b/>
                <w:i/>
                <w:color w:val="000000"/>
                <w:sz w:val="16"/>
                <w:szCs w:val="16"/>
              </w:rPr>
            </w:pPr>
            <w:r w:rsidRPr="00DA65B7">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sz w:val="16"/>
                <w:szCs w:val="16"/>
              </w:rPr>
            </w:pPr>
            <w:r w:rsidRPr="00DA65B7">
              <w:rPr>
                <w:rFonts w:ascii="Arial" w:hAnsi="Arial" w:cs="Arial"/>
                <w:sz w:val="16"/>
                <w:szCs w:val="16"/>
              </w:rPr>
              <w:t>UA/16879/01/02</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DA65B7" w:rsidRDefault="00180B55" w:rsidP="00B26A25">
            <w:pPr>
              <w:pStyle w:val="Normal"/>
              <w:tabs>
                <w:tab w:val="left" w:pos="12600"/>
              </w:tabs>
              <w:rPr>
                <w:rFonts w:ascii="Arial" w:hAnsi="Arial" w:cs="Arial"/>
                <w:b/>
                <w:i/>
                <w:color w:val="000000"/>
                <w:sz w:val="16"/>
                <w:szCs w:val="16"/>
              </w:rPr>
            </w:pPr>
            <w:r w:rsidRPr="00DA65B7">
              <w:rPr>
                <w:rFonts w:ascii="Arial" w:hAnsi="Arial" w:cs="Arial"/>
                <w:b/>
                <w:sz w:val="16"/>
                <w:szCs w:val="16"/>
              </w:rPr>
              <w:t>РІКСУБІС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rPr>
                <w:rFonts w:ascii="Arial" w:hAnsi="Arial" w:cs="Arial"/>
                <w:color w:val="000000"/>
                <w:sz w:val="16"/>
                <w:szCs w:val="16"/>
                <w:lang w:val="ru-RU"/>
              </w:rPr>
            </w:pPr>
            <w:r w:rsidRPr="00DA65B7">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Омаркування,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80B55" w:rsidRPr="00DA65B7"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lang w:val="ru-RU"/>
              </w:rPr>
            </w:pPr>
            <w:r w:rsidRPr="00DA65B7">
              <w:rPr>
                <w:rFonts w:ascii="Arial" w:hAnsi="Arial" w:cs="Arial"/>
                <w:color w:val="000000"/>
                <w:sz w:val="16"/>
                <w:szCs w:val="16"/>
                <w:lang w:val="ru-RU"/>
              </w:rPr>
              <w:t>В.ІІ.</w:t>
            </w:r>
            <w:r w:rsidRPr="00DA65B7">
              <w:rPr>
                <w:rFonts w:ascii="Arial" w:hAnsi="Arial" w:cs="Arial"/>
                <w:color w:val="000000"/>
                <w:sz w:val="16"/>
                <w:szCs w:val="16"/>
              </w:rPr>
              <w:t>d</w:t>
            </w:r>
            <w:r w:rsidRPr="00DA65B7">
              <w:rPr>
                <w:rFonts w:ascii="Arial" w:hAnsi="Arial" w:cs="Arial"/>
                <w:color w:val="000000"/>
                <w:sz w:val="16"/>
                <w:szCs w:val="16"/>
                <w:lang w:val="ru-RU"/>
              </w:rPr>
              <w:t>.2.а, І</w:t>
            </w:r>
            <w:r w:rsidRPr="00DA65B7">
              <w:rPr>
                <w:rFonts w:ascii="Arial" w:hAnsi="Arial" w:cs="Arial"/>
                <w:color w:val="000000"/>
                <w:sz w:val="16"/>
                <w:szCs w:val="16"/>
              </w:rPr>
              <w:t>B</w:t>
            </w:r>
            <w:r w:rsidRPr="00DA65B7">
              <w:rPr>
                <w:rFonts w:ascii="Arial" w:hAnsi="Arial" w:cs="Arial"/>
                <w:color w:val="000000"/>
                <w:sz w:val="16"/>
                <w:szCs w:val="16"/>
                <w:lang w:val="ru-RU"/>
              </w:rPr>
              <w:t xml:space="preserve"> </w:t>
            </w:r>
            <w:r w:rsidRPr="00DA65B7">
              <w:rPr>
                <w:rFonts w:ascii="Arial" w:hAnsi="Arial" w:cs="Arial"/>
                <w:color w:val="000000"/>
                <w:sz w:val="16"/>
                <w:szCs w:val="16"/>
                <w:lang w:val="ru-RU"/>
              </w:rPr>
              <w:br/>
              <w:t>Введення нового тест-набору для визначення вмісту цукрози для випробування при випуску</w:t>
            </w:r>
            <w:r w:rsidRPr="00DA65B7">
              <w:rPr>
                <w:rFonts w:ascii="Arial" w:hAnsi="Arial" w:cs="Arial"/>
                <w:color w:val="000000"/>
                <w:sz w:val="16"/>
                <w:szCs w:val="16"/>
                <w:lang w:val="ru-RU"/>
              </w:rPr>
              <w:br/>
              <w:t xml:space="preserve">готового лікарського засобу. </w:t>
            </w:r>
            <w:r w:rsidRPr="00DA65B7">
              <w:rPr>
                <w:rFonts w:ascii="Arial" w:hAnsi="Arial" w:cs="Arial"/>
                <w:color w:val="000000"/>
                <w:sz w:val="16"/>
                <w:szCs w:val="16"/>
                <w:lang w:val="ru-RU"/>
              </w:rPr>
              <w:br/>
              <w:t xml:space="preserve">Вищенаведена зміна введення нового тест-набору вноситься до Методів контролю якості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ind w:left="-114"/>
              <w:jc w:val="center"/>
              <w:rPr>
                <w:rFonts w:ascii="Arial" w:hAnsi="Arial" w:cs="Arial"/>
                <w:b/>
                <w:i/>
                <w:color w:val="000000"/>
                <w:sz w:val="16"/>
                <w:szCs w:val="16"/>
              </w:rPr>
            </w:pPr>
            <w:r w:rsidRPr="00DA65B7">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sz w:val="16"/>
                <w:szCs w:val="16"/>
              </w:rPr>
            </w:pPr>
            <w:r w:rsidRPr="00DA65B7">
              <w:rPr>
                <w:rFonts w:ascii="Arial" w:hAnsi="Arial" w:cs="Arial"/>
                <w:sz w:val="16"/>
                <w:szCs w:val="16"/>
              </w:rPr>
              <w:t>UA/16879/01/03</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DA65B7" w:rsidRDefault="00180B55" w:rsidP="00B26A25">
            <w:pPr>
              <w:pStyle w:val="Normal"/>
              <w:tabs>
                <w:tab w:val="left" w:pos="12600"/>
              </w:tabs>
              <w:rPr>
                <w:rFonts w:ascii="Arial" w:hAnsi="Arial" w:cs="Arial"/>
                <w:b/>
                <w:i/>
                <w:color w:val="000000"/>
                <w:sz w:val="16"/>
                <w:szCs w:val="16"/>
              </w:rPr>
            </w:pPr>
            <w:r w:rsidRPr="00DA65B7">
              <w:rPr>
                <w:rFonts w:ascii="Arial" w:hAnsi="Arial" w:cs="Arial"/>
                <w:b/>
                <w:sz w:val="16"/>
                <w:szCs w:val="16"/>
              </w:rPr>
              <w:t>РІКСУБІС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rPr>
                <w:rFonts w:ascii="Arial" w:hAnsi="Arial" w:cs="Arial"/>
                <w:color w:val="000000"/>
                <w:sz w:val="16"/>
                <w:szCs w:val="16"/>
                <w:lang w:val="ru-RU"/>
              </w:rPr>
            </w:pPr>
            <w:r w:rsidRPr="00DA65B7">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Омаркування,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80B55" w:rsidRPr="00DA65B7"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lang w:val="ru-RU"/>
              </w:rPr>
            </w:pPr>
            <w:r w:rsidRPr="00DA65B7">
              <w:rPr>
                <w:rFonts w:ascii="Arial" w:hAnsi="Arial" w:cs="Arial"/>
                <w:color w:val="000000"/>
                <w:sz w:val="16"/>
                <w:szCs w:val="16"/>
                <w:lang w:val="ru-RU"/>
              </w:rPr>
              <w:t>В.ІІ.</w:t>
            </w:r>
            <w:r w:rsidRPr="00DA65B7">
              <w:rPr>
                <w:rFonts w:ascii="Arial" w:hAnsi="Arial" w:cs="Arial"/>
                <w:color w:val="000000"/>
                <w:sz w:val="16"/>
                <w:szCs w:val="16"/>
              </w:rPr>
              <w:t>d</w:t>
            </w:r>
            <w:r w:rsidRPr="00DA65B7">
              <w:rPr>
                <w:rFonts w:ascii="Arial" w:hAnsi="Arial" w:cs="Arial"/>
                <w:color w:val="000000"/>
                <w:sz w:val="16"/>
                <w:szCs w:val="16"/>
                <w:lang w:val="ru-RU"/>
              </w:rPr>
              <w:t>.2.а, І</w:t>
            </w:r>
            <w:r w:rsidRPr="00DA65B7">
              <w:rPr>
                <w:rFonts w:ascii="Arial" w:hAnsi="Arial" w:cs="Arial"/>
                <w:color w:val="000000"/>
                <w:sz w:val="16"/>
                <w:szCs w:val="16"/>
              </w:rPr>
              <w:t>B</w:t>
            </w:r>
            <w:r w:rsidRPr="00DA65B7">
              <w:rPr>
                <w:rFonts w:ascii="Arial" w:hAnsi="Arial" w:cs="Arial"/>
                <w:color w:val="000000"/>
                <w:sz w:val="16"/>
                <w:szCs w:val="16"/>
                <w:lang w:val="ru-RU"/>
              </w:rPr>
              <w:t xml:space="preserve"> </w:t>
            </w:r>
            <w:r w:rsidRPr="00DA65B7">
              <w:rPr>
                <w:rFonts w:ascii="Arial" w:hAnsi="Arial" w:cs="Arial"/>
                <w:color w:val="000000"/>
                <w:sz w:val="16"/>
                <w:szCs w:val="16"/>
                <w:lang w:val="ru-RU"/>
              </w:rPr>
              <w:br/>
              <w:t>Введення нового тест-набору для визначення вмісту цукрози для випробування при випуску</w:t>
            </w:r>
            <w:r w:rsidRPr="00DA65B7">
              <w:rPr>
                <w:rFonts w:ascii="Arial" w:hAnsi="Arial" w:cs="Arial"/>
                <w:color w:val="000000"/>
                <w:sz w:val="16"/>
                <w:szCs w:val="16"/>
                <w:lang w:val="ru-RU"/>
              </w:rPr>
              <w:br/>
              <w:t xml:space="preserve">готового лікарського засобу. </w:t>
            </w:r>
            <w:r w:rsidRPr="00DA65B7">
              <w:rPr>
                <w:rFonts w:ascii="Arial" w:hAnsi="Arial" w:cs="Arial"/>
                <w:color w:val="000000"/>
                <w:sz w:val="16"/>
                <w:szCs w:val="16"/>
                <w:lang w:val="ru-RU"/>
              </w:rPr>
              <w:br/>
              <w:t xml:space="preserve">Вищенаведена зміна введення нового тест-набору вноситься до Методів контролю якості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ind w:left="-114"/>
              <w:jc w:val="center"/>
              <w:rPr>
                <w:rFonts w:ascii="Arial" w:hAnsi="Arial" w:cs="Arial"/>
                <w:b/>
                <w:i/>
                <w:color w:val="000000"/>
                <w:sz w:val="16"/>
                <w:szCs w:val="16"/>
              </w:rPr>
            </w:pPr>
            <w:r w:rsidRPr="00DA65B7">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sz w:val="16"/>
                <w:szCs w:val="16"/>
              </w:rPr>
            </w:pPr>
            <w:r w:rsidRPr="00DA65B7">
              <w:rPr>
                <w:rFonts w:ascii="Arial" w:hAnsi="Arial" w:cs="Arial"/>
                <w:sz w:val="16"/>
                <w:szCs w:val="16"/>
              </w:rPr>
              <w:t>UA/16879/01/04</w:t>
            </w:r>
          </w:p>
        </w:tc>
      </w:tr>
      <w:tr w:rsidR="00180B55" w:rsidRPr="006F5FC0" w:rsidTr="003E3EC1">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80B55" w:rsidRPr="006F5FC0" w:rsidRDefault="00180B55" w:rsidP="003E3EC1">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0B55" w:rsidRPr="00DA65B7" w:rsidRDefault="00180B55" w:rsidP="00B26A25">
            <w:pPr>
              <w:pStyle w:val="Normal"/>
              <w:tabs>
                <w:tab w:val="left" w:pos="12600"/>
              </w:tabs>
              <w:rPr>
                <w:rFonts w:ascii="Arial" w:hAnsi="Arial" w:cs="Arial"/>
                <w:b/>
                <w:i/>
                <w:color w:val="000000"/>
                <w:sz w:val="16"/>
                <w:szCs w:val="16"/>
              </w:rPr>
            </w:pPr>
            <w:r w:rsidRPr="00DA65B7">
              <w:rPr>
                <w:rFonts w:ascii="Arial" w:hAnsi="Arial" w:cs="Arial"/>
                <w:b/>
                <w:sz w:val="16"/>
                <w:szCs w:val="16"/>
              </w:rPr>
              <w:t>РІКСУБІС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rPr>
                <w:rFonts w:ascii="Arial" w:hAnsi="Arial" w:cs="Arial"/>
                <w:color w:val="000000"/>
                <w:sz w:val="16"/>
                <w:szCs w:val="16"/>
                <w:lang w:val="ru-RU"/>
              </w:rPr>
            </w:pPr>
            <w:r w:rsidRPr="00DA65B7">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rPr>
            </w:pPr>
            <w:r w:rsidRPr="00DA65B7">
              <w:rPr>
                <w:rFonts w:ascii="Arial" w:hAnsi="Arial" w:cs="Arial"/>
                <w:color w:val="000000"/>
                <w:sz w:val="16"/>
                <w:szCs w:val="16"/>
              </w:rPr>
              <w:t>Омаркування,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 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180B55"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180B55" w:rsidRPr="00DA65B7" w:rsidRDefault="00180B55" w:rsidP="00B26A2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color w:val="000000"/>
                <w:sz w:val="16"/>
                <w:szCs w:val="16"/>
                <w:lang w:val="ru-RU"/>
              </w:rPr>
            </w:pPr>
            <w:r w:rsidRPr="00DA65B7">
              <w:rPr>
                <w:rFonts w:ascii="Arial" w:hAnsi="Arial" w:cs="Arial"/>
                <w:color w:val="000000"/>
                <w:sz w:val="16"/>
                <w:szCs w:val="16"/>
                <w:lang w:val="ru-RU"/>
              </w:rPr>
              <w:t>В.ІІ.</w:t>
            </w:r>
            <w:r w:rsidRPr="00DA65B7">
              <w:rPr>
                <w:rFonts w:ascii="Arial" w:hAnsi="Arial" w:cs="Arial"/>
                <w:color w:val="000000"/>
                <w:sz w:val="16"/>
                <w:szCs w:val="16"/>
              </w:rPr>
              <w:t>d</w:t>
            </w:r>
            <w:r w:rsidRPr="00DA65B7">
              <w:rPr>
                <w:rFonts w:ascii="Arial" w:hAnsi="Arial" w:cs="Arial"/>
                <w:color w:val="000000"/>
                <w:sz w:val="16"/>
                <w:szCs w:val="16"/>
                <w:lang w:val="ru-RU"/>
              </w:rPr>
              <w:t>.2.а, І</w:t>
            </w:r>
            <w:r w:rsidRPr="00DA65B7">
              <w:rPr>
                <w:rFonts w:ascii="Arial" w:hAnsi="Arial" w:cs="Arial"/>
                <w:color w:val="000000"/>
                <w:sz w:val="16"/>
                <w:szCs w:val="16"/>
              </w:rPr>
              <w:t>B</w:t>
            </w:r>
            <w:r w:rsidRPr="00DA65B7">
              <w:rPr>
                <w:rFonts w:ascii="Arial" w:hAnsi="Arial" w:cs="Arial"/>
                <w:color w:val="000000"/>
                <w:sz w:val="16"/>
                <w:szCs w:val="16"/>
                <w:lang w:val="ru-RU"/>
              </w:rPr>
              <w:t xml:space="preserve"> </w:t>
            </w:r>
            <w:r w:rsidRPr="00DA65B7">
              <w:rPr>
                <w:rFonts w:ascii="Arial" w:hAnsi="Arial" w:cs="Arial"/>
                <w:color w:val="000000"/>
                <w:sz w:val="16"/>
                <w:szCs w:val="16"/>
                <w:lang w:val="ru-RU"/>
              </w:rPr>
              <w:br/>
              <w:t>Введення нового тест-набору для визначення вмісту цукрози для випробування при випуску</w:t>
            </w:r>
            <w:r w:rsidRPr="00DA65B7">
              <w:rPr>
                <w:rFonts w:ascii="Arial" w:hAnsi="Arial" w:cs="Arial"/>
                <w:color w:val="000000"/>
                <w:sz w:val="16"/>
                <w:szCs w:val="16"/>
                <w:lang w:val="ru-RU"/>
              </w:rPr>
              <w:br/>
              <w:t xml:space="preserve">готового лікарського засобу. </w:t>
            </w:r>
            <w:r w:rsidRPr="00DA65B7">
              <w:rPr>
                <w:rFonts w:ascii="Arial" w:hAnsi="Arial" w:cs="Arial"/>
                <w:color w:val="000000"/>
                <w:sz w:val="16"/>
                <w:szCs w:val="16"/>
                <w:lang w:val="ru-RU"/>
              </w:rPr>
              <w:br/>
              <w:t xml:space="preserve">Вищенаведена зміна введення нового тест-набору вноситься до Методів контролю якості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ind w:left="-114"/>
              <w:jc w:val="center"/>
              <w:rPr>
                <w:rFonts w:ascii="Arial" w:hAnsi="Arial" w:cs="Arial"/>
                <w:b/>
                <w:i/>
                <w:color w:val="000000"/>
                <w:sz w:val="16"/>
                <w:szCs w:val="16"/>
              </w:rPr>
            </w:pPr>
            <w:r w:rsidRPr="00DA65B7">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180B55" w:rsidRPr="00DA65B7" w:rsidRDefault="00180B55" w:rsidP="00B26A25">
            <w:pPr>
              <w:pStyle w:val="Normal"/>
              <w:tabs>
                <w:tab w:val="left" w:pos="12600"/>
              </w:tabs>
              <w:jc w:val="center"/>
              <w:rPr>
                <w:rFonts w:ascii="Arial" w:hAnsi="Arial" w:cs="Arial"/>
                <w:sz w:val="16"/>
                <w:szCs w:val="16"/>
              </w:rPr>
            </w:pPr>
            <w:r w:rsidRPr="00DA65B7">
              <w:rPr>
                <w:rFonts w:ascii="Arial" w:hAnsi="Arial" w:cs="Arial"/>
                <w:sz w:val="16"/>
                <w:szCs w:val="16"/>
              </w:rPr>
              <w:t>UA/16879/01/05</w:t>
            </w:r>
          </w:p>
        </w:tc>
      </w:tr>
    </w:tbl>
    <w:p w:rsidR="00180B55" w:rsidRDefault="00180B55" w:rsidP="00180B55">
      <w:pPr>
        <w:pStyle w:val="Normal"/>
        <w:jc w:val="center"/>
        <w:rPr>
          <w:lang w:val="ru-RU"/>
        </w:rPr>
      </w:pPr>
    </w:p>
    <w:p w:rsidR="00180B55" w:rsidRDefault="00180B55" w:rsidP="00180B55">
      <w:pPr>
        <w:pStyle w:val="Normal"/>
        <w:jc w:val="center"/>
        <w:rPr>
          <w:lang w:val="ru-RU"/>
        </w:rPr>
      </w:pPr>
    </w:p>
    <w:p w:rsidR="00180B55" w:rsidRDefault="00180B55" w:rsidP="00180B55">
      <w:pPr>
        <w:ind w:left="540"/>
        <w:rPr>
          <w:rFonts w:ascii="Arial" w:hAnsi="Arial" w:cs="Arial"/>
          <w:b/>
          <w:sz w:val="28"/>
          <w:szCs w:val="28"/>
        </w:rPr>
      </w:pPr>
      <w:r>
        <w:rPr>
          <w:rFonts w:ascii="Arial" w:hAnsi="Arial" w:cs="Arial"/>
          <w:b/>
          <w:sz w:val="28"/>
          <w:szCs w:val="28"/>
        </w:rPr>
        <w:t>В.о. начальника</w:t>
      </w:r>
    </w:p>
    <w:p w:rsidR="00180B55" w:rsidRDefault="00180B55" w:rsidP="00180B55">
      <w:pPr>
        <w:ind w:left="540"/>
        <w:rPr>
          <w:rFonts w:ascii="Arial" w:hAnsi="Arial" w:cs="Arial"/>
          <w:b/>
          <w:sz w:val="22"/>
          <w:szCs w:val="22"/>
        </w:rPr>
      </w:pPr>
      <w:r>
        <w:rPr>
          <w:rFonts w:ascii="Arial" w:hAnsi="Arial" w:cs="Arial"/>
          <w:b/>
          <w:sz w:val="28"/>
          <w:szCs w:val="28"/>
        </w:rPr>
        <w:t>Фармацевтичного управління                                                                                                  Олександр ГРІЦЕНКО</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EA5059" w:rsidRDefault="00EA5059" w:rsidP="004E1A23">
      <w:pPr>
        <w:rPr>
          <w:b/>
          <w:sz w:val="28"/>
          <w:szCs w:val="28"/>
          <w:lang w:val="uk-UA"/>
        </w:rPr>
      </w:pPr>
    </w:p>
    <w:sectPr w:rsidR="00EA5059" w:rsidSect="00B26A25">
      <w:headerReference w:type="even" r:id="rId17"/>
      <w:headerReference w:type="default" r:id="rId18"/>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D9D" w:rsidRDefault="008D6D9D" w:rsidP="00B217C6">
      <w:r>
        <w:separator/>
      </w:r>
    </w:p>
  </w:endnote>
  <w:endnote w:type="continuationSeparator" w:id="0">
    <w:p w:rsidR="008D6D9D" w:rsidRDefault="008D6D9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D9D" w:rsidRDefault="008D6D9D" w:rsidP="00B217C6">
      <w:r>
        <w:separator/>
      </w:r>
    </w:p>
  </w:footnote>
  <w:footnote w:type="continuationSeparator" w:id="0">
    <w:p w:rsidR="008D6D9D" w:rsidRDefault="008D6D9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7129B7" w:rsidRPr="007129B7">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25" w:rsidRDefault="00B26A25" w:rsidP="00B26A2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26A25" w:rsidRDefault="00B26A25">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25" w:rsidRDefault="00B26A25" w:rsidP="00B26A2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E3EC1">
      <w:rPr>
        <w:rStyle w:val="a7"/>
        <w:noProof/>
      </w:rPr>
      <w:t>4</w:t>
    </w:r>
    <w:r>
      <w:rPr>
        <w:rStyle w:val="a7"/>
      </w:rPr>
      <w:fldChar w:fldCharType="end"/>
    </w:r>
  </w:p>
  <w:p w:rsidR="00B26A25" w:rsidRDefault="00B26A25" w:rsidP="00B26A25">
    <w:pPr>
      <w:pStyle w:val="a3"/>
      <w:tabs>
        <w:tab w:val="left" w:pos="10920"/>
      </w:tabs>
    </w:pPr>
    <w:r>
      <w:tab/>
      <w:t xml:space="preserve">                                  Продовження додатка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25" w:rsidRDefault="00B26A25" w:rsidP="00B26A2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26A25" w:rsidRDefault="00B26A25">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25" w:rsidRDefault="00B26A25" w:rsidP="00B26A2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E3EC1">
      <w:rPr>
        <w:rStyle w:val="a7"/>
        <w:noProof/>
      </w:rPr>
      <w:t>6</w:t>
    </w:r>
    <w:r>
      <w:rPr>
        <w:rStyle w:val="a7"/>
      </w:rPr>
      <w:fldChar w:fldCharType="end"/>
    </w:r>
  </w:p>
  <w:p w:rsidR="00B26A25" w:rsidRDefault="00B26A25" w:rsidP="00B26A25">
    <w:pPr>
      <w:pStyle w:val="a3"/>
      <w:tabs>
        <w:tab w:val="left" w:pos="10920"/>
      </w:tabs>
    </w:pP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25" w:rsidRDefault="00B26A25" w:rsidP="00B26A2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26A25" w:rsidRDefault="00B26A25">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25" w:rsidRDefault="00B26A25" w:rsidP="00B26A2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E3EC1">
      <w:rPr>
        <w:rStyle w:val="a7"/>
        <w:noProof/>
      </w:rPr>
      <w:t>17</w:t>
    </w:r>
    <w:r>
      <w:rPr>
        <w:rStyle w:val="a7"/>
      </w:rPr>
      <w:fldChar w:fldCharType="end"/>
    </w:r>
  </w:p>
  <w:p w:rsidR="00B26A25" w:rsidRDefault="00B26A25" w:rsidP="00B26A25">
    <w:pPr>
      <w:pStyle w:val="a3"/>
      <w:tabs>
        <w:tab w:val="left" w:pos="8985"/>
      </w:tabs>
    </w:pPr>
    <w:r>
      <w:tab/>
      <w:t xml:space="preserve">                                                                </w:t>
    </w:r>
  </w:p>
  <w:p w:rsidR="003E3EC1" w:rsidRDefault="003E3EC1" w:rsidP="00B26A25">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7064C88"/>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0B55"/>
    <w:rsid w:val="0018152B"/>
    <w:rsid w:val="0018449E"/>
    <w:rsid w:val="0019157A"/>
    <w:rsid w:val="00192786"/>
    <w:rsid w:val="001943E8"/>
    <w:rsid w:val="00194C37"/>
    <w:rsid w:val="00195BF3"/>
    <w:rsid w:val="001963DF"/>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3EC1"/>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D02DB"/>
    <w:rsid w:val="004D1487"/>
    <w:rsid w:val="004D3D9C"/>
    <w:rsid w:val="004D3F9B"/>
    <w:rsid w:val="004D5854"/>
    <w:rsid w:val="004E0208"/>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1C4D"/>
    <w:rsid w:val="00634363"/>
    <w:rsid w:val="00636E64"/>
    <w:rsid w:val="00642484"/>
    <w:rsid w:val="00643EFB"/>
    <w:rsid w:val="00644516"/>
    <w:rsid w:val="00646B66"/>
    <w:rsid w:val="006473B3"/>
    <w:rsid w:val="0065032B"/>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29B7"/>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7B3C"/>
    <w:rsid w:val="007D017A"/>
    <w:rsid w:val="007D0F5A"/>
    <w:rsid w:val="007D2E5B"/>
    <w:rsid w:val="007D5964"/>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D6D9D"/>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205"/>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0090"/>
    <w:rsid w:val="00A7183F"/>
    <w:rsid w:val="00A71EF0"/>
    <w:rsid w:val="00A84B9C"/>
    <w:rsid w:val="00A85760"/>
    <w:rsid w:val="00A85EBC"/>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6A25"/>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3C8C"/>
    <w:rsid w:val="00D977AE"/>
    <w:rsid w:val="00DA2EAF"/>
    <w:rsid w:val="00DA5111"/>
    <w:rsid w:val="00DA7F31"/>
    <w:rsid w:val="00DB34F5"/>
    <w:rsid w:val="00DB3B22"/>
    <w:rsid w:val="00DB3FF3"/>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A4168"/>
    <w:rsid w:val="00EA5059"/>
    <w:rsid w:val="00EA7160"/>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57EB"/>
    <w:rsid w:val="00F362D0"/>
    <w:rsid w:val="00F413F5"/>
    <w:rsid w:val="00F440D1"/>
    <w:rsid w:val="00F457BB"/>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45CB690-C765-4B05-B3F8-65AABDB3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EA5059"/>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EA5059"/>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EA5059"/>
    <w:rPr>
      <w:rFonts w:eastAsia="Times New Roman"/>
      <w:sz w:val="24"/>
      <w:szCs w:val="24"/>
      <w:lang w:val="uk-UA" w:eastAsia="uk-UA"/>
    </w:rPr>
  </w:style>
  <w:style w:type="paragraph" w:customStyle="1" w:styleId="msolistparagraph0">
    <w:name w:val="msolistparagraph"/>
    <w:basedOn w:val="a"/>
    <w:uiPriority w:val="34"/>
    <w:qFormat/>
    <w:rsid w:val="00EA5059"/>
    <w:pPr>
      <w:ind w:left="720"/>
      <w:contextualSpacing/>
    </w:pPr>
    <w:rPr>
      <w:rFonts w:eastAsia="Times New Roman"/>
      <w:sz w:val="24"/>
      <w:szCs w:val="24"/>
      <w:lang w:val="uk-UA" w:eastAsia="uk-UA"/>
    </w:rPr>
  </w:style>
  <w:style w:type="character" w:customStyle="1" w:styleId="cs7864ebcf1">
    <w:name w:val="cs7864ebcf1"/>
    <w:rsid w:val="00960205"/>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5061A-15CF-47B3-B449-078DE6FA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6000</Words>
  <Characters>34201</Characters>
  <Application>Microsoft Office Word</Application>
  <DocSecurity>0</DocSecurity>
  <Lines>285</Lines>
  <Paragraphs>80</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
      <vt:lpstr>МІНІСТЕРСТВО ОХОРОНИ ЗДОРОВ’Я УКРАЇНИ</vt:lpstr>
      <vt:lpstr>        Н А К А З</vt:lpstr>
      <vt:lpstr>    </vt:lpstr>
      <vt:lpstr>    ПЕРЕЛІК</vt:lpstr>
      <vt:lpstr>    </vt:lpstr>
      <vt:lpstr>    </vt:lpstr>
      <vt:lpstr>    ПЕРЕЛІК</vt:lpstr>
      <vt:lpstr>    ПЕРЕЛІК</vt:lpstr>
      <vt:lpstr> </vt:lpstr>
    </vt:vector>
  </TitlesOfParts>
  <Company>Krokoz™</Company>
  <LinksUpToDate>false</LinksUpToDate>
  <CharactersWithSpaces>40121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2023-02-08T10:14:00Z</cp:lastPrinted>
  <dcterms:created xsi:type="dcterms:W3CDTF">2023-02-28T09:26:00Z</dcterms:created>
  <dcterms:modified xsi:type="dcterms:W3CDTF">2023-02-28T09:26:00Z</dcterms:modified>
</cp:coreProperties>
</file>