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A5" w:rsidRDefault="00F203A5" w:rsidP="00F203A5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E33D60" w:rsidRPr="008A7EAC" w:rsidRDefault="00E33D60" w:rsidP="00E33D60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E33D60" w:rsidRPr="00A62050" w:rsidRDefault="00E33D60" w:rsidP="00E33D60">
      <w:pPr>
        <w:rPr>
          <w:lang w:val="uk-UA"/>
        </w:rPr>
      </w:pPr>
    </w:p>
    <w:tbl>
      <w:tblPr>
        <w:tblW w:w="9565" w:type="dxa"/>
        <w:tblInd w:w="-72" w:type="dxa"/>
        <w:tblLook w:val="01E0" w:firstRow="1" w:lastRow="1" w:firstColumn="1" w:lastColumn="1" w:noHBand="0" w:noVBand="0"/>
      </w:tblPr>
      <w:tblGrid>
        <w:gridCol w:w="3866"/>
        <w:gridCol w:w="2129"/>
        <w:gridCol w:w="3570"/>
      </w:tblGrid>
      <w:tr w:rsidR="00E33D60" w:rsidRPr="00A62050" w:rsidTr="00935D3F">
        <w:tc>
          <w:tcPr>
            <w:tcW w:w="3866" w:type="dxa"/>
          </w:tcPr>
          <w:p w:rsidR="00935D3F" w:rsidRDefault="00935D3F" w:rsidP="0009493B">
            <w:pPr>
              <w:rPr>
                <w:sz w:val="28"/>
                <w:szCs w:val="28"/>
                <w:lang w:val="uk-UA"/>
              </w:rPr>
            </w:pPr>
          </w:p>
          <w:p w:rsidR="00E33D60" w:rsidRDefault="00935D3F" w:rsidP="000949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січня 2023 року</w:t>
            </w:r>
          </w:p>
          <w:p w:rsidR="00E33D60" w:rsidRPr="008864DA" w:rsidRDefault="00E33D60" w:rsidP="0009493B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05.20200      </w:t>
            </w:r>
          </w:p>
        </w:tc>
        <w:tc>
          <w:tcPr>
            <w:tcW w:w="2129" w:type="dxa"/>
          </w:tcPr>
          <w:p w:rsidR="00E33D60" w:rsidRPr="008864DA" w:rsidRDefault="00E33D60" w:rsidP="0009493B">
            <w:pPr>
              <w:jc w:val="center"/>
              <w:rPr>
                <w:sz w:val="24"/>
                <w:szCs w:val="24"/>
                <w:lang w:val="uk-UA"/>
              </w:rPr>
            </w:pPr>
            <w:r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3570" w:type="dxa"/>
          </w:tcPr>
          <w:p w:rsidR="00935D3F" w:rsidRDefault="00935D3F" w:rsidP="0009493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E33D60" w:rsidRDefault="00935D3F" w:rsidP="0009493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№ 78</w:t>
            </w:r>
          </w:p>
          <w:p w:rsidR="00E33D60" w:rsidRPr="008864DA" w:rsidRDefault="00E33D60" w:rsidP="0009493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  <w:p w:rsidR="00E33D60" w:rsidRPr="008864DA" w:rsidRDefault="00E33D60" w:rsidP="0009493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sz w:val="28"/>
                <w:szCs w:val="28"/>
                <w:lang w:val="uk-UA"/>
              </w:rPr>
              <w:t xml:space="preserve">                            </w:t>
            </w:r>
            <w:r w:rsidRPr="008864DA">
              <w:rPr>
                <w:sz w:val="28"/>
                <w:szCs w:val="28"/>
                <w:lang w:val="en-US"/>
              </w:rPr>
              <w:t xml:space="preserve">        </w:t>
            </w:r>
          </w:p>
        </w:tc>
      </w:tr>
    </w:tbl>
    <w:p w:rsidR="00E33D60" w:rsidRDefault="00E33D60" w:rsidP="009876DA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E33D6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Про внесення змін до</w:t>
      </w:r>
      <w:r w:rsidR="0069631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додатка 2 до наказу Міністерства охорони здоров’я України від 13 травня 2020 року № 1128 та </w:t>
      </w:r>
      <w:r w:rsidRPr="00E33D6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реєстраційних посвідчень на лікарські засоби</w:t>
      </w:r>
    </w:p>
    <w:p w:rsidR="00C151A7" w:rsidRDefault="00C151A7" w:rsidP="00F203A5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1DBF" w:rsidRDefault="001D1DBF" w:rsidP="00F203A5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1DBF" w:rsidRDefault="001D1DBF" w:rsidP="00F203A5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3A5" w:rsidRPr="00B66EF8" w:rsidRDefault="004F687C" w:rsidP="00F203A5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655BA">
        <w:rPr>
          <w:rFonts w:ascii="Times New Roman" w:hAnsi="Times New Roman"/>
          <w:sz w:val="28"/>
          <w:szCs w:val="28"/>
          <w:lang w:val="uk-UA"/>
        </w:rPr>
        <w:t xml:space="preserve">Відповідно до частини двадцять першої статті 9 Закону України «Про лікарські засоби», </w:t>
      </w:r>
      <w:r w:rsidR="00267C15">
        <w:rPr>
          <w:rFonts w:ascii="Times New Roman" w:hAnsi="Times New Roman"/>
          <w:sz w:val="28"/>
          <w:szCs w:val="28"/>
          <w:lang w:val="uk-UA"/>
        </w:rPr>
        <w:t xml:space="preserve">пункту 8 Положення про </w:t>
      </w:r>
      <w:r w:rsidR="00267C15" w:rsidRPr="00A30FD9">
        <w:rPr>
          <w:rFonts w:ascii="Times New Roman" w:hAnsi="Times New Roman"/>
          <w:sz w:val="28"/>
          <w:szCs w:val="28"/>
          <w:lang w:val="uk-UA"/>
        </w:rPr>
        <w:t>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</w:t>
      </w:r>
      <w:r w:rsidR="00267C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55BA">
        <w:rPr>
          <w:rFonts w:ascii="Times New Roman" w:hAnsi="Times New Roman"/>
          <w:sz w:val="28"/>
          <w:szCs w:val="28"/>
          <w:lang w:val="uk-UA"/>
        </w:rPr>
        <w:t>н</w:t>
      </w:r>
      <w:r w:rsidR="00C20C25" w:rsidRPr="00F655BA">
        <w:rPr>
          <w:rFonts w:ascii="Times New Roman" w:hAnsi="Times New Roman"/>
          <w:sz w:val="28"/>
          <w:szCs w:val="28"/>
          <w:lang w:val="uk-UA"/>
        </w:rPr>
        <w:t xml:space="preserve">а виконання </w:t>
      </w:r>
      <w:r w:rsidR="00B77A14">
        <w:rPr>
          <w:rFonts w:ascii="Times New Roman" w:hAnsi="Times New Roman"/>
          <w:sz w:val="28"/>
          <w:szCs w:val="28"/>
          <w:lang w:val="uk-UA"/>
        </w:rPr>
        <w:t>Р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ішення</w:t>
      </w:r>
      <w:r w:rsidR="00C20C25" w:rsidRPr="00F655BA">
        <w:rPr>
          <w:rFonts w:ascii="Times New Roman" w:hAnsi="Times New Roman"/>
          <w:sz w:val="28"/>
          <w:szCs w:val="28"/>
          <w:lang w:val="uk-UA"/>
        </w:rPr>
        <w:t xml:space="preserve"> Окружного адміністративного суду м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іста</w:t>
      </w:r>
      <w:r w:rsidR="00C20C25" w:rsidRPr="00F655BA">
        <w:rPr>
          <w:rFonts w:ascii="Times New Roman" w:hAnsi="Times New Roman"/>
          <w:sz w:val="28"/>
          <w:szCs w:val="28"/>
          <w:lang w:val="uk-UA"/>
        </w:rPr>
        <w:t xml:space="preserve"> Києва</w:t>
      </w:r>
      <w:r w:rsidRPr="00F655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C25" w:rsidRPr="00F655B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06 січня</w:t>
      </w:r>
      <w:r w:rsidR="00C20C25" w:rsidRPr="00F655BA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22</w:t>
      </w:r>
      <w:r w:rsidR="00CD5895" w:rsidRPr="00F655BA">
        <w:rPr>
          <w:rFonts w:ascii="Times New Roman" w:hAnsi="Times New Roman"/>
          <w:sz w:val="28"/>
          <w:szCs w:val="28"/>
          <w:lang w:val="uk-UA"/>
        </w:rPr>
        <w:t xml:space="preserve"> року у справі № 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640</w:t>
      </w:r>
      <w:r w:rsidR="00CD5895" w:rsidRPr="00F655BA">
        <w:rPr>
          <w:rFonts w:ascii="Times New Roman" w:hAnsi="Times New Roman"/>
          <w:sz w:val="28"/>
          <w:szCs w:val="28"/>
          <w:lang w:val="uk-UA"/>
        </w:rPr>
        <w:t>/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17308</w:t>
      </w:r>
      <w:r w:rsidR="00CD5895" w:rsidRPr="00F655BA">
        <w:rPr>
          <w:rFonts w:ascii="Times New Roman" w:hAnsi="Times New Roman"/>
          <w:sz w:val="28"/>
          <w:szCs w:val="28"/>
          <w:lang w:val="uk-UA"/>
        </w:rPr>
        <w:t>/</w:t>
      </w:r>
      <w:r w:rsidR="00F655BA" w:rsidRPr="00F655BA">
        <w:rPr>
          <w:rFonts w:ascii="Times New Roman" w:hAnsi="Times New Roman"/>
          <w:sz w:val="28"/>
          <w:szCs w:val="28"/>
          <w:lang w:val="uk-UA"/>
        </w:rPr>
        <w:t>20</w:t>
      </w:r>
      <w:r w:rsidR="00CD58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203A5" w:rsidRDefault="00F203A5" w:rsidP="0058080D">
      <w:pPr>
        <w:pStyle w:val="31"/>
        <w:spacing w:after="0"/>
        <w:ind w:left="0"/>
        <w:rPr>
          <w:b/>
          <w:bCs/>
          <w:lang w:val="uk-UA"/>
        </w:rPr>
      </w:pPr>
    </w:p>
    <w:p w:rsidR="00C151A7" w:rsidRPr="00052BC5" w:rsidRDefault="00C151A7" w:rsidP="0058080D">
      <w:pPr>
        <w:pStyle w:val="31"/>
        <w:spacing w:after="0"/>
        <w:ind w:left="0"/>
        <w:rPr>
          <w:b/>
          <w:bCs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203A5" w:rsidRDefault="00F203A5" w:rsidP="0058080D">
      <w:pPr>
        <w:pStyle w:val="31"/>
        <w:spacing w:after="0"/>
        <w:ind w:left="0"/>
        <w:rPr>
          <w:b/>
          <w:bCs/>
          <w:lang w:val="uk-UA"/>
        </w:rPr>
      </w:pPr>
    </w:p>
    <w:p w:rsidR="00C151A7" w:rsidRDefault="00C151A7" w:rsidP="0058080D">
      <w:pPr>
        <w:pStyle w:val="31"/>
        <w:spacing w:after="0"/>
        <w:ind w:left="0"/>
        <w:rPr>
          <w:b/>
          <w:bCs/>
          <w:lang w:val="uk-UA"/>
        </w:rPr>
      </w:pPr>
    </w:p>
    <w:p w:rsidR="00261360" w:rsidRDefault="00C151A7" w:rsidP="00573A68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203A5">
        <w:rPr>
          <w:sz w:val="28"/>
          <w:szCs w:val="28"/>
          <w:lang w:val="uk-UA"/>
        </w:rPr>
        <w:t xml:space="preserve">. </w:t>
      </w:r>
      <w:r w:rsidR="00261360">
        <w:rPr>
          <w:sz w:val="28"/>
          <w:szCs w:val="28"/>
          <w:lang w:val="uk-UA"/>
        </w:rPr>
        <w:t xml:space="preserve">Внести зміну до додатка 2 до наказу Міністерства охорони здоров’я України від 13 </w:t>
      </w:r>
      <w:r w:rsidR="00261360" w:rsidRPr="00261360">
        <w:rPr>
          <w:sz w:val="28"/>
          <w:szCs w:val="28"/>
          <w:lang w:val="uk-UA"/>
        </w:rPr>
        <w:t>травня 2020 року № 1128</w:t>
      </w:r>
      <w:r w:rsidR="00261360">
        <w:rPr>
          <w:sz w:val="28"/>
          <w:szCs w:val="28"/>
          <w:lang w:val="uk-UA"/>
        </w:rPr>
        <w:t>, замінивши в позиції 53 в розділі «Реєстраційна процедура» слова</w:t>
      </w:r>
      <w:r w:rsidR="00267C15">
        <w:rPr>
          <w:sz w:val="28"/>
          <w:szCs w:val="28"/>
          <w:lang w:val="uk-UA"/>
        </w:rPr>
        <w:t xml:space="preserve"> та цифри</w:t>
      </w:r>
      <w:r w:rsidR="00261360">
        <w:rPr>
          <w:sz w:val="28"/>
          <w:szCs w:val="28"/>
          <w:lang w:val="uk-UA"/>
        </w:rPr>
        <w:t xml:space="preserve"> «Перереєстрація на 5 років.» словами «Перереєстрація на необмежений термін.».</w:t>
      </w:r>
    </w:p>
    <w:p w:rsidR="00261360" w:rsidRPr="001D1DBF" w:rsidRDefault="00261360" w:rsidP="00573A68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DC5115" w:rsidRPr="00DC5115" w:rsidRDefault="00261360" w:rsidP="00573A68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F4937">
        <w:rPr>
          <w:sz w:val="28"/>
          <w:szCs w:val="28"/>
          <w:lang w:val="uk-UA"/>
        </w:rPr>
        <w:t>Внести змін</w:t>
      </w:r>
      <w:r w:rsidR="00B77A14">
        <w:rPr>
          <w:sz w:val="28"/>
          <w:szCs w:val="28"/>
          <w:lang w:val="uk-UA"/>
        </w:rPr>
        <w:t>у</w:t>
      </w:r>
      <w:r w:rsidR="005F4937">
        <w:rPr>
          <w:sz w:val="28"/>
          <w:szCs w:val="28"/>
          <w:lang w:val="uk-UA"/>
        </w:rPr>
        <w:t xml:space="preserve"> до реєстраційн</w:t>
      </w:r>
      <w:r w:rsidR="00B77A14">
        <w:rPr>
          <w:sz w:val="28"/>
          <w:szCs w:val="28"/>
          <w:lang w:val="uk-UA"/>
        </w:rPr>
        <w:t>ого</w:t>
      </w:r>
      <w:r w:rsidR="005F4937">
        <w:rPr>
          <w:sz w:val="28"/>
          <w:szCs w:val="28"/>
          <w:lang w:val="uk-UA"/>
        </w:rPr>
        <w:t xml:space="preserve"> посвідчен</w:t>
      </w:r>
      <w:r w:rsidR="00B77A14">
        <w:rPr>
          <w:sz w:val="28"/>
          <w:szCs w:val="28"/>
          <w:lang w:val="uk-UA"/>
        </w:rPr>
        <w:t>ня</w:t>
      </w:r>
      <w:r w:rsidR="005F4937">
        <w:rPr>
          <w:sz w:val="28"/>
          <w:szCs w:val="28"/>
          <w:lang w:val="uk-UA"/>
        </w:rPr>
        <w:t xml:space="preserve"> на лікарськ</w:t>
      </w:r>
      <w:r w:rsidR="00B77A14">
        <w:rPr>
          <w:sz w:val="28"/>
          <w:szCs w:val="28"/>
          <w:lang w:val="uk-UA"/>
        </w:rPr>
        <w:t>ий</w:t>
      </w:r>
      <w:r w:rsidR="005F4937">
        <w:rPr>
          <w:sz w:val="28"/>
          <w:szCs w:val="28"/>
          <w:lang w:val="uk-UA"/>
        </w:rPr>
        <w:t xml:space="preserve"> зас</w:t>
      </w:r>
      <w:r w:rsidR="00B77A14">
        <w:rPr>
          <w:sz w:val="28"/>
          <w:szCs w:val="28"/>
          <w:lang w:val="uk-UA"/>
        </w:rPr>
        <w:t>і</w:t>
      </w:r>
      <w:r w:rsidR="005F4937">
        <w:rPr>
          <w:sz w:val="28"/>
          <w:szCs w:val="28"/>
          <w:lang w:val="uk-UA"/>
        </w:rPr>
        <w:t xml:space="preserve">б згідно із </w:t>
      </w:r>
      <w:r w:rsidR="004F687C">
        <w:rPr>
          <w:sz w:val="28"/>
          <w:szCs w:val="28"/>
          <w:lang w:val="uk-UA"/>
        </w:rPr>
        <w:t>П</w:t>
      </w:r>
      <w:r w:rsidR="005F4937">
        <w:rPr>
          <w:sz w:val="28"/>
          <w:szCs w:val="28"/>
          <w:lang w:val="uk-UA"/>
        </w:rPr>
        <w:t>ереліком</w:t>
      </w:r>
      <w:r w:rsidR="00267C15">
        <w:rPr>
          <w:sz w:val="28"/>
          <w:szCs w:val="28"/>
          <w:lang w:val="uk-UA"/>
        </w:rPr>
        <w:t xml:space="preserve"> </w:t>
      </w:r>
      <w:r w:rsidR="00267C15" w:rsidRPr="00267C15">
        <w:rPr>
          <w:sz w:val="28"/>
          <w:szCs w:val="28"/>
          <w:lang w:val="uk-UA"/>
        </w:rPr>
        <w:t>перереєстрованих лікарських засобів, до реєстраційних посвідчень яких внесено зміни</w:t>
      </w:r>
      <w:r w:rsidR="00267C15">
        <w:rPr>
          <w:sz w:val="28"/>
          <w:szCs w:val="28"/>
          <w:lang w:val="uk-UA"/>
        </w:rPr>
        <w:t xml:space="preserve"> </w:t>
      </w:r>
      <w:r w:rsidR="00267C15" w:rsidRPr="00267C15">
        <w:rPr>
          <w:sz w:val="28"/>
          <w:szCs w:val="28"/>
          <w:lang w:val="uk-UA"/>
        </w:rPr>
        <w:t>та встановлено необмежений термін їх дії</w:t>
      </w:r>
      <w:r w:rsidR="005F4937">
        <w:rPr>
          <w:sz w:val="28"/>
          <w:szCs w:val="28"/>
          <w:lang w:val="uk-UA"/>
        </w:rPr>
        <w:t>, що додається</w:t>
      </w:r>
      <w:r w:rsidR="004C4CE7">
        <w:rPr>
          <w:sz w:val="28"/>
          <w:szCs w:val="28"/>
          <w:lang w:val="uk-UA"/>
        </w:rPr>
        <w:t xml:space="preserve">, </w:t>
      </w:r>
      <w:r w:rsidR="004F687C">
        <w:rPr>
          <w:sz w:val="28"/>
          <w:szCs w:val="28"/>
          <w:lang w:val="uk-UA"/>
        </w:rPr>
        <w:t>та</w:t>
      </w:r>
      <w:r w:rsidR="005F4937">
        <w:rPr>
          <w:sz w:val="28"/>
          <w:szCs w:val="28"/>
          <w:lang w:val="uk-UA"/>
        </w:rPr>
        <w:t xml:space="preserve"> </w:t>
      </w:r>
      <w:r w:rsidR="004C4CE7">
        <w:rPr>
          <w:sz w:val="28"/>
          <w:szCs w:val="28"/>
          <w:lang w:val="uk-UA"/>
        </w:rPr>
        <w:t xml:space="preserve">встановити </w:t>
      </w:r>
      <w:r w:rsidR="004F687C">
        <w:rPr>
          <w:sz w:val="28"/>
          <w:szCs w:val="28"/>
          <w:lang w:val="uk-UA"/>
        </w:rPr>
        <w:t xml:space="preserve">необмежений </w:t>
      </w:r>
      <w:r w:rsidR="004C4CE7">
        <w:rPr>
          <w:sz w:val="28"/>
          <w:szCs w:val="28"/>
          <w:lang w:val="uk-UA"/>
        </w:rPr>
        <w:t>т</w:t>
      </w:r>
      <w:r w:rsidR="004C4CE7" w:rsidRPr="004C4CE7">
        <w:rPr>
          <w:sz w:val="28"/>
          <w:szCs w:val="28"/>
          <w:lang w:val="uk-UA"/>
        </w:rPr>
        <w:t xml:space="preserve">ермін </w:t>
      </w:r>
      <w:r w:rsidR="00B77A14">
        <w:rPr>
          <w:sz w:val="28"/>
          <w:szCs w:val="28"/>
          <w:lang w:val="uk-UA"/>
        </w:rPr>
        <w:t>його</w:t>
      </w:r>
      <w:r w:rsidR="004F687C">
        <w:rPr>
          <w:sz w:val="28"/>
          <w:szCs w:val="28"/>
          <w:lang w:val="uk-UA"/>
        </w:rPr>
        <w:t xml:space="preserve"> </w:t>
      </w:r>
      <w:r w:rsidR="004C4CE7" w:rsidRPr="004C4CE7">
        <w:rPr>
          <w:sz w:val="28"/>
          <w:szCs w:val="28"/>
          <w:lang w:val="uk-UA"/>
        </w:rPr>
        <w:t>дії</w:t>
      </w:r>
      <w:r w:rsidR="00DC5115" w:rsidRPr="00DC5115">
        <w:rPr>
          <w:sz w:val="28"/>
          <w:szCs w:val="28"/>
          <w:lang w:val="uk-UA"/>
        </w:rPr>
        <w:t>.</w:t>
      </w:r>
    </w:p>
    <w:p w:rsidR="00DC5115" w:rsidRPr="001D1DBF" w:rsidRDefault="00DC5115" w:rsidP="00573A68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DC5115" w:rsidRPr="00DC5115" w:rsidRDefault="00261360" w:rsidP="00573A68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C5115" w:rsidRPr="00DC5115">
        <w:rPr>
          <w:sz w:val="28"/>
          <w:szCs w:val="28"/>
          <w:lang w:val="uk-UA"/>
        </w:rPr>
        <w:t xml:space="preserve">. </w:t>
      </w:r>
      <w:r w:rsidR="005F4937">
        <w:rPr>
          <w:sz w:val="28"/>
          <w:szCs w:val="28"/>
          <w:lang w:val="uk-UA"/>
        </w:rPr>
        <w:t>Д</w:t>
      </w:r>
      <w:r w:rsidR="00E52414">
        <w:rPr>
          <w:sz w:val="28"/>
          <w:szCs w:val="28"/>
          <w:lang w:val="uk-UA"/>
        </w:rPr>
        <w:t xml:space="preserve">ержавному підприємству </w:t>
      </w:r>
      <w:r w:rsidR="005F4937">
        <w:rPr>
          <w:sz w:val="28"/>
          <w:szCs w:val="28"/>
          <w:lang w:val="uk-UA"/>
        </w:rPr>
        <w:t>«Державний експертний центр МОЗ України»</w:t>
      </w:r>
      <w:r w:rsidR="006C4CE1">
        <w:rPr>
          <w:sz w:val="28"/>
          <w:szCs w:val="28"/>
          <w:lang w:val="uk-UA"/>
        </w:rPr>
        <w:t xml:space="preserve"> (</w:t>
      </w:r>
      <w:r w:rsidR="00E33D60">
        <w:rPr>
          <w:sz w:val="28"/>
          <w:szCs w:val="28"/>
          <w:lang w:val="uk-UA"/>
        </w:rPr>
        <w:t>Михайло Бабенко</w:t>
      </w:r>
      <w:r w:rsidR="006C4CE1">
        <w:rPr>
          <w:sz w:val="28"/>
          <w:szCs w:val="28"/>
          <w:lang w:val="uk-UA"/>
        </w:rPr>
        <w:t>)</w:t>
      </w:r>
      <w:r w:rsidR="005F4937">
        <w:rPr>
          <w:sz w:val="28"/>
          <w:szCs w:val="28"/>
          <w:lang w:val="uk-UA"/>
        </w:rPr>
        <w:t xml:space="preserve"> </w:t>
      </w:r>
      <w:r w:rsidR="00DC5115" w:rsidRPr="00DC5115">
        <w:rPr>
          <w:sz w:val="28"/>
          <w:szCs w:val="28"/>
          <w:lang w:val="uk-UA"/>
        </w:rPr>
        <w:t>забезпечити:</w:t>
      </w:r>
    </w:p>
    <w:p w:rsidR="00DC5115" w:rsidRPr="001D1DBF" w:rsidRDefault="00DC5115" w:rsidP="009541FD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</w:p>
    <w:p w:rsidR="004C4CE7" w:rsidRDefault="00DC5115" w:rsidP="009541FD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DC5115">
        <w:rPr>
          <w:sz w:val="28"/>
          <w:szCs w:val="28"/>
          <w:lang w:val="uk-UA"/>
        </w:rPr>
        <w:t xml:space="preserve">1) </w:t>
      </w:r>
      <w:r w:rsidR="004C4CE7">
        <w:rPr>
          <w:sz w:val="28"/>
          <w:szCs w:val="28"/>
          <w:lang w:val="uk-UA"/>
        </w:rPr>
        <w:t>видачу вкладк</w:t>
      </w:r>
      <w:r w:rsidR="00261360">
        <w:rPr>
          <w:sz w:val="28"/>
          <w:szCs w:val="28"/>
          <w:lang w:val="uk-UA"/>
        </w:rPr>
        <w:t>и</w:t>
      </w:r>
      <w:r w:rsidR="004C4CE7">
        <w:rPr>
          <w:sz w:val="28"/>
          <w:szCs w:val="28"/>
          <w:lang w:val="uk-UA"/>
        </w:rPr>
        <w:t xml:space="preserve"> до реєстраційн</w:t>
      </w:r>
      <w:r w:rsidR="00261360">
        <w:rPr>
          <w:sz w:val="28"/>
          <w:szCs w:val="28"/>
          <w:lang w:val="uk-UA"/>
        </w:rPr>
        <w:t>ого</w:t>
      </w:r>
      <w:r w:rsidR="004C4CE7">
        <w:rPr>
          <w:sz w:val="28"/>
          <w:szCs w:val="28"/>
          <w:lang w:val="uk-UA"/>
        </w:rPr>
        <w:t xml:space="preserve"> посвідчен</w:t>
      </w:r>
      <w:r w:rsidR="00261360">
        <w:rPr>
          <w:sz w:val="28"/>
          <w:szCs w:val="28"/>
          <w:lang w:val="uk-UA"/>
        </w:rPr>
        <w:t>ня</w:t>
      </w:r>
      <w:r w:rsidR="004C4CE7">
        <w:rPr>
          <w:sz w:val="28"/>
          <w:szCs w:val="28"/>
          <w:lang w:val="uk-UA"/>
        </w:rPr>
        <w:t xml:space="preserve"> на лікарськ</w:t>
      </w:r>
      <w:r w:rsidR="00261360">
        <w:rPr>
          <w:sz w:val="28"/>
          <w:szCs w:val="28"/>
          <w:lang w:val="uk-UA"/>
        </w:rPr>
        <w:t>ий</w:t>
      </w:r>
      <w:r w:rsidR="004C4CE7">
        <w:rPr>
          <w:sz w:val="28"/>
          <w:szCs w:val="28"/>
          <w:lang w:val="uk-UA"/>
        </w:rPr>
        <w:t xml:space="preserve"> зас</w:t>
      </w:r>
      <w:r w:rsidR="00261360">
        <w:rPr>
          <w:sz w:val="28"/>
          <w:szCs w:val="28"/>
          <w:lang w:val="uk-UA"/>
        </w:rPr>
        <w:t>і</w:t>
      </w:r>
      <w:r w:rsidR="004C4CE7">
        <w:rPr>
          <w:sz w:val="28"/>
          <w:szCs w:val="28"/>
          <w:lang w:val="uk-UA"/>
        </w:rPr>
        <w:t xml:space="preserve">б згідно із </w:t>
      </w:r>
      <w:r w:rsidR="006C4CE1">
        <w:rPr>
          <w:sz w:val="28"/>
          <w:szCs w:val="28"/>
          <w:lang w:val="uk-UA"/>
        </w:rPr>
        <w:t>П</w:t>
      </w:r>
      <w:r w:rsidR="004C4CE7">
        <w:rPr>
          <w:sz w:val="28"/>
          <w:szCs w:val="28"/>
          <w:lang w:val="uk-UA"/>
        </w:rPr>
        <w:t>ереліком;</w:t>
      </w:r>
    </w:p>
    <w:p w:rsidR="004C4CE7" w:rsidRPr="001D1DBF" w:rsidRDefault="004C4CE7" w:rsidP="009541FD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</w:p>
    <w:p w:rsidR="00DC5115" w:rsidRDefault="00DC5115" w:rsidP="009541FD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DC5115">
        <w:rPr>
          <w:sz w:val="28"/>
          <w:szCs w:val="28"/>
          <w:lang w:val="uk-UA"/>
        </w:rPr>
        <w:t xml:space="preserve">2) </w:t>
      </w:r>
      <w:r w:rsidR="0055693E">
        <w:rPr>
          <w:sz w:val="28"/>
          <w:szCs w:val="28"/>
          <w:lang w:val="uk-UA"/>
        </w:rPr>
        <w:t xml:space="preserve">внести </w:t>
      </w:r>
      <w:r w:rsidR="004C4CE7">
        <w:rPr>
          <w:sz w:val="28"/>
          <w:szCs w:val="28"/>
          <w:lang w:val="uk-UA"/>
        </w:rPr>
        <w:t>відповідн</w:t>
      </w:r>
      <w:r w:rsidR="0055693E">
        <w:rPr>
          <w:sz w:val="28"/>
          <w:szCs w:val="28"/>
          <w:lang w:val="uk-UA"/>
        </w:rPr>
        <w:t>і</w:t>
      </w:r>
      <w:r w:rsidR="004C4CE7">
        <w:rPr>
          <w:sz w:val="28"/>
          <w:szCs w:val="28"/>
          <w:lang w:val="uk-UA"/>
        </w:rPr>
        <w:t xml:space="preserve"> </w:t>
      </w:r>
      <w:r w:rsidR="0055693E">
        <w:rPr>
          <w:sz w:val="28"/>
          <w:szCs w:val="28"/>
          <w:lang w:val="uk-UA"/>
        </w:rPr>
        <w:t xml:space="preserve">зміни </w:t>
      </w:r>
      <w:r w:rsidR="004C4CE7">
        <w:rPr>
          <w:sz w:val="28"/>
          <w:szCs w:val="28"/>
          <w:lang w:val="uk-UA"/>
        </w:rPr>
        <w:t xml:space="preserve">до </w:t>
      </w:r>
      <w:r w:rsidR="004C4CE7" w:rsidRPr="00DC5115">
        <w:rPr>
          <w:sz w:val="28"/>
          <w:szCs w:val="28"/>
          <w:lang w:val="uk-UA"/>
        </w:rPr>
        <w:t>Державного ре</w:t>
      </w:r>
      <w:r w:rsidR="004C4CE7">
        <w:rPr>
          <w:sz w:val="28"/>
          <w:szCs w:val="28"/>
          <w:lang w:val="uk-UA"/>
        </w:rPr>
        <w:t>єстру лікарських засобів України</w:t>
      </w:r>
      <w:r w:rsidRPr="00DC5115">
        <w:rPr>
          <w:sz w:val="28"/>
          <w:szCs w:val="28"/>
          <w:lang w:val="uk-UA"/>
        </w:rPr>
        <w:t>.</w:t>
      </w:r>
    </w:p>
    <w:p w:rsidR="009541FD" w:rsidRPr="001D1DBF" w:rsidRDefault="009541FD" w:rsidP="009541FD">
      <w:pPr>
        <w:tabs>
          <w:tab w:val="left" w:pos="993"/>
        </w:tabs>
        <w:ind w:firstLine="720"/>
        <w:jc w:val="both"/>
        <w:rPr>
          <w:sz w:val="16"/>
          <w:szCs w:val="16"/>
          <w:lang w:val="uk-UA"/>
        </w:rPr>
      </w:pPr>
    </w:p>
    <w:p w:rsidR="009541FD" w:rsidRPr="00DC5115" w:rsidRDefault="009541FD" w:rsidP="002646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264644">
        <w:rPr>
          <w:sz w:val="28"/>
          <w:szCs w:val="28"/>
          <w:lang w:val="uk-UA"/>
        </w:rPr>
        <w:t xml:space="preserve"> </w:t>
      </w:r>
      <w:r w:rsidRPr="009541FD">
        <w:rPr>
          <w:sz w:val="28"/>
          <w:szCs w:val="28"/>
          <w:lang w:val="uk-UA"/>
        </w:rPr>
        <w:t>Фармацевтичному управлінню (Іван Задворних) забезпечити оприлюднення цього наказу на офіційному вебсайті Міністерства охорони здоров’я України.</w:t>
      </w:r>
    </w:p>
    <w:p w:rsidR="00DC5115" w:rsidRPr="00DC5115" w:rsidRDefault="00DC5115" w:rsidP="00264644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  <w:lang w:val="uk-UA"/>
        </w:rPr>
      </w:pPr>
    </w:p>
    <w:p w:rsidR="00F203A5" w:rsidRPr="00DC5115" w:rsidRDefault="009541FD" w:rsidP="00264644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C5115" w:rsidRPr="00DC5115">
        <w:rPr>
          <w:sz w:val="28"/>
          <w:szCs w:val="28"/>
          <w:lang w:val="uk-UA"/>
        </w:rPr>
        <w:t xml:space="preserve">. </w:t>
      </w:r>
      <w:r w:rsidR="001D1DBF">
        <w:rPr>
          <w:sz w:val="28"/>
          <w:szCs w:val="28"/>
          <w:lang w:val="uk-UA"/>
        </w:rPr>
        <w:t xml:space="preserve"> </w:t>
      </w:r>
      <w:r w:rsidR="00DC5115" w:rsidRPr="00DC5115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E33D60">
        <w:rPr>
          <w:sz w:val="28"/>
          <w:szCs w:val="28"/>
          <w:lang w:val="uk-UA"/>
        </w:rPr>
        <w:t xml:space="preserve">першого </w:t>
      </w:r>
      <w:r w:rsidR="00DC5115" w:rsidRPr="00DC5115">
        <w:rPr>
          <w:sz w:val="28"/>
          <w:szCs w:val="28"/>
          <w:lang w:val="uk-UA"/>
        </w:rPr>
        <w:t xml:space="preserve">заступника Міністра </w:t>
      </w:r>
      <w:r w:rsidR="00E33D60">
        <w:rPr>
          <w:sz w:val="28"/>
          <w:szCs w:val="28"/>
          <w:lang w:val="uk-UA"/>
        </w:rPr>
        <w:t>Олександра Комаріду</w:t>
      </w:r>
      <w:r w:rsidR="00DC5115" w:rsidRPr="00DC5115">
        <w:rPr>
          <w:sz w:val="28"/>
          <w:szCs w:val="28"/>
          <w:lang w:val="uk-UA"/>
        </w:rPr>
        <w:t>.</w:t>
      </w:r>
    </w:p>
    <w:p w:rsidR="00C151A7" w:rsidRDefault="00C151A7" w:rsidP="001E2044">
      <w:pPr>
        <w:rPr>
          <w:b/>
          <w:sz w:val="28"/>
          <w:szCs w:val="28"/>
          <w:lang w:val="uk-UA"/>
        </w:rPr>
      </w:pPr>
    </w:p>
    <w:p w:rsidR="004C4CE7" w:rsidRDefault="004C4CE7" w:rsidP="001E2044">
      <w:pPr>
        <w:rPr>
          <w:b/>
          <w:sz w:val="28"/>
          <w:szCs w:val="28"/>
          <w:lang w:val="uk-UA"/>
        </w:rPr>
      </w:pPr>
    </w:p>
    <w:p w:rsidR="00F203A5" w:rsidRDefault="00732850" w:rsidP="001E20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B35563" w:rsidRPr="00AF3A96">
        <w:rPr>
          <w:b/>
          <w:sz w:val="28"/>
          <w:szCs w:val="28"/>
          <w:lang w:val="uk-UA"/>
        </w:rPr>
        <w:t>іністр</w:t>
      </w:r>
      <w:r w:rsidR="00773DFE">
        <w:rPr>
          <w:b/>
          <w:sz w:val="28"/>
          <w:szCs w:val="28"/>
          <w:lang w:val="uk-UA"/>
        </w:rPr>
        <w:t xml:space="preserve"> </w:t>
      </w:r>
      <w:r w:rsidR="00857BCA">
        <w:rPr>
          <w:b/>
          <w:sz w:val="28"/>
          <w:szCs w:val="28"/>
          <w:lang w:val="uk-UA"/>
        </w:rPr>
        <w:t xml:space="preserve"> </w:t>
      </w:r>
      <w:r w:rsidR="00B35563" w:rsidRPr="00AF3A96">
        <w:rPr>
          <w:b/>
          <w:sz w:val="28"/>
          <w:szCs w:val="28"/>
          <w:lang w:val="uk-UA"/>
        </w:rPr>
        <w:t xml:space="preserve">         </w:t>
      </w:r>
      <w:r w:rsidR="00E23F9C">
        <w:rPr>
          <w:b/>
          <w:sz w:val="28"/>
          <w:szCs w:val="28"/>
          <w:lang w:val="uk-UA"/>
        </w:rPr>
        <w:t xml:space="preserve">      </w:t>
      </w:r>
      <w:r w:rsidR="00B35563" w:rsidRPr="00AF3A96">
        <w:rPr>
          <w:b/>
          <w:sz w:val="28"/>
          <w:szCs w:val="28"/>
          <w:lang w:val="uk-UA"/>
        </w:rPr>
        <w:t xml:space="preserve">                 </w:t>
      </w:r>
      <w:r w:rsidR="009447C3">
        <w:rPr>
          <w:b/>
          <w:sz w:val="28"/>
          <w:szCs w:val="28"/>
          <w:lang w:val="uk-UA"/>
        </w:rPr>
        <w:t xml:space="preserve">                </w:t>
      </w:r>
      <w:r w:rsidR="000233DE">
        <w:rPr>
          <w:b/>
          <w:sz w:val="28"/>
          <w:szCs w:val="28"/>
          <w:lang w:val="uk-UA"/>
        </w:rPr>
        <w:t xml:space="preserve">        </w:t>
      </w:r>
      <w:r w:rsidR="009447C3">
        <w:rPr>
          <w:b/>
          <w:sz w:val="28"/>
          <w:szCs w:val="28"/>
          <w:lang w:val="uk-UA"/>
        </w:rPr>
        <w:t xml:space="preserve">            </w:t>
      </w:r>
      <w:r w:rsidR="00E23E2E">
        <w:rPr>
          <w:b/>
          <w:sz w:val="28"/>
          <w:szCs w:val="28"/>
          <w:lang w:val="uk-UA"/>
        </w:rPr>
        <w:t xml:space="preserve">              </w:t>
      </w:r>
      <w:r w:rsidR="00785597">
        <w:rPr>
          <w:b/>
          <w:sz w:val="28"/>
          <w:szCs w:val="28"/>
          <w:lang w:val="uk-UA"/>
        </w:rPr>
        <w:t xml:space="preserve">    </w:t>
      </w:r>
      <w:r w:rsidR="00E23E2E">
        <w:rPr>
          <w:b/>
          <w:sz w:val="28"/>
          <w:szCs w:val="28"/>
          <w:lang w:val="uk-UA"/>
        </w:rPr>
        <w:t xml:space="preserve">   </w:t>
      </w:r>
      <w:r w:rsidR="00E33D60">
        <w:rPr>
          <w:b/>
          <w:sz w:val="28"/>
          <w:szCs w:val="28"/>
          <w:lang w:val="uk-UA"/>
        </w:rPr>
        <w:t>Віктор ЛЯШКО</w:t>
      </w:r>
    </w:p>
    <w:p w:rsidR="0011233F" w:rsidRDefault="0011233F" w:rsidP="001E2044">
      <w:pPr>
        <w:rPr>
          <w:b/>
          <w:sz w:val="28"/>
          <w:szCs w:val="28"/>
          <w:lang w:val="uk-UA"/>
        </w:rPr>
        <w:sectPr w:rsidR="0011233F" w:rsidSect="005146D5">
          <w:headerReference w:type="even" r:id="rId8"/>
          <w:headerReference w:type="default" r:id="rId9"/>
          <w:footerReference w:type="even" r:id="rId10"/>
          <w:pgSz w:w="11906" w:h="16838"/>
          <w:pgMar w:top="902" w:right="567" w:bottom="1134" w:left="1701" w:header="709" w:footer="709" w:gutter="0"/>
          <w:cols w:space="708"/>
          <w:titlePg/>
          <w:docGrid w:linePitch="360"/>
        </w:sectPr>
      </w:pPr>
    </w:p>
    <w:p w:rsidR="0011233F" w:rsidRPr="00BF6FD4" w:rsidRDefault="0011233F" w:rsidP="00BF6FD4">
      <w:pPr>
        <w:pStyle w:val="4"/>
        <w:tabs>
          <w:tab w:val="left" w:pos="12600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 w:rsidRPr="00BF6FD4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BF6FD4">
        <w:rPr>
          <w:rFonts w:ascii="Arial" w:hAnsi="Arial" w:cs="Arial"/>
          <w:sz w:val="18"/>
          <w:szCs w:val="18"/>
          <w:lang w:val="uk-UA"/>
        </w:rPr>
        <w:t xml:space="preserve"> </w:t>
      </w:r>
      <w:r w:rsidRPr="00BF6FD4">
        <w:rPr>
          <w:rFonts w:ascii="Arial" w:hAnsi="Arial" w:cs="Arial"/>
          <w:sz w:val="18"/>
          <w:szCs w:val="18"/>
        </w:rPr>
        <w:t xml:space="preserve">Додаток </w:t>
      </w:r>
    </w:p>
    <w:p w:rsidR="0011233F" w:rsidRPr="00BF6FD4" w:rsidRDefault="0011233F" w:rsidP="00BF6FD4">
      <w:pPr>
        <w:pStyle w:val="4"/>
        <w:tabs>
          <w:tab w:val="left" w:pos="12600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 w:rsidRPr="00BF6F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F6FD4">
        <w:rPr>
          <w:rFonts w:ascii="Arial" w:hAnsi="Arial" w:cs="Arial"/>
          <w:sz w:val="18"/>
          <w:szCs w:val="18"/>
        </w:rPr>
        <w:t xml:space="preserve">                                </w:t>
      </w:r>
      <w:r w:rsidRPr="00BF6FD4">
        <w:rPr>
          <w:rFonts w:ascii="Arial" w:hAnsi="Arial" w:cs="Arial"/>
          <w:sz w:val="18"/>
          <w:szCs w:val="18"/>
        </w:rPr>
        <w:t>до наказу Міністерства охорони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здоров’я України «Про внесення 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змін до додатка 2 до наказу 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Міністерства охорони здоров’я 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України від 13 травня 2020 року № 1128   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та реєстраційних посвідчень на </w:t>
      </w:r>
    </w:p>
    <w:p w:rsidR="0011233F" w:rsidRPr="00BF6FD4" w:rsidRDefault="0011233F" w:rsidP="00BF6FD4">
      <w:pPr>
        <w:tabs>
          <w:tab w:val="left" w:pos="12600"/>
        </w:tabs>
        <w:jc w:val="both"/>
        <w:rPr>
          <w:rFonts w:ascii="Arial" w:hAnsi="Arial" w:cs="Arial"/>
          <w:b/>
          <w:sz w:val="18"/>
          <w:szCs w:val="18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лікарські засоби»</w:t>
      </w:r>
    </w:p>
    <w:p w:rsidR="0011233F" w:rsidRPr="00BF6FD4" w:rsidRDefault="0011233F" w:rsidP="00BF6FD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F6FD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BF6FD4">
        <w:rPr>
          <w:rFonts w:ascii="Arial" w:hAnsi="Arial" w:cs="Arial"/>
          <w:b/>
          <w:sz w:val="18"/>
          <w:szCs w:val="18"/>
          <w:u w:val="single"/>
        </w:rPr>
        <w:t>від 13 січня 2023 року № 78</w:t>
      </w:r>
    </w:p>
    <w:p w:rsidR="0011233F" w:rsidRPr="000F2DEF" w:rsidRDefault="0011233F" w:rsidP="0011233F">
      <w:pPr>
        <w:jc w:val="center"/>
        <w:rPr>
          <w:sz w:val="28"/>
          <w:szCs w:val="28"/>
        </w:rPr>
      </w:pPr>
    </w:p>
    <w:p w:rsidR="0011233F" w:rsidRPr="0002388B" w:rsidRDefault="0011233F" w:rsidP="0011233F">
      <w:pPr>
        <w:jc w:val="center"/>
        <w:rPr>
          <w:b/>
          <w:sz w:val="28"/>
          <w:szCs w:val="28"/>
        </w:rPr>
      </w:pPr>
      <w:r w:rsidRPr="0002388B">
        <w:rPr>
          <w:b/>
          <w:sz w:val="28"/>
          <w:szCs w:val="28"/>
        </w:rPr>
        <w:t>ПЕРЕЛІК</w:t>
      </w:r>
    </w:p>
    <w:p w:rsidR="0011233F" w:rsidRPr="0002388B" w:rsidRDefault="0011233F" w:rsidP="0011233F">
      <w:pPr>
        <w:jc w:val="center"/>
        <w:rPr>
          <w:b/>
          <w:sz w:val="28"/>
          <w:szCs w:val="28"/>
        </w:rPr>
      </w:pPr>
      <w:r w:rsidRPr="0002388B">
        <w:rPr>
          <w:b/>
          <w:sz w:val="28"/>
          <w:szCs w:val="28"/>
        </w:rPr>
        <w:t>перереєстрованих  лікарських засобів</w:t>
      </w:r>
      <w:r>
        <w:rPr>
          <w:b/>
          <w:sz w:val="28"/>
          <w:szCs w:val="28"/>
        </w:rPr>
        <w:t>,</w:t>
      </w:r>
      <w:r w:rsidRPr="0002388B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 xml:space="preserve">реєстраційних посвідчень яких </w:t>
      </w:r>
      <w:r w:rsidRPr="0002388B">
        <w:rPr>
          <w:b/>
          <w:sz w:val="28"/>
          <w:szCs w:val="28"/>
        </w:rPr>
        <w:t xml:space="preserve">внесено зміни </w:t>
      </w:r>
    </w:p>
    <w:p w:rsidR="0011233F" w:rsidRPr="0002388B" w:rsidRDefault="0011233F" w:rsidP="00112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встановлено необмежений термін їх дії</w:t>
      </w:r>
    </w:p>
    <w:p w:rsidR="0011233F" w:rsidRDefault="0011233F" w:rsidP="0011233F">
      <w:pPr>
        <w:jc w:val="center"/>
        <w:rPr>
          <w:sz w:val="28"/>
          <w:szCs w:val="28"/>
        </w:rPr>
      </w:pPr>
    </w:p>
    <w:tbl>
      <w:tblPr>
        <w:tblW w:w="1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80"/>
        <w:gridCol w:w="6713"/>
        <w:gridCol w:w="1905"/>
        <w:gridCol w:w="1905"/>
        <w:gridCol w:w="2274"/>
      </w:tblGrid>
      <w:tr w:rsidR="0011233F" w:rsidRPr="001C7B1E" w:rsidTr="00853CD2">
        <w:tc>
          <w:tcPr>
            <w:tcW w:w="629" w:type="dxa"/>
            <w:shd w:val="clear" w:color="auto" w:fill="auto"/>
          </w:tcPr>
          <w:p w:rsidR="0011233F" w:rsidRPr="001C7B1E" w:rsidRDefault="0011233F" w:rsidP="00853CD2">
            <w:pPr>
              <w:jc w:val="center"/>
              <w:rPr>
                <w:b/>
              </w:rPr>
            </w:pPr>
            <w:r w:rsidRPr="001C7B1E">
              <w:rPr>
                <w:b/>
              </w:rPr>
              <w:t>№ п/п</w:t>
            </w:r>
          </w:p>
        </w:tc>
        <w:tc>
          <w:tcPr>
            <w:tcW w:w="1980" w:type="dxa"/>
            <w:shd w:val="clear" w:color="auto" w:fill="auto"/>
          </w:tcPr>
          <w:p w:rsidR="0011233F" w:rsidRPr="001C7B1E" w:rsidRDefault="0011233F" w:rsidP="00853CD2">
            <w:pPr>
              <w:jc w:val="center"/>
              <w:rPr>
                <w:b/>
              </w:rPr>
            </w:pPr>
            <w:r w:rsidRPr="001C7B1E">
              <w:rPr>
                <w:b/>
              </w:rPr>
              <w:t>Назва лікарського засобу</w:t>
            </w:r>
          </w:p>
        </w:tc>
        <w:tc>
          <w:tcPr>
            <w:tcW w:w="6713" w:type="dxa"/>
            <w:shd w:val="clear" w:color="auto" w:fill="auto"/>
          </w:tcPr>
          <w:p w:rsidR="0011233F" w:rsidRPr="001C7B1E" w:rsidRDefault="0011233F" w:rsidP="00853CD2">
            <w:pPr>
              <w:jc w:val="center"/>
              <w:rPr>
                <w:b/>
              </w:rPr>
            </w:pPr>
            <w:r w:rsidRPr="001C7B1E">
              <w:rPr>
                <w:b/>
              </w:rPr>
              <w:t>Форма випуску</w:t>
            </w: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  <w:rPr>
                <w:b/>
              </w:rPr>
            </w:pPr>
            <w:r w:rsidRPr="001C7B1E">
              <w:rPr>
                <w:b/>
              </w:rPr>
              <w:t>Виробник</w:t>
            </w: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  <w:rPr>
                <w:b/>
              </w:rPr>
            </w:pPr>
            <w:r w:rsidRPr="001C7B1E">
              <w:rPr>
                <w:b/>
              </w:rPr>
              <w:t>Заявник</w:t>
            </w:r>
          </w:p>
        </w:tc>
        <w:tc>
          <w:tcPr>
            <w:tcW w:w="2274" w:type="dxa"/>
            <w:shd w:val="clear" w:color="auto" w:fill="auto"/>
          </w:tcPr>
          <w:p w:rsidR="0011233F" w:rsidRPr="001C7B1E" w:rsidRDefault="0011233F" w:rsidP="00113551">
            <w:pPr>
              <w:jc w:val="center"/>
              <w:rPr>
                <w:b/>
              </w:rPr>
            </w:pPr>
            <w:r w:rsidRPr="001C7B1E">
              <w:rPr>
                <w:b/>
              </w:rPr>
              <w:t>Номер реєстраційного посвідчення</w:t>
            </w:r>
          </w:p>
        </w:tc>
      </w:tr>
      <w:tr w:rsidR="0011233F" w:rsidRPr="001C7B1E" w:rsidTr="00853CD2">
        <w:tc>
          <w:tcPr>
            <w:tcW w:w="629" w:type="dxa"/>
            <w:shd w:val="clear" w:color="auto" w:fill="auto"/>
          </w:tcPr>
          <w:p w:rsidR="0011233F" w:rsidRPr="001C7B1E" w:rsidRDefault="0011233F" w:rsidP="00853CD2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1233F" w:rsidRPr="001C7B1E" w:rsidRDefault="0011233F" w:rsidP="00853CD2">
            <w:pPr>
              <w:jc w:val="center"/>
            </w:pPr>
          </w:p>
        </w:tc>
        <w:tc>
          <w:tcPr>
            <w:tcW w:w="6713" w:type="dxa"/>
            <w:shd w:val="clear" w:color="auto" w:fill="auto"/>
          </w:tcPr>
          <w:p w:rsidR="0011233F" w:rsidRPr="001C7B1E" w:rsidRDefault="0011233F" w:rsidP="00853CD2">
            <w:pPr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</w:pPr>
          </w:p>
        </w:tc>
        <w:tc>
          <w:tcPr>
            <w:tcW w:w="2274" w:type="dxa"/>
            <w:shd w:val="clear" w:color="auto" w:fill="auto"/>
          </w:tcPr>
          <w:p w:rsidR="0011233F" w:rsidRPr="001C7B1E" w:rsidRDefault="0011233F" w:rsidP="00113551">
            <w:pPr>
              <w:jc w:val="center"/>
            </w:pPr>
          </w:p>
        </w:tc>
      </w:tr>
      <w:tr w:rsidR="0011233F" w:rsidRPr="001C7B1E" w:rsidTr="00853CD2">
        <w:tc>
          <w:tcPr>
            <w:tcW w:w="629" w:type="dxa"/>
            <w:shd w:val="clear" w:color="auto" w:fill="auto"/>
          </w:tcPr>
          <w:p w:rsidR="0011233F" w:rsidRPr="001C7B1E" w:rsidRDefault="0011233F" w:rsidP="00853CD2">
            <w:pPr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1233F" w:rsidRPr="00267E41" w:rsidRDefault="0011233F" w:rsidP="00853CD2">
            <w:pPr>
              <w:rPr>
                <w:b/>
                <w:bCs/>
                <w:shd w:val="clear" w:color="auto" w:fill="FFFFFF"/>
              </w:rPr>
            </w:pPr>
            <w:r w:rsidRPr="00267E41">
              <w:rPr>
                <w:b/>
                <w:bCs/>
                <w:shd w:val="clear" w:color="auto" w:fill="FFFFFF"/>
              </w:rPr>
              <w:t>ЦЕФОТАКСИМ</w:t>
            </w:r>
          </w:p>
        </w:tc>
        <w:tc>
          <w:tcPr>
            <w:tcW w:w="6713" w:type="dxa"/>
            <w:shd w:val="clear" w:color="auto" w:fill="auto"/>
          </w:tcPr>
          <w:p w:rsidR="0011233F" w:rsidRPr="001C7B1E" w:rsidRDefault="0011233F" w:rsidP="00853CD2">
            <w:pPr>
              <w:jc w:val="both"/>
              <w:rPr>
                <w:rStyle w:val="stit"/>
                <w:shd w:val="clear" w:color="auto" w:fill="FFFFFF"/>
              </w:rPr>
            </w:pPr>
            <w:r w:rsidRPr="00E1279E">
              <w:rPr>
                <w:rStyle w:val="stit"/>
                <w:shd w:val="clear" w:color="auto" w:fill="FFFFFF"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  <w:rPr>
                <w:shd w:val="clear" w:color="auto" w:fill="FFFFFF"/>
              </w:rPr>
            </w:pPr>
            <w:r w:rsidRPr="00E1279E">
              <w:rPr>
                <w:shd w:val="clear" w:color="auto" w:fill="FFFFFF"/>
              </w:rPr>
              <w:t>ПАТ "Київмедпрепарат", Україна</w:t>
            </w:r>
          </w:p>
        </w:tc>
        <w:tc>
          <w:tcPr>
            <w:tcW w:w="1905" w:type="dxa"/>
            <w:shd w:val="clear" w:color="auto" w:fill="auto"/>
          </w:tcPr>
          <w:p w:rsidR="0011233F" w:rsidRPr="001C7B1E" w:rsidRDefault="0011233F" w:rsidP="00113551">
            <w:pPr>
              <w:jc w:val="center"/>
              <w:rPr>
                <w:shd w:val="clear" w:color="auto" w:fill="FFFFFF"/>
              </w:rPr>
            </w:pPr>
            <w:r w:rsidRPr="00E1279E">
              <w:rPr>
                <w:shd w:val="clear" w:color="auto" w:fill="FFFFFF"/>
              </w:rPr>
              <w:t>ПАТ "Київмедпрепарат", Україна</w:t>
            </w:r>
          </w:p>
        </w:tc>
        <w:tc>
          <w:tcPr>
            <w:tcW w:w="2274" w:type="dxa"/>
            <w:shd w:val="clear" w:color="auto" w:fill="auto"/>
          </w:tcPr>
          <w:p w:rsidR="0011233F" w:rsidRPr="001C7B1E" w:rsidRDefault="0011233F" w:rsidP="00113551">
            <w:pPr>
              <w:jc w:val="center"/>
            </w:pPr>
            <w:r w:rsidRPr="00E1279E">
              <w:t>UA/14375/01/01</w:t>
            </w:r>
          </w:p>
        </w:tc>
      </w:tr>
    </w:tbl>
    <w:p w:rsidR="0011233F" w:rsidRDefault="0011233F" w:rsidP="0011233F">
      <w:pPr>
        <w:jc w:val="center"/>
        <w:rPr>
          <w:sz w:val="28"/>
          <w:szCs w:val="28"/>
          <w:lang w:val="en-US"/>
        </w:rPr>
      </w:pPr>
    </w:p>
    <w:p w:rsidR="0011233F" w:rsidRDefault="0011233F" w:rsidP="0011233F">
      <w:pPr>
        <w:jc w:val="center"/>
        <w:rPr>
          <w:sz w:val="28"/>
          <w:szCs w:val="28"/>
          <w:lang w:val="en-US"/>
        </w:rPr>
      </w:pPr>
    </w:p>
    <w:p w:rsidR="0011233F" w:rsidRDefault="0011233F" w:rsidP="0011233F">
      <w:pPr>
        <w:rPr>
          <w:b/>
          <w:bCs/>
          <w:sz w:val="28"/>
          <w:szCs w:val="28"/>
        </w:rPr>
      </w:pPr>
      <w:r w:rsidRPr="003539E0">
        <w:rPr>
          <w:b/>
          <w:bCs/>
          <w:sz w:val="28"/>
          <w:szCs w:val="28"/>
        </w:rPr>
        <w:t>Начал</w:t>
      </w:r>
      <w:r>
        <w:rPr>
          <w:b/>
          <w:bCs/>
          <w:sz w:val="28"/>
          <w:szCs w:val="28"/>
        </w:rPr>
        <w:t>ь</w:t>
      </w:r>
      <w:r w:rsidRPr="003539E0">
        <w:rPr>
          <w:b/>
          <w:bCs/>
          <w:sz w:val="28"/>
          <w:szCs w:val="28"/>
        </w:rPr>
        <w:t>ник</w:t>
      </w:r>
    </w:p>
    <w:p w:rsidR="0011233F" w:rsidRPr="00E87646" w:rsidRDefault="0011233F" w:rsidP="0011233F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Фармацевтичного управління</w:t>
      </w:r>
      <w:r w:rsidRPr="003539E0">
        <w:rPr>
          <w:b/>
          <w:bCs/>
          <w:sz w:val="28"/>
          <w:szCs w:val="28"/>
        </w:rPr>
        <w:t xml:space="preserve"> </w:t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 w:rsidRPr="00E8764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</w:t>
      </w:r>
      <w:r w:rsidRPr="00E87646">
        <w:rPr>
          <w:b/>
          <w:sz w:val="28"/>
          <w:szCs w:val="28"/>
        </w:rPr>
        <w:tab/>
      </w:r>
      <w:r>
        <w:rPr>
          <w:b/>
          <w:sz w:val="28"/>
          <w:szCs w:val="28"/>
        </w:rPr>
        <w:t>Іван ЗАДВОРНИХ</w:t>
      </w:r>
    </w:p>
    <w:p w:rsidR="0011233F" w:rsidRDefault="0011233F" w:rsidP="001E2044">
      <w:pPr>
        <w:rPr>
          <w:b/>
          <w:sz w:val="28"/>
          <w:szCs w:val="28"/>
          <w:lang w:val="uk-UA"/>
        </w:rPr>
      </w:pPr>
    </w:p>
    <w:sectPr w:rsidR="0011233F" w:rsidSect="00853CD2">
      <w:headerReference w:type="even" r:id="rId11"/>
      <w:headerReference w:type="default" r:id="rId12"/>
      <w:pgSz w:w="16838" w:h="11906" w:orient="landscape"/>
      <w:pgMar w:top="1135" w:right="53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F1" w:rsidRDefault="00254FF1">
      <w:r>
        <w:separator/>
      </w:r>
    </w:p>
  </w:endnote>
  <w:endnote w:type="continuationSeparator" w:id="0">
    <w:p w:rsidR="00254FF1" w:rsidRDefault="0025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CB" w:rsidRDefault="00FF1DCB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F1DCB" w:rsidRDefault="00FF1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F1" w:rsidRDefault="00254FF1">
      <w:r>
        <w:separator/>
      </w:r>
    </w:p>
  </w:footnote>
  <w:footnote w:type="continuationSeparator" w:id="0">
    <w:p w:rsidR="00254FF1" w:rsidRDefault="0025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CB" w:rsidRDefault="00FF1DCB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F1DCB" w:rsidRDefault="00FF1D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CB" w:rsidRDefault="00FF1DCB" w:rsidP="00E551B1">
    <w:pPr>
      <w:pStyle w:val="a3"/>
      <w:framePr w:wrap="around" w:vAnchor="text" w:hAnchor="margin" w:xAlign="center" w:y="1"/>
      <w:jc w:val="center"/>
      <w:rPr>
        <w:rStyle w:val="a7"/>
        <w:lang w:val="uk-UA"/>
      </w:rPr>
    </w:pPr>
  </w:p>
  <w:p w:rsidR="00FF1DCB" w:rsidRDefault="00FF1DCB" w:rsidP="008230F9">
    <w:pPr>
      <w:pStyle w:val="a3"/>
      <w:framePr w:wrap="around" w:vAnchor="text" w:hAnchor="margin" w:xAlign="center" w:y="1"/>
      <w:jc w:val="center"/>
      <w:rPr>
        <w:rStyle w:val="a7"/>
        <w:lang w:val="uk-U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4006">
      <w:rPr>
        <w:rStyle w:val="a7"/>
        <w:noProof/>
      </w:rPr>
      <w:t>2</w:t>
    </w:r>
    <w:r>
      <w:rPr>
        <w:rStyle w:val="a7"/>
      </w:rPr>
      <w:fldChar w:fldCharType="end"/>
    </w:r>
  </w:p>
  <w:p w:rsidR="00FF1DCB" w:rsidRPr="008230F9" w:rsidRDefault="00FF1DCB" w:rsidP="008230F9">
    <w:pPr>
      <w:pStyle w:val="a3"/>
      <w:framePr w:wrap="around" w:vAnchor="text" w:hAnchor="margin" w:xAlign="center" w:y="1"/>
      <w:jc w:val="center"/>
      <w:rPr>
        <w:rStyle w:val="a7"/>
        <w:lang w:val="uk-UA"/>
      </w:rPr>
    </w:pPr>
  </w:p>
  <w:p w:rsidR="00FF1DCB" w:rsidRPr="00536584" w:rsidRDefault="00FF1DCB" w:rsidP="00E551B1">
    <w:pPr>
      <w:pStyle w:val="a3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2" w:rsidRDefault="00853CD2" w:rsidP="00853C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3CD2" w:rsidRDefault="00853CD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2" w:rsidRDefault="00853CD2" w:rsidP="00853C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53CD2" w:rsidRDefault="00853C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16E2"/>
    <w:multiLevelType w:val="hybridMultilevel"/>
    <w:tmpl w:val="1F30F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D9C"/>
    <w:rsid w:val="00001DC3"/>
    <w:rsid w:val="00011A92"/>
    <w:rsid w:val="000233DE"/>
    <w:rsid w:val="00023588"/>
    <w:rsid w:val="00024892"/>
    <w:rsid w:val="00030CC9"/>
    <w:rsid w:val="000320D5"/>
    <w:rsid w:val="00047F67"/>
    <w:rsid w:val="00050171"/>
    <w:rsid w:val="000529E2"/>
    <w:rsid w:val="00052BC5"/>
    <w:rsid w:val="00075906"/>
    <w:rsid w:val="00091B78"/>
    <w:rsid w:val="00093C62"/>
    <w:rsid w:val="0009493B"/>
    <w:rsid w:val="00096186"/>
    <w:rsid w:val="000A5C00"/>
    <w:rsid w:val="000B65C2"/>
    <w:rsid w:val="000C501A"/>
    <w:rsid w:val="000F0C8F"/>
    <w:rsid w:val="000F256F"/>
    <w:rsid w:val="001010D5"/>
    <w:rsid w:val="0011233F"/>
    <w:rsid w:val="00113551"/>
    <w:rsid w:val="0011494F"/>
    <w:rsid w:val="001171EE"/>
    <w:rsid w:val="00122E73"/>
    <w:rsid w:val="00131A81"/>
    <w:rsid w:val="001349B9"/>
    <w:rsid w:val="00134DC7"/>
    <w:rsid w:val="00163213"/>
    <w:rsid w:val="00170CF3"/>
    <w:rsid w:val="001A494C"/>
    <w:rsid w:val="001B286F"/>
    <w:rsid w:val="001C69BB"/>
    <w:rsid w:val="001D1DBF"/>
    <w:rsid w:val="001E2044"/>
    <w:rsid w:val="001F276E"/>
    <w:rsid w:val="001F3BAE"/>
    <w:rsid w:val="00222631"/>
    <w:rsid w:val="00235A19"/>
    <w:rsid w:val="00241297"/>
    <w:rsid w:val="00254FF1"/>
    <w:rsid w:val="00261360"/>
    <w:rsid w:val="00264644"/>
    <w:rsid w:val="00267C15"/>
    <w:rsid w:val="002701A6"/>
    <w:rsid w:val="00282B96"/>
    <w:rsid w:val="002A0645"/>
    <w:rsid w:val="002A27A5"/>
    <w:rsid w:val="002B0823"/>
    <w:rsid w:val="002D5713"/>
    <w:rsid w:val="002E0CD9"/>
    <w:rsid w:val="002E2B4E"/>
    <w:rsid w:val="003007DB"/>
    <w:rsid w:val="00311919"/>
    <w:rsid w:val="00311ED2"/>
    <w:rsid w:val="00330923"/>
    <w:rsid w:val="00345FA2"/>
    <w:rsid w:val="00347267"/>
    <w:rsid w:val="00361C81"/>
    <w:rsid w:val="00364599"/>
    <w:rsid w:val="00380415"/>
    <w:rsid w:val="00397037"/>
    <w:rsid w:val="003A1094"/>
    <w:rsid w:val="003A2974"/>
    <w:rsid w:val="003B5783"/>
    <w:rsid w:val="003C1F21"/>
    <w:rsid w:val="003E22F9"/>
    <w:rsid w:val="003E456D"/>
    <w:rsid w:val="003F44E8"/>
    <w:rsid w:val="00415576"/>
    <w:rsid w:val="00433121"/>
    <w:rsid w:val="0043464E"/>
    <w:rsid w:val="00442BD8"/>
    <w:rsid w:val="00445D4F"/>
    <w:rsid w:val="00467DB3"/>
    <w:rsid w:val="00471718"/>
    <w:rsid w:val="00477A17"/>
    <w:rsid w:val="004979C4"/>
    <w:rsid w:val="004B37FD"/>
    <w:rsid w:val="004C4CE7"/>
    <w:rsid w:val="004C4E79"/>
    <w:rsid w:val="004C5FD8"/>
    <w:rsid w:val="004C6A15"/>
    <w:rsid w:val="004D21F3"/>
    <w:rsid w:val="004E602C"/>
    <w:rsid w:val="004F687C"/>
    <w:rsid w:val="00512F0C"/>
    <w:rsid w:val="005146D5"/>
    <w:rsid w:val="005171D3"/>
    <w:rsid w:val="0052032F"/>
    <w:rsid w:val="00531AD3"/>
    <w:rsid w:val="00536584"/>
    <w:rsid w:val="005516ED"/>
    <w:rsid w:val="0055693E"/>
    <w:rsid w:val="00570613"/>
    <w:rsid w:val="00573A68"/>
    <w:rsid w:val="0058080D"/>
    <w:rsid w:val="00584DB1"/>
    <w:rsid w:val="005A2596"/>
    <w:rsid w:val="005C0947"/>
    <w:rsid w:val="005C4F71"/>
    <w:rsid w:val="005F21C4"/>
    <w:rsid w:val="005F28A5"/>
    <w:rsid w:val="005F2F9C"/>
    <w:rsid w:val="005F4937"/>
    <w:rsid w:val="005F63F5"/>
    <w:rsid w:val="0061214A"/>
    <w:rsid w:val="00616EE8"/>
    <w:rsid w:val="006302FB"/>
    <w:rsid w:val="00632091"/>
    <w:rsid w:val="00640BD1"/>
    <w:rsid w:val="006643B1"/>
    <w:rsid w:val="00696319"/>
    <w:rsid w:val="006A21C6"/>
    <w:rsid w:val="006B27C1"/>
    <w:rsid w:val="006B35F4"/>
    <w:rsid w:val="006C4CE1"/>
    <w:rsid w:val="006C5DD1"/>
    <w:rsid w:val="006C726F"/>
    <w:rsid w:val="006D7C2B"/>
    <w:rsid w:val="006E11DF"/>
    <w:rsid w:val="006E2D9C"/>
    <w:rsid w:val="006E5466"/>
    <w:rsid w:val="006F37C2"/>
    <w:rsid w:val="006F3A81"/>
    <w:rsid w:val="006F66DB"/>
    <w:rsid w:val="00723AA4"/>
    <w:rsid w:val="007256E4"/>
    <w:rsid w:val="00732850"/>
    <w:rsid w:val="0076260F"/>
    <w:rsid w:val="00767E1F"/>
    <w:rsid w:val="00770625"/>
    <w:rsid w:val="0077360A"/>
    <w:rsid w:val="00773DFE"/>
    <w:rsid w:val="007770B9"/>
    <w:rsid w:val="00785597"/>
    <w:rsid w:val="00787E18"/>
    <w:rsid w:val="00794DCE"/>
    <w:rsid w:val="007A2E10"/>
    <w:rsid w:val="007B58BF"/>
    <w:rsid w:val="007C55EC"/>
    <w:rsid w:val="007E0829"/>
    <w:rsid w:val="007E0F47"/>
    <w:rsid w:val="008010BF"/>
    <w:rsid w:val="008230F9"/>
    <w:rsid w:val="00830F87"/>
    <w:rsid w:val="00840B39"/>
    <w:rsid w:val="00853CD2"/>
    <w:rsid w:val="00857BCA"/>
    <w:rsid w:val="00861A29"/>
    <w:rsid w:val="00875F77"/>
    <w:rsid w:val="008762C2"/>
    <w:rsid w:val="00881EFA"/>
    <w:rsid w:val="00885C1A"/>
    <w:rsid w:val="00887404"/>
    <w:rsid w:val="008A0EB9"/>
    <w:rsid w:val="008C0DE9"/>
    <w:rsid w:val="008D6196"/>
    <w:rsid w:val="008E71E1"/>
    <w:rsid w:val="00906ADE"/>
    <w:rsid w:val="00924CC6"/>
    <w:rsid w:val="00927ED3"/>
    <w:rsid w:val="00930CD7"/>
    <w:rsid w:val="00935D3F"/>
    <w:rsid w:val="009447C3"/>
    <w:rsid w:val="00951659"/>
    <w:rsid w:val="00951FEE"/>
    <w:rsid w:val="009541FD"/>
    <w:rsid w:val="0095711B"/>
    <w:rsid w:val="00964409"/>
    <w:rsid w:val="009773E7"/>
    <w:rsid w:val="00983FED"/>
    <w:rsid w:val="009876DA"/>
    <w:rsid w:val="00993718"/>
    <w:rsid w:val="00995EBA"/>
    <w:rsid w:val="00997012"/>
    <w:rsid w:val="009A0FED"/>
    <w:rsid w:val="009A4157"/>
    <w:rsid w:val="009A688C"/>
    <w:rsid w:val="009B4D5C"/>
    <w:rsid w:val="009C14A3"/>
    <w:rsid w:val="009C1DDB"/>
    <w:rsid w:val="009D3882"/>
    <w:rsid w:val="009D3E5C"/>
    <w:rsid w:val="009E2187"/>
    <w:rsid w:val="009E771E"/>
    <w:rsid w:val="009F4A56"/>
    <w:rsid w:val="009F5127"/>
    <w:rsid w:val="00A1081B"/>
    <w:rsid w:val="00A37206"/>
    <w:rsid w:val="00A37A93"/>
    <w:rsid w:val="00A40B21"/>
    <w:rsid w:val="00A52687"/>
    <w:rsid w:val="00A543C8"/>
    <w:rsid w:val="00A63801"/>
    <w:rsid w:val="00A82652"/>
    <w:rsid w:val="00A93F8C"/>
    <w:rsid w:val="00A93FE1"/>
    <w:rsid w:val="00A964F6"/>
    <w:rsid w:val="00AB2949"/>
    <w:rsid w:val="00AB388A"/>
    <w:rsid w:val="00AC3A88"/>
    <w:rsid w:val="00AD029D"/>
    <w:rsid w:val="00AD4219"/>
    <w:rsid w:val="00AE4C35"/>
    <w:rsid w:val="00AF3A96"/>
    <w:rsid w:val="00B0565E"/>
    <w:rsid w:val="00B06E19"/>
    <w:rsid w:val="00B1493D"/>
    <w:rsid w:val="00B35563"/>
    <w:rsid w:val="00B41B77"/>
    <w:rsid w:val="00B47877"/>
    <w:rsid w:val="00B76BCF"/>
    <w:rsid w:val="00B7724D"/>
    <w:rsid w:val="00B77A14"/>
    <w:rsid w:val="00BE0A0F"/>
    <w:rsid w:val="00BF1022"/>
    <w:rsid w:val="00BF6FD4"/>
    <w:rsid w:val="00C06909"/>
    <w:rsid w:val="00C1468A"/>
    <w:rsid w:val="00C151A7"/>
    <w:rsid w:val="00C20C25"/>
    <w:rsid w:val="00C2219B"/>
    <w:rsid w:val="00C27DC3"/>
    <w:rsid w:val="00C34D84"/>
    <w:rsid w:val="00C415E4"/>
    <w:rsid w:val="00C54AAB"/>
    <w:rsid w:val="00C73B62"/>
    <w:rsid w:val="00C90BED"/>
    <w:rsid w:val="00CA4F8B"/>
    <w:rsid w:val="00CB5042"/>
    <w:rsid w:val="00CD2A66"/>
    <w:rsid w:val="00CD2D73"/>
    <w:rsid w:val="00CD5895"/>
    <w:rsid w:val="00CE6D96"/>
    <w:rsid w:val="00CF3FCA"/>
    <w:rsid w:val="00D11C19"/>
    <w:rsid w:val="00D178B5"/>
    <w:rsid w:val="00D219C0"/>
    <w:rsid w:val="00D322BD"/>
    <w:rsid w:val="00D33384"/>
    <w:rsid w:val="00D33EA9"/>
    <w:rsid w:val="00D34006"/>
    <w:rsid w:val="00D41A43"/>
    <w:rsid w:val="00D47662"/>
    <w:rsid w:val="00D642CC"/>
    <w:rsid w:val="00D6787F"/>
    <w:rsid w:val="00D84D65"/>
    <w:rsid w:val="00D9605C"/>
    <w:rsid w:val="00DC5115"/>
    <w:rsid w:val="00DE1302"/>
    <w:rsid w:val="00DE1612"/>
    <w:rsid w:val="00DE3C09"/>
    <w:rsid w:val="00DF5B43"/>
    <w:rsid w:val="00E01F2E"/>
    <w:rsid w:val="00E02270"/>
    <w:rsid w:val="00E031E8"/>
    <w:rsid w:val="00E06DA5"/>
    <w:rsid w:val="00E2370C"/>
    <w:rsid w:val="00E23E2E"/>
    <w:rsid w:val="00E23F9C"/>
    <w:rsid w:val="00E27F15"/>
    <w:rsid w:val="00E33D60"/>
    <w:rsid w:val="00E44D87"/>
    <w:rsid w:val="00E52414"/>
    <w:rsid w:val="00E551B1"/>
    <w:rsid w:val="00E65657"/>
    <w:rsid w:val="00E744CA"/>
    <w:rsid w:val="00E91A40"/>
    <w:rsid w:val="00EA13F9"/>
    <w:rsid w:val="00EB07B4"/>
    <w:rsid w:val="00EB7026"/>
    <w:rsid w:val="00ED0369"/>
    <w:rsid w:val="00ED4341"/>
    <w:rsid w:val="00F07AEC"/>
    <w:rsid w:val="00F203A5"/>
    <w:rsid w:val="00F20928"/>
    <w:rsid w:val="00F46414"/>
    <w:rsid w:val="00F46D30"/>
    <w:rsid w:val="00F542B2"/>
    <w:rsid w:val="00F655BA"/>
    <w:rsid w:val="00F67CA8"/>
    <w:rsid w:val="00F71DFD"/>
    <w:rsid w:val="00F7282D"/>
    <w:rsid w:val="00F73016"/>
    <w:rsid w:val="00F77DB5"/>
    <w:rsid w:val="00F84A12"/>
    <w:rsid w:val="00F93C1A"/>
    <w:rsid w:val="00FB3910"/>
    <w:rsid w:val="00FD48F4"/>
    <w:rsid w:val="00FE2327"/>
    <w:rsid w:val="00FE4798"/>
    <w:rsid w:val="00FF0D1E"/>
    <w:rsid w:val="00FF1DCB"/>
    <w:rsid w:val="00FF41D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B6F16-B755-429F-A442-E18FFC25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123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character" w:customStyle="1" w:styleId="40">
    <w:name w:val="Заголовок 4 Знак"/>
    <w:link w:val="4"/>
    <w:semiHidden/>
    <w:rsid w:val="0011233F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stit">
    <w:name w:val="stit"/>
    <w:rsid w:val="0011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НАКАЗ</vt:lpstr>
      <vt:lpstr> </vt:lpstr>
    </vt:vector>
  </TitlesOfParts>
  <Company>moz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Космінський Роман Віталійович</cp:lastModifiedBy>
  <cp:revision>2</cp:revision>
  <cp:lastPrinted>2023-01-11T17:52:00Z</cp:lastPrinted>
  <dcterms:created xsi:type="dcterms:W3CDTF">2023-01-19T06:53:00Z</dcterms:created>
  <dcterms:modified xsi:type="dcterms:W3CDTF">2023-01-19T06:53:00Z</dcterms:modified>
</cp:coreProperties>
</file>