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Монітори</w:t>
            </w:r>
            <w:proofErr w:type="spellEnd"/>
          </w:p>
          <w:p w:rsidR="0039430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30230000-0 — </w:t>
            </w:r>
            <w:proofErr w:type="spellStart"/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Комп’ютерне</w:t>
            </w:r>
            <w:proofErr w:type="spellEnd"/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обладнання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торги з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особливостями</w:t>
            </w:r>
            <w:proofErr w:type="spellEnd"/>
          </w:p>
          <w:p w:rsidR="00592E4A" w:rsidRPr="0039430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="00C6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 w:rsid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39430A" w:rsidRP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970</w:t>
            </w:r>
            <w:r w:rsid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,00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F900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394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лип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5558F">
              <w:t xml:space="preserve"> </w:t>
            </w:r>
            <w:hyperlink r:id="rId5" w:history="1">
              <w:r w:rsidR="0039430A" w:rsidRPr="007F0F88">
                <w:rPr>
                  <w:rStyle w:val="a3"/>
                </w:rPr>
                <w:t>https://prozorro.gov.ua/tender/UA-2024-07-22-009205-a</w:t>
              </w:r>
            </w:hyperlink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p w:rsidR="0039430A" w:rsidRPr="0039430A" w:rsidRDefault="0039430A" w:rsidP="0039430A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Комп’ютерне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(Код ДК 021:2015 - 30230000-</w:t>
      </w:r>
      <w:proofErr w:type="gramStart"/>
      <w:r w:rsidRPr="0039430A">
        <w:rPr>
          <w:rFonts w:ascii="Times New Roman" w:hAnsi="Times New Roman" w:cs="Times New Roman"/>
          <w:b/>
          <w:sz w:val="24"/>
          <w:szCs w:val="24"/>
        </w:rPr>
        <w:t xml:space="preserve">0 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Комп’ютерне</w:t>
      </w:r>
      <w:proofErr w:type="spellEnd"/>
      <w:proofErr w:type="gram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>)</w:t>
      </w:r>
    </w:p>
    <w:p w:rsidR="0039430A" w:rsidRPr="0039430A" w:rsidRDefault="0039430A" w:rsidP="0039430A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Всі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посилання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конкретну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торгівельну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марку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чи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фірму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патент,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конструкцію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тип предмета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джерело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походження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виробника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слід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читати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виразом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еквівалент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>».</w:t>
      </w: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процедури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надати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складі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пропозицій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інформацію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підтверджують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відповідність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тендерної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пропозиції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технічним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якісним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кількісним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іншим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вимогам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до предмета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наведеним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цьому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додатку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тендерної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документації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Доставка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товарів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повинна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здійснюватися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транспортом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рахунок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постачальника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завантажувально-розвантажувальні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рахунок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постачальника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Відповідність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технічних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якісних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кількості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характеристик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запропонованих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товарів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вимогам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замовника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повинна бути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підтверджена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шляхом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надання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складі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тендерної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пропозиції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довідки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містити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порівняльну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таблицю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технічних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якісних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кількісних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характеристик товару,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пропонується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мають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бути не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гіршими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наведені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вимогах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технічних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якісних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кількості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характеристик до предмету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викладені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цьому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додатку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тендерної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документації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із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обов‘язковим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зазначенням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назви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товару,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типу, марки,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моделі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також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типу, марки,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моделі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всіх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складових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робочих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станцій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пропонуються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39430A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фальсифікатів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спроможність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запропонований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товару у строки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тендерною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документальне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авторизаційного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представництва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монітору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партнерських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виробником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для продажу (поставки)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гарантійного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номера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закупівель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>.</w:t>
      </w:r>
    </w:p>
    <w:p w:rsidR="0039430A" w:rsidRPr="0039430A" w:rsidRDefault="0039430A" w:rsidP="0039430A">
      <w:pPr>
        <w:numPr>
          <w:ilvl w:val="1"/>
          <w:numId w:val="20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uk-UA"/>
        </w:rPr>
      </w:pPr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Доставка до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сервісного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центру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обладнання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, яке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вийшло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 ладу,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виконується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Учасником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власний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рахунок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включаючи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повернення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Замовника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відремонтованого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обладнання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).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Учасники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процедури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надати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складі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тендерних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пропозицій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гарантійних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лист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щодо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 xml:space="preserve"> таких </w:t>
      </w:r>
      <w:proofErr w:type="spellStart"/>
      <w:r w:rsidRPr="0039430A">
        <w:rPr>
          <w:rFonts w:ascii="Times New Roman" w:hAnsi="Times New Roman" w:cs="Times New Roman"/>
          <w:sz w:val="24"/>
          <w:szCs w:val="24"/>
          <w:lang w:eastAsia="uk-UA"/>
        </w:rPr>
        <w:t>зобов’язань</w:t>
      </w:r>
      <w:proofErr w:type="spellEnd"/>
      <w:r w:rsidRPr="0039430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9430A" w:rsidRPr="0039430A" w:rsidRDefault="0039430A" w:rsidP="00394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6804"/>
        <w:gridCol w:w="1560"/>
      </w:tblGrid>
      <w:tr w:rsidR="0039430A" w:rsidRPr="0039430A" w:rsidTr="00F00680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  <w:proofErr w:type="spellEnd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Вимоги</w:t>
            </w:r>
            <w:proofErr w:type="spellEnd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Кiл-ть</w:t>
            </w:r>
            <w:proofErr w:type="spellEnd"/>
          </w:p>
        </w:tc>
      </w:tr>
      <w:tr w:rsidR="0039430A" w:rsidRPr="0039430A" w:rsidTr="00F00680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28495117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Монітор</w:t>
            </w:r>
            <w:proofErr w:type="spellEnd"/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Діагональ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ніж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48,7 з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пропорцією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гірше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32:9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Активний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екрану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мм: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1147 х 291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Кривизна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екрану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1000R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Тип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панелі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VA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аналог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Пікова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яскравість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кд/м2 (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типове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1000 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Статична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контрастність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типове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2500:1 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розширеного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динамічного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діапазону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High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Dynamic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Range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): Так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Роздільна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5120 x 1440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Час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відгуку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мс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(GTG):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більш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Кут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огляду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горизонтальний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вертикальний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178 ° x 178 °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Колірне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(за стандартом DCI):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0.95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Відсоток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колірного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простору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sRGB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%: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125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Відсоток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простору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Adobe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RGB, %: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92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Максимальна частота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оновлення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Гц: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240</w:t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Гарантійний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не </w:t>
            </w:r>
            <w:proofErr w:type="spellStart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3943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943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</w:t>
            </w:r>
          </w:p>
          <w:p w:rsidR="0039430A" w:rsidRPr="0039430A" w:rsidRDefault="0039430A" w:rsidP="00F00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bookmarkEnd w:id="0"/>
    </w:tbl>
    <w:p w:rsidR="0039430A" w:rsidRPr="0039430A" w:rsidRDefault="0039430A" w:rsidP="00394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30A" w:rsidRPr="0039430A" w:rsidRDefault="0039430A" w:rsidP="00394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30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характеристики предмета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повинні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передбачати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необхідність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довкілля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епідеміологічного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благополуччя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техногенної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39430A">
        <w:rPr>
          <w:rFonts w:ascii="Times New Roman" w:hAnsi="Times New Roman" w:cs="Times New Roman"/>
          <w:sz w:val="24"/>
          <w:szCs w:val="24"/>
        </w:rPr>
        <w:t>).</w:t>
      </w:r>
    </w:p>
    <w:p w:rsidR="0039430A" w:rsidRPr="0039430A" w:rsidRDefault="0039430A" w:rsidP="003943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30A" w:rsidRPr="0039430A" w:rsidRDefault="0039430A" w:rsidP="00394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30A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разі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якщо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Пропозиція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відповідає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технічним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вимогам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Замовника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Учасник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не в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змозі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виконати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поставки,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визначені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Замовником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Пропозиція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30A">
        <w:rPr>
          <w:rFonts w:ascii="Times New Roman" w:hAnsi="Times New Roman" w:cs="Times New Roman"/>
          <w:b/>
          <w:sz w:val="24"/>
          <w:szCs w:val="24"/>
        </w:rPr>
        <w:t>відхиляється</w:t>
      </w:r>
      <w:proofErr w:type="spellEnd"/>
      <w:r w:rsidRPr="0039430A">
        <w:rPr>
          <w:rFonts w:ascii="Times New Roman" w:hAnsi="Times New Roman" w:cs="Times New Roman"/>
          <w:b/>
          <w:sz w:val="24"/>
          <w:szCs w:val="24"/>
        </w:rPr>
        <w:t>.</w:t>
      </w:r>
    </w:p>
    <w:p w:rsidR="004E3F4B" w:rsidRPr="0039430A" w:rsidRDefault="004E3F4B" w:rsidP="003943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4E3F4B" w:rsidRPr="0039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4668F"/>
    <w:multiLevelType w:val="hybridMultilevel"/>
    <w:tmpl w:val="EAF441BE"/>
    <w:lvl w:ilvl="0" w:tplc="91F84F8A">
      <w:start w:val="1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14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20"/>
  </w:num>
  <w:num w:numId="13">
    <w:abstractNumId w:val="16"/>
  </w:num>
  <w:num w:numId="14">
    <w:abstractNumId w:val="2"/>
  </w:num>
  <w:num w:numId="15">
    <w:abstractNumId w:val="12"/>
  </w:num>
  <w:num w:numId="16">
    <w:abstractNumId w:val="10"/>
  </w:num>
  <w:num w:numId="17">
    <w:abstractNumId w:val="15"/>
  </w:num>
  <w:num w:numId="18">
    <w:abstractNumId w:val="5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B7CC5"/>
    <w:rsid w:val="001F4346"/>
    <w:rsid w:val="0039430A"/>
    <w:rsid w:val="00494BAF"/>
    <w:rsid w:val="004E3F4B"/>
    <w:rsid w:val="00592E4A"/>
    <w:rsid w:val="0062650E"/>
    <w:rsid w:val="00723898"/>
    <w:rsid w:val="007F55E4"/>
    <w:rsid w:val="008A285D"/>
    <w:rsid w:val="008C4C0B"/>
    <w:rsid w:val="00A53F51"/>
    <w:rsid w:val="00A762B4"/>
    <w:rsid w:val="00AA4950"/>
    <w:rsid w:val="00AF79FB"/>
    <w:rsid w:val="00C67F47"/>
    <w:rsid w:val="00E97BA0"/>
    <w:rsid w:val="00F5558F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6C76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F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34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10">
    <w:name w:val="Заголовок 1 Знак"/>
    <w:basedOn w:val="a0"/>
    <w:link w:val="1"/>
    <w:uiPriority w:val="9"/>
    <w:rsid w:val="00A53F51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a8">
    <w:name w:val="No Spacing"/>
    <w:aliases w:val="nado12,Bullet"/>
    <w:link w:val="a9"/>
    <w:uiPriority w:val="1"/>
    <w:qFormat/>
    <w:rsid w:val="00A53F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nado12 Знак,Bullet Знак"/>
    <w:link w:val="a8"/>
    <w:uiPriority w:val="1"/>
    <w:locked/>
    <w:rsid w:val="00A53F51"/>
    <w:rPr>
      <w:rFonts w:ascii="Calibri" w:eastAsia="Calibri" w:hAnsi="Calibri" w:cs="Times New Roman"/>
    </w:rPr>
  </w:style>
  <w:style w:type="character" w:customStyle="1" w:styleId="xfm81885398">
    <w:name w:val="xfm_81885398"/>
    <w:rsid w:val="00A5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22-00920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17</cp:revision>
  <dcterms:created xsi:type="dcterms:W3CDTF">2024-03-27T08:35:00Z</dcterms:created>
  <dcterms:modified xsi:type="dcterms:W3CDTF">2024-07-26T07:59:00Z</dcterms:modified>
</cp:coreProperties>
</file>