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0E850" w14:textId="00AF2DBC" w:rsidR="0073268D" w:rsidRPr="0073268D" w:rsidRDefault="00FA455F" w:rsidP="00FA455F">
      <w:pPr>
        <w:spacing w:after="0"/>
        <w:ind w:right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3268D" w:rsidRPr="0073268D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04D1191" w14:textId="77777777" w:rsidR="0073268D" w:rsidRPr="0073268D" w:rsidRDefault="0073268D" w:rsidP="0073268D">
      <w:pPr>
        <w:spacing w:after="0"/>
        <w:ind w:right="2"/>
        <w:jc w:val="right"/>
        <w:rPr>
          <w:rFonts w:ascii="Times New Roman" w:hAnsi="Times New Roman" w:cs="Times New Roman"/>
          <w:sz w:val="28"/>
          <w:szCs w:val="28"/>
        </w:rPr>
      </w:pPr>
      <w:r w:rsidRPr="0073268D">
        <w:rPr>
          <w:rFonts w:ascii="Times New Roman" w:hAnsi="Times New Roman" w:cs="Times New Roman"/>
          <w:sz w:val="28"/>
          <w:szCs w:val="28"/>
        </w:rPr>
        <w:t>Наказ Міністерства охорони</w:t>
      </w:r>
    </w:p>
    <w:p w14:paraId="17A7AC9D" w14:textId="4D72BD23" w:rsidR="0073268D" w:rsidRPr="0073268D" w:rsidRDefault="00FA455F" w:rsidP="00FA455F">
      <w:pPr>
        <w:spacing w:after="0"/>
        <w:ind w:right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3268D" w:rsidRPr="0073268D">
        <w:rPr>
          <w:rFonts w:ascii="Times New Roman" w:hAnsi="Times New Roman" w:cs="Times New Roman"/>
          <w:sz w:val="28"/>
          <w:szCs w:val="28"/>
        </w:rPr>
        <w:t>здоров'я України</w:t>
      </w:r>
    </w:p>
    <w:p w14:paraId="69BEA28E" w14:textId="3BEE1D8A" w:rsidR="0073268D" w:rsidRPr="003E4D44" w:rsidRDefault="003E4D44" w:rsidP="0073268D">
      <w:pPr>
        <w:spacing w:after="0"/>
        <w:ind w:right="2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E4D44">
        <w:rPr>
          <w:rFonts w:ascii="Times New Roman" w:hAnsi="Times New Roman" w:cs="Times New Roman"/>
          <w:sz w:val="28"/>
          <w:szCs w:val="28"/>
          <w:u w:val="single"/>
        </w:rPr>
        <w:t>08 серпня 2024</w:t>
      </w:r>
      <w:r w:rsidR="00FA455F" w:rsidRPr="003E4D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3268D" w:rsidRPr="003E4D44">
        <w:rPr>
          <w:rFonts w:ascii="Times New Roman" w:hAnsi="Times New Roman" w:cs="Times New Roman"/>
          <w:sz w:val="28"/>
          <w:szCs w:val="28"/>
          <w:u w:val="single"/>
        </w:rPr>
        <w:t>року</w:t>
      </w:r>
      <w:r w:rsidR="0073268D" w:rsidRPr="0073268D">
        <w:rPr>
          <w:rFonts w:ascii="Times New Roman" w:hAnsi="Times New Roman" w:cs="Times New Roman"/>
          <w:sz w:val="28"/>
          <w:szCs w:val="28"/>
        </w:rPr>
        <w:t xml:space="preserve"> № </w:t>
      </w:r>
      <w:r w:rsidRPr="003E4D44">
        <w:rPr>
          <w:rFonts w:ascii="Times New Roman" w:hAnsi="Times New Roman" w:cs="Times New Roman"/>
          <w:sz w:val="28"/>
          <w:szCs w:val="28"/>
          <w:u w:val="single"/>
        </w:rPr>
        <w:t>1400</w:t>
      </w:r>
    </w:p>
    <w:p w14:paraId="2ECF1B4C" w14:textId="1A2F3158" w:rsidR="0073268D" w:rsidRDefault="0073268D" w:rsidP="00B162C4">
      <w:pPr>
        <w:spacing w:after="0"/>
        <w:ind w:right="2"/>
        <w:jc w:val="center"/>
        <w:rPr>
          <w:sz w:val="24"/>
        </w:rPr>
      </w:pPr>
    </w:p>
    <w:p w14:paraId="31D2E1EF" w14:textId="26E60391" w:rsidR="00B162C4" w:rsidRPr="00B02BAD" w:rsidRDefault="00F46CDB" w:rsidP="00B162C4">
      <w:pPr>
        <w:spacing w:after="0"/>
        <w:ind w:right="2"/>
        <w:jc w:val="center"/>
      </w:pPr>
      <w:r w:rsidRPr="00B02BAD">
        <w:rPr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4223C0" wp14:editId="436256D0">
                <wp:simplePos x="0" y="0"/>
                <wp:positionH relativeFrom="column">
                  <wp:posOffset>5383530</wp:posOffset>
                </wp:positionH>
                <wp:positionV relativeFrom="paragraph">
                  <wp:posOffset>3175</wp:posOffset>
                </wp:positionV>
                <wp:extent cx="801370" cy="359410"/>
                <wp:effectExtent l="0" t="0" r="0" b="25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3F59E" w14:textId="0983C586" w:rsidR="00F7692A" w:rsidRDefault="00F7692A" w:rsidP="00B162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1F3D4F58" w14:textId="0E199626" w:rsidR="00F7692A" w:rsidRDefault="00F7692A" w:rsidP="00B162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06A1E59B" w14:textId="0BF22ED3" w:rsidR="00F7692A" w:rsidRDefault="00F7692A" w:rsidP="00B162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4FAFB04" w14:textId="0B7CA24C" w:rsidR="00F7692A" w:rsidRDefault="00F7692A" w:rsidP="00B162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476AE8EB" w14:textId="6B7658C2" w:rsidR="00F7692A" w:rsidRDefault="00F7692A" w:rsidP="00B162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3637FF11" w14:textId="1D40FAEE" w:rsidR="00F7692A" w:rsidRDefault="00F7692A" w:rsidP="00B162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0E74870" w14:textId="77777777" w:rsidR="00F7692A" w:rsidRPr="00E65941" w:rsidRDefault="00F7692A" w:rsidP="00B162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223C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23.9pt;margin-top:.25pt;width:63.1pt;height:28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" stroked="f">
                <v:textbox>
                  <w:txbxContent>
                    <w:p w14:paraId="66A3F59E" w14:textId="0983C586" w:rsidR="00F7692A" w:rsidRDefault="00F7692A" w:rsidP="00B162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</w:p>
                    <w:p w14:paraId="1F3D4F58" w14:textId="0E199626" w:rsidR="00F7692A" w:rsidRDefault="00F7692A" w:rsidP="00B162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</w:p>
                    <w:p w14:paraId="06A1E59B" w14:textId="0BF22ED3" w:rsidR="00F7692A" w:rsidRDefault="00F7692A" w:rsidP="00B162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</w:p>
                    <w:p w14:paraId="64FAFB04" w14:textId="0B7CA24C" w:rsidR="00F7692A" w:rsidRDefault="00F7692A" w:rsidP="00B162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</w:p>
                    <w:p w14:paraId="476AE8EB" w14:textId="6B7658C2" w:rsidR="00F7692A" w:rsidRDefault="00F7692A" w:rsidP="00B162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</w:p>
                    <w:p w14:paraId="3637FF11" w14:textId="1D40FAEE" w:rsidR="00F7692A" w:rsidRDefault="00F7692A" w:rsidP="00B162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</w:p>
                    <w:p w14:paraId="60E74870" w14:textId="77777777" w:rsidR="00F7692A" w:rsidRPr="00E65941" w:rsidRDefault="00F7692A" w:rsidP="00B162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62C4" w:rsidRPr="00B02BAD">
        <w:rPr>
          <w:sz w:val="24"/>
        </w:rPr>
        <w:t xml:space="preserve">                 </w:t>
      </w:r>
      <w:r w:rsidR="000675DA" w:rsidRPr="00B02BAD">
        <w:rPr>
          <w:sz w:val="24"/>
        </w:rPr>
        <w:t xml:space="preserve">      </w:t>
      </w:r>
      <w:r w:rsidR="00B162C4" w:rsidRPr="00B02BAD">
        <w:rPr>
          <w:sz w:val="24"/>
        </w:rPr>
        <w:t xml:space="preserve">  </w:t>
      </w:r>
      <w:r w:rsidR="000675DA" w:rsidRPr="00B02BAD">
        <w:rPr>
          <w:noProof/>
          <w:lang w:val="en-US"/>
        </w:rPr>
        <w:drawing>
          <wp:inline distT="0" distB="0" distL="0" distR="0" wp14:anchorId="2EA95024" wp14:editId="3074421B">
            <wp:extent cx="518160" cy="734568"/>
            <wp:effectExtent l="0" t="0" r="0" b="0"/>
            <wp:docPr id="26752" name="Picture 26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52" name="Picture 267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3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254B6" w14:textId="77777777" w:rsidR="00B162C4" w:rsidRPr="00B02BAD" w:rsidRDefault="00B162C4" w:rsidP="00B162C4">
      <w:pPr>
        <w:spacing w:after="31"/>
        <w:ind w:right="2"/>
        <w:jc w:val="center"/>
      </w:pPr>
      <w:r w:rsidRPr="00B02BAD">
        <w:rPr>
          <w:sz w:val="24"/>
        </w:rPr>
        <w:t xml:space="preserve"> </w:t>
      </w:r>
    </w:p>
    <w:p w14:paraId="5FE87726" w14:textId="17D1C3F2" w:rsidR="00B162C4" w:rsidRPr="00B02BAD" w:rsidRDefault="00B02BAD" w:rsidP="00B02BAD">
      <w:pPr>
        <w:spacing w:after="269"/>
        <w:ind w:right="2"/>
        <w:jc w:val="right"/>
        <w:rPr>
          <w:rFonts w:asciiTheme="majorHAnsi" w:hAnsiTheme="majorHAnsi" w:cstheme="majorHAnsi"/>
          <w:i/>
          <w:iCs/>
        </w:rPr>
      </w:pPr>
      <w:r w:rsidRPr="00B02BAD">
        <w:rPr>
          <w:rFonts w:asciiTheme="majorHAnsi" w:hAnsiTheme="majorHAnsi" w:cstheme="majorHAnsi"/>
          <w:i/>
          <w:iCs/>
          <w:sz w:val="24"/>
        </w:rPr>
        <w:t xml:space="preserve"> </w:t>
      </w:r>
    </w:p>
    <w:p w14:paraId="742FCD03" w14:textId="128653DF" w:rsidR="000675DA" w:rsidRPr="00B02BAD" w:rsidRDefault="000675DA" w:rsidP="000675DA">
      <w:pPr>
        <w:spacing w:after="412"/>
        <w:ind w:left="38"/>
        <w:jc w:val="center"/>
        <w:rPr>
          <w:rFonts w:ascii="Times New Roman" w:eastAsia="Times New Roman" w:hAnsi="Times New Roman" w:cs="Times New Roman"/>
          <w:bCs/>
          <w:spacing w:val="20"/>
          <w:sz w:val="48"/>
          <w:szCs w:val="48"/>
        </w:rPr>
      </w:pPr>
      <w:r w:rsidRPr="00B02BAD">
        <w:rPr>
          <w:rFonts w:ascii="Times New Roman" w:eastAsia="Times New Roman" w:hAnsi="Times New Roman" w:cs="Times New Roman"/>
          <w:bCs/>
          <w:spacing w:val="20"/>
          <w:sz w:val="48"/>
          <w:szCs w:val="48"/>
        </w:rPr>
        <w:t>НАСТАНОВА</w:t>
      </w:r>
      <w:r w:rsidR="00B02BAD" w:rsidRPr="00B02BAD">
        <w:rPr>
          <w:rFonts w:ascii="Times New Roman" w:eastAsia="Times New Roman" w:hAnsi="Times New Roman" w:cs="Times New Roman"/>
          <w:bCs/>
          <w:spacing w:val="20"/>
          <w:sz w:val="48"/>
          <w:szCs w:val="48"/>
        </w:rPr>
        <w:t xml:space="preserve"> </w:t>
      </w:r>
    </w:p>
    <w:p w14:paraId="68D8E59F" w14:textId="77777777" w:rsidR="00B162C4" w:rsidRPr="00B02BAD" w:rsidRDefault="00B162C4" w:rsidP="00B162C4">
      <w:pPr>
        <w:spacing w:after="197"/>
        <w:ind w:left="94"/>
        <w:jc w:val="center"/>
      </w:pPr>
      <w:r w:rsidRPr="00B02BAD">
        <w:rPr>
          <w:rFonts w:ascii="Calibri" w:eastAsia="Calibri" w:hAnsi="Calibri" w:cs="Calibri"/>
          <w:noProof/>
          <w:lang w:val="en-US"/>
        </w:rPr>
        <mc:AlternateContent>
          <mc:Choice Requires="wpg">
            <w:drawing>
              <wp:inline distT="0" distB="0" distL="0" distR="0" wp14:anchorId="7718D528" wp14:editId="0EB64716">
                <wp:extent cx="6182614" cy="56388"/>
                <wp:effectExtent l="0" t="0" r="0" b="0"/>
                <wp:docPr id="21152" name="Group 2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2614" cy="56388"/>
                          <a:chOff x="0" y="0"/>
                          <a:chExt cx="6182614" cy="56388"/>
                        </a:xfrm>
                      </wpg:grpSpPr>
                      <wps:wsp>
                        <wps:cNvPr id="27781" name="Shape 27781"/>
                        <wps:cNvSpPr/>
                        <wps:spPr>
                          <a:xfrm>
                            <a:off x="0" y="47244"/>
                            <a:ext cx="61826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2614" h="9144">
                                <a:moveTo>
                                  <a:pt x="0" y="0"/>
                                </a:moveTo>
                                <a:lnTo>
                                  <a:pt x="6182614" y="0"/>
                                </a:lnTo>
                                <a:lnTo>
                                  <a:pt x="61826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82" name="Shape 27782"/>
                        <wps:cNvSpPr/>
                        <wps:spPr>
                          <a:xfrm>
                            <a:off x="0" y="0"/>
                            <a:ext cx="618261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2614" h="38100">
                                <a:moveTo>
                                  <a:pt x="0" y="0"/>
                                </a:moveTo>
                                <a:lnTo>
                                  <a:pt x="6182614" y="0"/>
                                </a:lnTo>
                                <a:lnTo>
                                  <a:pt x="618261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805A460" id="Group 21152" o:spid="_x0000_s1026" style="width:486.8pt;height:4.45pt;mso-position-horizontal-relative:char;mso-position-vertical-relative:line" coordsize="61826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">
                <v:shape id="Shape 27781" o:spid="_x0000_s1027" style="position:absolute;top:472;width:61826;height:91;visibility:visible;mso-wrap-style:square;v-text-anchor:top" coordsize="61826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" path="m,l6182614,r,9144l,9144,,e" fillcolor="black" stroked="f" strokeweight="0">
                  <v:stroke miterlimit="83231f" joinstyle="miter"/>
                  <v:path arrowok="t" textboxrect="0,0,6182614,9144"/>
                </v:shape>
                <v:shape id="Shape 27782" o:spid="_x0000_s1028" style="position:absolute;width:61826;height:381;visibility:visible;mso-wrap-style:square;v-text-anchor:top" coordsize="618261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" path="m,l6182614,r,38100l,38100,,e" fillcolor="black" stroked="f" strokeweight="0">
                  <v:stroke miterlimit="83231f" joinstyle="miter"/>
                  <v:path arrowok="t" textboxrect="0,0,6182614,38100"/>
                </v:shape>
                <w10:anchorlock/>
              </v:group>
            </w:pict>
          </mc:Fallback>
        </mc:AlternateContent>
      </w:r>
    </w:p>
    <w:p w14:paraId="63EDF693" w14:textId="77777777" w:rsidR="00B162C4" w:rsidRPr="00B02BAD" w:rsidRDefault="00B162C4" w:rsidP="00B162C4">
      <w:pPr>
        <w:spacing w:after="468"/>
      </w:pPr>
      <w:r w:rsidRPr="00B02BAD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B19623C" w14:textId="77777777" w:rsidR="000675DA" w:rsidRPr="00B02BAD" w:rsidRDefault="000675DA" w:rsidP="00B162C4">
      <w:pPr>
        <w:spacing w:after="412"/>
        <w:ind w:left="38"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57DA62CD" w14:textId="2AD5C819" w:rsidR="00B162C4" w:rsidRPr="00B07469" w:rsidRDefault="00B162C4" w:rsidP="00B162C4">
      <w:pPr>
        <w:spacing w:after="412"/>
        <w:ind w:left="38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B07469">
        <w:rPr>
          <w:rFonts w:ascii="Times New Roman" w:eastAsia="Times New Roman" w:hAnsi="Times New Roman" w:cs="Times New Roman"/>
          <w:b/>
          <w:sz w:val="56"/>
          <w:szCs w:val="56"/>
        </w:rPr>
        <w:t>ЛІКАРСЬКІ ЗАСОБИ</w:t>
      </w:r>
      <w:r w:rsidR="00B02BAD" w:rsidRPr="00B07469">
        <w:rPr>
          <w:rFonts w:asciiTheme="majorHAnsi" w:eastAsia="Times New Roman" w:hAnsiTheme="majorHAnsi" w:cstheme="majorHAnsi"/>
          <w:bCs/>
          <w:i/>
          <w:iCs/>
          <w:spacing w:val="20"/>
          <w:sz w:val="24"/>
          <w:szCs w:val="24"/>
          <w:highlight w:val="green"/>
        </w:rPr>
        <w:t xml:space="preserve"> </w:t>
      </w:r>
    </w:p>
    <w:p w14:paraId="700D257E" w14:textId="299E5286" w:rsidR="00B162C4" w:rsidRPr="00B02BAD" w:rsidRDefault="00B07469" w:rsidP="00B162C4">
      <w:pPr>
        <w:spacing w:after="412"/>
        <w:ind w:left="38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91674D">
        <w:rPr>
          <w:rFonts w:ascii="Times New Roman" w:eastAsia="Times New Roman" w:hAnsi="Times New Roman" w:cs="Times New Roman"/>
          <w:b/>
          <w:sz w:val="56"/>
          <w:szCs w:val="56"/>
        </w:rPr>
        <w:t>Клінічна оцінка вакцин</w:t>
      </w:r>
    </w:p>
    <w:p w14:paraId="43643681" w14:textId="77777777" w:rsidR="00F25E99" w:rsidRPr="00B02BAD" w:rsidRDefault="00F25E99" w:rsidP="00F25E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8BC3B5" w14:textId="30A7B40E" w:rsidR="00F25E99" w:rsidRPr="00B02BAD" w:rsidRDefault="00F25E99" w:rsidP="00F25E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BAD">
        <w:rPr>
          <w:rFonts w:ascii="Times New Roman" w:hAnsi="Times New Roman" w:cs="Times New Roman"/>
          <w:b/>
          <w:sz w:val="28"/>
          <w:szCs w:val="28"/>
        </w:rPr>
        <w:t>СТ-Н МОЗУ 42-</w:t>
      </w:r>
      <w:r w:rsidR="0022642F" w:rsidRPr="00B02BAD">
        <w:rPr>
          <w:rFonts w:ascii="Times New Roman" w:hAnsi="Times New Roman" w:cs="Times New Roman"/>
          <w:b/>
          <w:sz w:val="28"/>
          <w:szCs w:val="28"/>
        </w:rPr>
        <w:t>7.1</w:t>
      </w:r>
      <w:r w:rsidR="00AF6D8D" w:rsidRPr="00B02BAD">
        <w:rPr>
          <w:rFonts w:ascii="Times New Roman" w:hAnsi="Times New Roman" w:cs="Times New Roman"/>
          <w:b/>
          <w:sz w:val="28"/>
          <w:szCs w:val="28"/>
        </w:rPr>
        <w:t>4</w:t>
      </w:r>
      <w:r w:rsidRPr="00B02BAD">
        <w:rPr>
          <w:rFonts w:ascii="Times New Roman" w:hAnsi="Times New Roman" w:cs="Times New Roman"/>
          <w:b/>
          <w:sz w:val="28"/>
          <w:szCs w:val="28"/>
        </w:rPr>
        <w:t>:202</w:t>
      </w:r>
      <w:r w:rsidR="00DC5EA2">
        <w:rPr>
          <w:rFonts w:ascii="Times New Roman" w:hAnsi="Times New Roman" w:cs="Times New Roman"/>
          <w:b/>
          <w:sz w:val="28"/>
          <w:szCs w:val="28"/>
        </w:rPr>
        <w:t>4</w:t>
      </w:r>
    </w:p>
    <w:p w14:paraId="6ADFF694" w14:textId="77777777" w:rsidR="00F25E99" w:rsidRPr="00B02BAD" w:rsidRDefault="00F25E99" w:rsidP="000675DA">
      <w:pPr>
        <w:spacing w:after="35"/>
        <w:ind w:right="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038779" w14:textId="77777777" w:rsidR="000675DA" w:rsidRPr="00B02BAD" w:rsidRDefault="000675DA" w:rsidP="000675DA">
      <w:pPr>
        <w:spacing w:after="35"/>
        <w:ind w:right="62"/>
        <w:jc w:val="center"/>
        <w:rPr>
          <w:sz w:val="28"/>
          <w:szCs w:val="28"/>
        </w:rPr>
      </w:pPr>
      <w:r w:rsidRPr="00B02BAD">
        <w:rPr>
          <w:rFonts w:ascii="Times New Roman" w:eastAsia="Times New Roman" w:hAnsi="Times New Roman" w:cs="Times New Roman"/>
          <w:sz w:val="28"/>
          <w:szCs w:val="28"/>
        </w:rPr>
        <w:t xml:space="preserve">Видання офіційне </w:t>
      </w:r>
    </w:p>
    <w:p w14:paraId="7B710299" w14:textId="77777777" w:rsidR="00B162C4" w:rsidRPr="00B02BAD" w:rsidRDefault="00B162C4" w:rsidP="00B162C4">
      <w:pPr>
        <w:spacing w:after="412"/>
        <w:ind w:left="38"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397D9906" w14:textId="77777777" w:rsidR="00B162C4" w:rsidRPr="00B02BAD" w:rsidRDefault="00B162C4" w:rsidP="00B162C4">
      <w:pPr>
        <w:spacing w:after="0"/>
        <w:ind w:left="28"/>
        <w:jc w:val="center"/>
        <w:rPr>
          <w:rFonts w:ascii="Times New Roman" w:eastAsia="Times New Roman" w:hAnsi="Times New Roman" w:cs="Times New Roman"/>
          <w:b/>
          <w:sz w:val="36"/>
        </w:rPr>
      </w:pPr>
    </w:p>
    <w:p w14:paraId="7E29F1F8" w14:textId="7EF1FB24" w:rsidR="00B162C4" w:rsidRPr="00B02BAD" w:rsidRDefault="00B162C4" w:rsidP="00F25E99">
      <w:pPr>
        <w:spacing w:after="107"/>
        <w:rPr>
          <w:sz w:val="28"/>
          <w:szCs w:val="28"/>
        </w:rPr>
      </w:pPr>
    </w:p>
    <w:p w14:paraId="40DF0D96" w14:textId="3D9819E9" w:rsidR="00B162C4" w:rsidRPr="00B02BAD" w:rsidRDefault="00B162C4" w:rsidP="0073268D">
      <w:pPr>
        <w:spacing w:after="35"/>
      </w:pPr>
    </w:p>
    <w:p w14:paraId="00F3CC27" w14:textId="243C8D2A" w:rsidR="00B162C4" w:rsidRPr="00B02BAD" w:rsidRDefault="00B162C4" w:rsidP="00B162C4">
      <w:pPr>
        <w:spacing w:after="84"/>
        <w:rPr>
          <w:rFonts w:ascii="Times New Roman" w:hAnsi="Times New Roman" w:cs="Times New Roman"/>
          <w:sz w:val="28"/>
          <w:szCs w:val="28"/>
        </w:rPr>
      </w:pPr>
    </w:p>
    <w:p w14:paraId="23EBB68E" w14:textId="77777777" w:rsidR="00B162C4" w:rsidRPr="00B02BAD" w:rsidRDefault="00B162C4" w:rsidP="00B162C4">
      <w:pPr>
        <w:spacing w:after="90"/>
        <w:ind w:left="2171" w:right="2221"/>
        <w:jc w:val="center"/>
        <w:rPr>
          <w:rFonts w:ascii="Times New Roman" w:hAnsi="Times New Roman" w:cs="Times New Roman"/>
          <w:sz w:val="28"/>
          <w:szCs w:val="28"/>
        </w:rPr>
      </w:pPr>
      <w:r w:rsidRPr="00B02BAD">
        <w:rPr>
          <w:rFonts w:ascii="Times New Roman" w:hAnsi="Times New Roman" w:cs="Times New Roman"/>
          <w:sz w:val="28"/>
          <w:szCs w:val="28"/>
        </w:rPr>
        <w:t xml:space="preserve">Київ </w:t>
      </w:r>
    </w:p>
    <w:p w14:paraId="24C73CE1" w14:textId="77777777" w:rsidR="00B162C4" w:rsidRPr="00B02BAD" w:rsidRDefault="004B1E0F" w:rsidP="00B162C4">
      <w:pPr>
        <w:spacing w:after="90"/>
        <w:ind w:left="2171" w:right="2151"/>
        <w:jc w:val="center"/>
        <w:rPr>
          <w:rFonts w:ascii="Times New Roman" w:hAnsi="Times New Roman" w:cs="Times New Roman"/>
          <w:sz w:val="28"/>
          <w:szCs w:val="28"/>
        </w:rPr>
      </w:pPr>
      <w:r w:rsidRPr="00B02BAD">
        <w:rPr>
          <w:rFonts w:ascii="Times New Roman" w:hAnsi="Times New Roman" w:cs="Times New Roman"/>
          <w:sz w:val="28"/>
          <w:szCs w:val="28"/>
        </w:rPr>
        <w:t xml:space="preserve">Міністерство охорони </w:t>
      </w:r>
      <w:r w:rsidR="005C03D7" w:rsidRPr="00B02BAD">
        <w:rPr>
          <w:rFonts w:ascii="Times New Roman" w:hAnsi="Times New Roman" w:cs="Times New Roman"/>
          <w:sz w:val="28"/>
          <w:szCs w:val="28"/>
        </w:rPr>
        <w:t>здоров’я</w:t>
      </w:r>
      <w:r w:rsidR="00B162C4" w:rsidRPr="00B02BAD">
        <w:rPr>
          <w:rFonts w:ascii="Times New Roman" w:hAnsi="Times New Roman" w:cs="Times New Roman"/>
          <w:sz w:val="28"/>
          <w:szCs w:val="28"/>
        </w:rPr>
        <w:t xml:space="preserve"> України </w:t>
      </w:r>
    </w:p>
    <w:p w14:paraId="0A775A2C" w14:textId="2C538E17" w:rsidR="007F3966" w:rsidRPr="00B02BAD" w:rsidRDefault="00B162C4" w:rsidP="00B162C4">
      <w:pPr>
        <w:spacing w:after="90"/>
        <w:ind w:left="2171" w:right="2151"/>
        <w:jc w:val="center"/>
        <w:rPr>
          <w:rFonts w:ascii="Times New Roman" w:hAnsi="Times New Roman" w:cs="Times New Roman"/>
          <w:sz w:val="28"/>
          <w:szCs w:val="28"/>
        </w:rPr>
      </w:pPr>
      <w:r w:rsidRPr="00B02BAD">
        <w:rPr>
          <w:rFonts w:ascii="Times New Roman" w:hAnsi="Times New Roman" w:cs="Times New Roman"/>
          <w:sz w:val="28"/>
          <w:szCs w:val="28"/>
        </w:rPr>
        <w:t>202</w:t>
      </w:r>
      <w:r w:rsidR="0091674D">
        <w:rPr>
          <w:rFonts w:ascii="Times New Roman" w:hAnsi="Times New Roman" w:cs="Times New Roman"/>
          <w:sz w:val="28"/>
          <w:szCs w:val="28"/>
        </w:rPr>
        <w:t>4</w:t>
      </w:r>
      <w:r w:rsidRPr="00B02B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CAFE53" w14:textId="77777777" w:rsidR="007F3966" w:rsidRPr="00B02BAD" w:rsidRDefault="007F3966">
      <w:pPr>
        <w:rPr>
          <w:rFonts w:ascii="Times New Roman" w:hAnsi="Times New Roman" w:cs="Times New Roman"/>
          <w:sz w:val="28"/>
          <w:szCs w:val="28"/>
        </w:rPr>
      </w:pPr>
      <w:r w:rsidRPr="00B02BAD">
        <w:rPr>
          <w:rFonts w:ascii="Times New Roman" w:hAnsi="Times New Roman" w:cs="Times New Roman"/>
          <w:sz w:val="28"/>
          <w:szCs w:val="28"/>
        </w:rPr>
        <w:br w:type="page"/>
      </w:r>
    </w:p>
    <w:p w14:paraId="498B780D" w14:textId="77777777" w:rsidR="00B162C4" w:rsidRPr="00B02BAD" w:rsidRDefault="00B162C4" w:rsidP="00B162C4">
      <w:pPr>
        <w:pStyle w:val="1"/>
        <w:spacing w:after="33"/>
        <w:jc w:val="center"/>
      </w:pPr>
      <w:r w:rsidRPr="00B02BAD">
        <w:lastRenderedPageBreak/>
        <w:t xml:space="preserve">ПЕРЕДМОВА </w:t>
      </w:r>
    </w:p>
    <w:p w14:paraId="06896E45" w14:textId="77777777" w:rsidR="00B162C4" w:rsidRPr="00B02BAD" w:rsidRDefault="00B162C4" w:rsidP="00B162C4">
      <w:pPr>
        <w:spacing w:after="369"/>
        <w:rPr>
          <w:rFonts w:ascii="Times New Roman" w:hAnsi="Times New Roman" w:cs="Times New Roman"/>
        </w:rPr>
      </w:pPr>
      <w:r w:rsidRPr="00B02BAD">
        <w:rPr>
          <w:rFonts w:ascii="Times New Roman" w:hAnsi="Times New Roman" w:cs="Times New Roman"/>
        </w:rPr>
        <w:t xml:space="preserve"> </w:t>
      </w:r>
    </w:p>
    <w:p w14:paraId="6157F946" w14:textId="77777777" w:rsidR="00B162C4" w:rsidRPr="00B02BAD" w:rsidRDefault="00F22912" w:rsidP="00631379">
      <w:pPr>
        <w:spacing w:after="378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02BAD">
        <w:rPr>
          <w:rFonts w:ascii="Times New Roman" w:hAnsi="Times New Roman" w:cs="Times New Roman"/>
          <w:sz w:val="28"/>
          <w:szCs w:val="28"/>
        </w:rPr>
        <w:t>1</w:t>
      </w:r>
      <w:r w:rsidRPr="00B02BAD">
        <w:rPr>
          <w:rFonts w:ascii="Times New Roman" w:hAnsi="Times New Roman" w:cs="Times New Roman"/>
          <w:sz w:val="28"/>
          <w:szCs w:val="28"/>
        </w:rPr>
        <w:tab/>
      </w:r>
      <w:r w:rsidR="00E33AEE" w:rsidRPr="00B02BAD">
        <w:rPr>
          <w:rFonts w:ascii="Times New Roman" w:hAnsi="Times New Roman" w:cs="Times New Roman"/>
          <w:sz w:val="28"/>
          <w:szCs w:val="28"/>
        </w:rPr>
        <w:t>РОЗРОБЛЕНО: Державне підприємство</w:t>
      </w:r>
      <w:r w:rsidR="00B162C4" w:rsidRPr="00B02BAD">
        <w:rPr>
          <w:rFonts w:ascii="Times New Roman" w:hAnsi="Times New Roman" w:cs="Times New Roman"/>
          <w:sz w:val="28"/>
          <w:szCs w:val="28"/>
        </w:rPr>
        <w:t xml:space="preserve"> «Державний експертний це</w:t>
      </w:r>
      <w:r w:rsidR="00E33AEE" w:rsidRPr="00B02BAD">
        <w:rPr>
          <w:rFonts w:ascii="Times New Roman" w:hAnsi="Times New Roman" w:cs="Times New Roman"/>
          <w:sz w:val="28"/>
          <w:szCs w:val="28"/>
        </w:rPr>
        <w:t>нтр Міністерства охорони здоров’я</w:t>
      </w:r>
      <w:r w:rsidR="00B162C4" w:rsidRPr="00B02BAD">
        <w:rPr>
          <w:rFonts w:ascii="Times New Roman" w:hAnsi="Times New Roman" w:cs="Times New Roman"/>
          <w:sz w:val="28"/>
          <w:szCs w:val="28"/>
        </w:rPr>
        <w:t xml:space="preserve"> України»  </w:t>
      </w:r>
    </w:p>
    <w:p w14:paraId="0702D2B7" w14:textId="21F2950A" w:rsidR="0080386E" w:rsidRPr="00B02BAD" w:rsidRDefault="00B162C4" w:rsidP="0080386E">
      <w:pPr>
        <w:pStyle w:val="Default"/>
        <w:ind w:left="567" w:right="79"/>
        <w:jc w:val="both"/>
        <w:rPr>
          <w:b/>
          <w:sz w:val="28"/>
          <w:szCs w:val="28"/>
          <w:lang w:val="uk-UA"/>
        </w:rPr>
      </w:pPr>
      <w:r w:rsidRPr="00B02BAD">
        <w:rPr>
          <w:sz w:val="28"/>
          <w:szCs w:val="28"/>
          <w:lang w:val="uk-UA"/>
        </w:rPr>
        <w:t xml:space="preserve">ПЕРЕКЛАД І НАУКОВО-ТЕХНІЧНЕ РЕДАГУВАННЯ: </w:t>
      </w:r>
      <w:r w:rsidR="0080386E" w:rsidRPr="00B02BAD">
        <w:rPr>
          <w:b/>
          <w:sz w:val="28"/>
          <w:szCs w:val="28"/>
          <w:lang w:val="uk-UA"/>
        </w:rPr>
        <w:t>М. Бабенко</w:t>
      </w:r>
      <w:r w:rsidR="0080386E" w:rsidRPr="00B02BAD">
        <w:rPr>
          <w:sz w:val="28"/>
          <w:szCs w:val="28"/>
          <w:lang w:val="uk-UA"/>
        </w:rPr>
        <w:t xml:space="preserve">, </w:t>
      </w:r>
      <w:proofErr w:type="spellStart"/>
      <w:r w:rsidR="0080386E" w:rsidRPr="00B02BAD">
        <w:rPr>
          <w:sz w:val="28"/>
          <w:szCs w:val="28"/>
          <w:lang w:val="uk-UA"/>
        </w:rPr>
        <w:t>канд</w:t>
      </w:r>
      <w:proofErr w:type="spellEnd"/>
      <w:r w:rsidR="0080386E" w:rsidRPr="00B02BAD">
        <w:rPr>
          <w:sz w:val="28"/>
          <w:szCs w:val="28"/>
          <w:lang w:val="uk-UA"/>
        </w:rPr>
        <w:t xml:space="preserve">. </w:t>
      </w:r>
      <w:proofErr w:type="spellStart"/>
      <w:r w:rsidR="0080386E" w:rsidRPr="00B02BAD">
        <w:rPr>
          <w:sz w:val="28"/>
          <w:szCs w:val="28"/>
          <w:lang w:val="uk-UA"/>
        </w:rPr>
        <w:t>фарм</w:t>
      </w:r>
      <w:proofErr w:type="spellEnd"/>
      <w:r w:rsidR="0080386E" w:rsidRPr="00B02BAD">
        <w:rPr>
          <w:sz w:val="28"/>
          <w:szCs w:val="28"/>
          <w:lang w:val="uk-UA"/>
        </w:rPr>
        <w:t xml:space="preserve">. наук; </w:t>
      </w:r>
      <w:r w:rsidR="0080386E" w:rsidRPr="00B02BAD">
        <w:rPr>
          <w:b/>
          <w:sz w:val="28"/>
          <w:szCs w:val="28"/>
          <w:lang w:val="uk-UA"/>
        </w:rPr>
        <w:t>М. Лобас</w:t>
      </w:r>
      <w:r w:rsidR="0080386E" w:rsidRPr="00B02BAD">
        <w:rPr>
          <w:sz w:val="28"/>
          <w:szCs w:val="28"/>
          <w:lang w:val="uk-UA"/>
        </w:rPr>
        <w:t xml:space="preserve">, </w:t>
      </w:r>
      <w:proofErr w:type="spellStart"/>
      <w:r w:rsidR="0080386E" w:rsidRPr="00B02BAD">
        <w:rPr>
          <w:sz w:val="28"/>
          <w:szCs w:val="28"/>
          <w:lang w:val="uk-UA"/>
        </w:rPr>
        <w:t>канд</w:t>
      </w:r>
      <w:proofErr w:type="spellEnd"/>
      <w:r w:rsidR="0080386E" w:rsidRPr="00B02BAD">
        <w:rPr>
          <w:sz w:val="28"/>
          <w:szCs w:val="28"/>
          <w:lang w:val="uk-UA"/>
        </w:rPr>
        <w:t xml:space="preserve">. мед. наук; </w:t>
      </w:r>
      <w:r w:rsidR="00363D78" w:rsidRPr="00363D78">
        <w:rPr>
          <w:b/>
          <w:sz w:val="28"/>
          <w:szCs w:val="28"/>
          <w:lang w:val="uk-UA"/>
        </w:rPr>
        <w:t>О. Семенченко</w:t>
      </w:r>
      <w:r w:rsidR="00363D78">
        <w:rPr>
          <w:sz w:val="28"/>
          <w:szCs w:val="28"/>
          <w:lang w:val="uk-UA"/>
        </w:rPr>
        <w:t xml:space="preserve">; </w:t>
      </w:r>
      <w:r w:rsidR="0080386E" w:rsidRPr="00B02BAD">
        <w:rPr>
          <w:b/>
          <w:sz w:val="28"/>
          <w:szCs w:val="28"/>
          <w:lang w:val="uk-UA"/>
        </w:rPr>
        <w:t>М. Козлов</w:t>
      </w:r>
      <w:r w:rsidR="0080386E" w:rsidRPr="00B02BAD">
        <w:rPr>
          <w:sz w:val="28"/>
          <w:szCs w:val="28"/>
          <w:lang w:val="uk-UA"/>
        </w:rPr>
        <w:t xml:space="preserve">, </w:t>
      </w:r>
      <w:proofErr w:type="spellStart"/>
      <w:r w:rsidR="0080386E" w:rsidRPr="00B02BAD">
        <w:rPr>
          <w:sz w:val="28"/>
          <w:szCs w:val="28"/>
          <w:lang w:val="uk-UA"/>
        </w:rPr>
        <w:t>канд</w:t>
      </w:r>
      <w:proofErr w:type="spellEnd"/>
      <w:r w:rsidR="0080386E" w:rsidRPr="00B02BAD">
        <w:rPr>
          <w:sz w:val="28"/>
          <w:szCs w:val="28"/>
          <w:lang w:val="uk-UA"/>
        </w:rPr>
        <w:t xml:space="preserve">. мед. наук; </w:t>
      </w:r>
      <w:r w:rsidR="00CF4FC6" w:rsidRPr="00B02BAD">
        <w:rPr>
          <w:b/>
          <w:sz w:val="28"/>
          <w:szCs w:val="28"/>
          <w:lang w:val="uk-UA"/>
        </w:rPr>
        <w:t>С. Распутняк</w:t>
      </w:r>
    </w:p>
    <w:p w14:paraId="125A799F" w14:textId="77777777" w:rsidR="00B162C4" w:rsidRPr="00B02BAD" w:rsidRDefault="00B162C4" w:rsidP="0080386E">
      <w:pPr>
        <w:spacing w:after="15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3F872A6" w14:textId="77777777" w:rsidR="00B162C4" w:rsidRPr="00B02BAD" w:rsidRDefault="00B162C4" w:rsidP="00631379">
      <w:pPr>
        <w:spacing w:after="8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02BAD">
        <w:rPr>
          <w:rFonts w:ascii="Times New Roman" w:hAnsi="Times New Roman" w:cs="Times New Roman"/>
          <w:sz w:val="28"/>
          <w:szCs w:val="28"/>
        </w:rPr>
        <w:t>РЕКОМЕНДОВАНО ДО ПРИЙНЯТ</w:t>
      </w:r>
      <w:r w:rsidR="00BE13DD" w:rsidRPr="00B02BAD">
        <w:rPr>
          <w:rFonts w:ascii="Times New Roman" w:hAnsi="Times New Roman" w:cs="Times New Roman"/>
          <w:sz w:val="28"/>
          <w:szCs w:val="28"/>
        </w:rPr>
        <w:t xml:space="preserve">ТЯ: Міністерство охорони </w:t>
      </w:r>
      <w:r w:rsidR="00BC3DC9" w:rsidRPr="00B02BAD">
        <w:rPr>
          <w:rFonts w:ascii="Times New Roman" w:hAnsi="Times New Roman" w:cs="Times New Roman"/>
          <w:sz w:val="28"/>
          <w:szCs w:val="28"/>
        </w:rPr>
        <w:t>здоров’я</w:t>
      </w:r>
      <w:r w:rsidRPr="00B02BAD">
        <w:rPr>
          <w:rFonts w:ascii="Times New Roman" w:hAnsi="Times New Roman" w:cs="Times New Roman"/>
          <w:sz w:val="28"/>
          <w:szCs w:val="28"/>
        </w:rPr>
        <w:t xml:space="preserve"> України  </w:t>
      </w:r>
    </w:p>
    <w:p w14:paraId="5D531262" w14:textId="77777777" w:rsidR="00B162C4" w:rsidRPr="00B02BAD" w:rsidRDefault="00B162C4" w:rsidP="00631379">
      <w:pPr>
        <w:spacing w:after="84"/>
        <w:ind w:left="567" w:hanging="567"/>
        <w:rPr>
          <w:rFonts w:ascii="Times New Roman" w:hAnsi="Times New Roman" w:cs="Times New Roman"/>
          <w:sz w:val="28"/>
          <w:szCs w:val="28"/>
        </w:rPr>
      </w:pPr>
    </w:p>
    <w:p w14:paraId="56F52FC3" w14:textId="60DC311E" w:rsidR="00B162C4" w:rsidRPr="00B02BAD" w:rsidRDefault="00631379" w:rsidP="00631379">
      <w:pPr>
        <w:spacing w:after="295" w:line="314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02BAD">
        <w:rPr>
          <w:rFonts w:ascii="Times New Roman" w:hAnsi="Times New Roman" w:cs="Times New Roman"/>
          <w:sz w:val="28"/>
          <w:szCs w:val="28"/>
        </w:rPr>
        <w:t>2</w:t>
      </w:r>
      <w:r w:rsidR="00F22912" w:rsidRPr="00B02BAD">
        <w:rPr>
          <w:rFonts w:ascii="Times New Roman" w:hAnsi="Times New Roman" w:cs="Times New Roman"/>
          <w:sz w:val="28"/>
          <w:szCs w:val="28"/>
        </w:rPr>
        <w:tab/>
      </w:r>
      <w:r w:rsidR="00B162C4" w:rsidRPr="00B02BAD">
        <w:rPr>
          <w:rFonts w:ascii="Times New Roman" w:hAnsi="Times New Roman" w:cs="Times New Roman"/>
          <w:sz w:val="28"/>
          <w:szCs w:val="28"/>
        </w:rPr>
        <w:t>ПРИЙНЯТО ТА НАДАНО ЧИННОСТІ: на</w:t>
      </w:r>
      <w:r w:rsidR="00F25E99" w:rsidRPr="00B02BAD">
        <w:rPr>
          <w:rFonts w:ascii="Times New Roman" w:hAnsi="Times New Roman" w:cs="Times New Roman"/>
          <w:sz w:val="28"/>
          <w:szCs w:val="28"/>
        </w:rPr>
        <w:t>каз Міністерства охорони здоров’я</w:t>
      </w:r>
      <w:r w:rsidR="00B162C4" w:rsidRPr="00B02BAD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B162C4" w:rsidRPr="0073268D">
        <w:rPr>
          <w:rFonts w:ascii="Times New Roman" w:hAnsi="Times New Roman" w:cs="Times New Roman"/>
          <w:sz w:val="28"/>
          <w:szCs w:val="28"/>
        </w:rPr>
        <w:t xml:space="preserve">від </w:t>
      </w:r>
      <w:r w:rsidR="003E4D44">
        <w:rPr>
          <w:rFonts w:ascii="Times New Roman" w:hAnsi="Times New Roman" w:cs="Times New Roman"/>
          <w:sz w:val="28"/>
          <w:szCs w:val="28"/>
        </w:rPr>
        <w:t xml:space="preserve">08 серпня 2024 року </w:t>
      </w:r>
      <w:r w:rsidR="00B162C4" w:rsidRPr="0073268D">
        <w:rPr>
          <w:rFonts w:ascii="Times New Roman" w:hAnsi="Times New Roman" w:cs="Times New Roman"/>
          <w:sz w:val="28"/>
          <w:szCs w:val="28"/>
        </w:rPr>
        <w:t xml:space="preserve"> № </w:t>
      </w:r>
      <w:r w:rsidR="00764244">
        <w:rPr>
          <w:rFonts w:ascii="Times New Roman" w:hAnsi="Times New Roman" w:cs="Times New Roman"/>
          <w:sz w:val="28"/>
          <w:szCs w:val="28"/>
        </w:rPr>
        <w:t>1400</w:t>
      </w:r>
    </w:p>
    <w:p w14:paraId="173636D7" w14:textId="77777777" w:rsidR="00B162C4" w:rsidRPr="00B02BAD" w:rsidRDefault="00631379" w:rsidP="00631379">
      <w:pPr>
        <w:spacing w:after="345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02BAD">
        <w:rPr>
          <w:rFonts w:ascii="Times New Roman" w:hAnsi="Times New Roman" w:cs="Times New Roman"/>
          <w:sz w:val="28"/>
          <w:szCs w:val="28"/>
        </w:rPr>
        <w:t>3</w:t>
      </w:r>
      <w:r w:rsidRPr="00B02BAD">
        <w:rPr>
          <w:rFonts w:ascii="Times New Roman" w:hAnsi="Times New Roman" w:cs="Times New Roman"/>
          <w:sz w:val="28"/>
          <w:szCs w:val="28"/>
        </w:rPr>
        <w:tab/>
      </w:r>
      <w:r w:rsidR="00B162C4" w:rsidRPr="00B02BAD">
        <w:rPr>
          <w:rFonts w:ascii="Times New Roman" w:hAnsi="Times New Roman" w:cs="Times New Roman"/>
          <w:sz w:val="28"/>
          <w:szCs w:val="28"/>
        </w:rPr>
        <w:t xml:space="preserve">Ця настанова відповідає документу: </w:t>
      </w:r>
    </w:p>
    <w:p w14:paraId="15E29845" w14:textId="60BA1788" w:rsidR="00B162C4" w:rsidRPr="0091674D" w:rsidRDefault="00B162C4" w:rsidP="00631379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74D">
        <w:rPr>
          <w:rFonts w:ascii="Times New Roman" w:hAnsi="Times New Roman" w:cs="Times New Roman"/>
          <w:sz w:val="28"/>
          <w:szCs w:val="28"/>
        </w:rPr>
        <w:t xml:space="preserve">EMEA/CHMP/VWP/164653/05 </w:t>
      </w:r>
      <w:proofErr w:type="spellStart"/>
      <w:r w:rsidRPr="0091674D">
        <w:rPr>
          <w:rFonts w:ascii="Times New Roman" w:hAnsi="Times New Roman" w:cs="Times New Roman"/>
          <w:sz w:val="28"/>
          <w:szCs w:val="28"/>
        </w:rPr>
        <w:t>Rev</w:t>
      </w:r>
      <w:proofErr w:type="spellEnd"/>
      <w:r w:rsidRPr="0091674D">
        <w:rPr>
          <w:rFonts w:ascii="Times New Roman" w:hAnsi="Times New Roman" w:cs="Times New Roman"/>
          <w:sz w:val="28"/>
          <w:szCs w:val="28"/>
        </w:rPr>
        <w:t>. 1 «</w:t>
      </w:r>
      <w:proofErr w:type="spellStart"/>
      <w:r w:rsidRPr="0091674D">
        <w:rPr>
          <w:rFonts w:ascii="Times New Roman" w:hAnsi="Times New Roman" w:cs="Times New Roman"/>
          <w:sz w:val="28"/>
          <w:szCs w:val="28"/>
        </w:rPr>
        <w:t>Guideline</w:t>
      </w:r>
      <w:proofErr w:type="spellEnd"/>
      <w:r w:rsidRPr="00916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4D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916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4D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916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4D">
        <w:rPr>
          <w:rFonts w:ascii="Times New Roman" w:hAnsi="Times New Roman" w:cs="Times New Roman"/>
          <w:sz w:val="28"/>
          <w:szCs w:val="28"/>
        </w:rPr>
        <w:t>evaluation</w:t>
      </w:r>
      <w:proofErr w:type="spellEnd"/>
      <w:r w:rsidRPr="00916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4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16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4D">
        <w:rPr>
          <w:rFonts w:ascii="Times New Roman" w:hAnsi="Times New Roman" w:cs="Times New Roman"/>
          <w:sz w:val="28"/>
          <w:szCs w:val="28"/>
        </w:rPr>
        <w:t>vaccines</w:t>
      </w:r>
      <w:proofErr w:type="spellEnd"/>
      <w:r w:rsidR="008C2611" w:rsidRPr="0091674D">
        <w:rPr>
          <w:rFonts w:ascii="Times New Roman" w:hAnsi="Times New Roman" w:cs="Times New Roman"/>
          <w:sz w:val="28"/>
          <w:szCs w:val="28"/>
        </w:rPr>
        <w:t>»,</w:t>
      </w:r>
      <w:r w:rsidRPr="0091674D">
        <w:rPr>
          <w:rFonts w:ascii="Times New Roman" w:hAnsi="Times New Roman" w:cs="Times New Roman"/>
          <w:sz w:val="28"/>
          <w:szCs w:val="28"/>
        </w:rPr>
        <w:t xml:space="preserve"> </w:t>
      </w:r>
      <w:r w:rsidR="00B02BAD" w:rsidRPr="0091674D">
        <w:rPr>
          <w:rFonts w:ascii="Times New Roman" w:hAnsi="Times New Roman" w:cs="Times New Roman"/>
          <w:sz w:val="28"/>
          <w:szCs w:val="28"/>
        </w:rPr>
        <w:t>—</w:t>
      </w:r>
      <w:r w:rsidRPr="00916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CD7" w:rsidRPr="0091674D">
        <w:rPr>
          <w:rFonts w:ascii="Times New Roman" w:hAnsi="Times New Roman" w:cs="Times New Roman"/>
          <w:sz w:val="28"/>
          <w:szCs w:val="28"/>
        </w:rPr>
        <w:t>August</w:t>
      </w:r>
      <w:proofErr w:type="spellEnd"/>
      <w:r w:rsidR="00684CD7" w:rsidRPr="0091674D">
        <w:rPr>
          <w:rFonts w:ascii="Times New Roman" w:hAnsi="Times New Roman" w:cs="Times New Roman"/>
          <w:sz w:val="28"/>
          <w:szCs w:val="28"/>
        </w:rPr>
        <w:t xml:space="preserve"> </w:t>
      </w:r>
      <w:r w:rsidR="00564A07" w:rsidRPr="0091674D">
        <w:rPr>
          <w:rFonts w:ascii="Times New Roman" w:hAnsi="Times New Roman" w:cs="Times New Roman"/>
          <w:sz w:val="28"/>
          <w:szCs w:val="28"/>
        </w:rPr>
        <w:t>2023</w:t>
      </w:r>
      <w:r w:rsidRPr="0091674D">
        <w:rPr>
          <w:rFonts w:ascii="Times New Roman" w:hAnsi="Times New Roman" w:cs="Times New Roman"/>
          <w:sz w:val="28"/>
          <w:szCs w:val="28"/>
        </w:rPr>
        <w:t xml:space="preserve"> (</w:t>
      </w:r>
      <w:r w:rsidR="008C2611" w:rsidRPr="0091674D">
        <w:rPr>
          <w:rFonts w:ascii="Times New Roman" w:hAnsi="Times New Roman" w:cs="Times New Roman"/>
          <w:sz w:val="28"/>
          <w:szCs w:val="28"/>
        </w:rPr>
        <w:t>«</w:t>
      </w:r>
      <w:r w:rsidRPr="0091674D">
        <w:rPr>
          <w:rFonts w:ascii="Times New Roman" w:hAnsi="Times New Roman" w:cs="Times New Roman"/>
          <w:sz w:val="28"/>
          <w:szCs w:val="28"/>
        </w:rPr>
        <w:t>Керівництво щодо клінічної оцінки вакцин</w:t>
      </w:r>
      <w:r w:rsidR="008C2611" w:rsidRPr="0091674D">
        <w:rPr>
          <w:rFonts w:ascii="Times New Roman" w:hAnsi="Times New Roman" w:cs="Times New Roman"/>
          <w:sz w:val="28"/>
          <w:szCs w:val="28"/>
        </w:rPr>
        <w:t>»,</w:t>
      </w:r>
      <w:r w:rsidRPr="0091674D">
        <w:rPr>
          <w:rFonts w:ascii="Times New Roman" w:hAnsi="Times New Roman" w:cs="Times New Roman"/>
          <w:sz w:val="28"/>
          <w:szCs w:val="28"/>
        </w:rPr>
        <w:t xml:space="preserve"> </w:t>
      </w:r>
      <w:r w:rsidR="00B02BAD" w:rsidRPr="0091674D">
        <w:rPr>
          <w:rFonts w:ascii="Times New Roman" w:hAnsi="Times New Roman" w:cs="Times New Roman"/>
          <w:sz w:val="28"/>
          <w:szCs w:val="28"/>
        </w:rPr>
        <w:t>—</w:t>
      </w:r>
      <w:r w:rsidRPr="0091674D">
        <w:rPr>
          <w:rFonts w:ascii="Times New Roman" w:hAnsi="Times New Roman" w:cs="Times New Roman"/>
          <w:sz w:val="28"/>
          <w:szCs w:val="28"/>
        </w:rPr>
        <w:t xml:space="preserve"> </w:t>
      </w:r>
      <w:r w:rsidR="00684CD7" w:rsidRPr="0091674D">
        <w:rPr>
          <w:rFonts w:ascii="Times New Roman" w:hAnsi="Times New Roman" w:cs="Times New Roman"/>
          <w:sz w:val="28"/>
          <w:szCs w:val="28"/>
        </w:rPr>
        <w:t>серпень</w:t>
      </w:r>
      <w:r w:rsidRPr="0091674D">
        <w:rPr>
          <w:rFonts w:ascii="Times New Roman" w:hAnsi="Times New Roman" w:cs="Times New Roman"/>
          <w:sz w:val="28"/>
          <w:szCs w:val="28"/>
        </w:rPr>
        <w:t xml:space="preserve"> 20</w:t>
      </w:r>
      <w:r w:rsidR="00564A07" w:rsidRPr="0091674D">
        <w:rPr>
          <w:rFonts w:ascii="Times New Roman" w:hAnsi="Times New Roman" w:cs="Times New Roman"/>
          <w:sz w:val="28"/>
          <w:szCs w:val="28"/>
        </w:rPr>
        <w:t>23</w:t>
      </w:r>
      <w:r w:rsidRPr="0091674D">
        <w:rPr>
          <w:rFonts w:ascii="Times New Roman" w:hAnsi="Times New Roman" w:cs="Times New Roman"/>
          <w:sz w:val="28"/>
          <w:szCs w:val="28"/>
        </w:rPr>
        <w:t>)</w:t>
      </w:r>
    </w:p>
    <w:p w14:paraId="30F85174" w14:textId="4C5B4777" w:rsidR="00B162C4" w:rsidRPr="00B02BAD" w:rsidRDefault="00B162C4" w:rsidP="00631379">
      <w:pPr>
        <w:spacing w:after="368"/>
        <w:ind w:left="567"/>
        <w:rPr>
          <w:rFonts w:ascii="Times New Roman" w:hAnsi="Times New Roman" w:cs="Times New Roman"/>
          <w:sz w:val="28"/>
          <w:szCs w:val="28"/>
        </w:rPr>
      </w:pPr>
      <w:r w:rsidRPr="0091674D">
        <w:rPr>
          <w:rFonts w:ascii="Times New Roman" w:hAnsi="Times New Roman" w:cs="Times New Roman"/>
          <w:sz w:val="28"/>
          <w:szCs w:val="28"/>
        </w:rPr>
        <w:t xml:space="preserve">Ступінь відповідності </w:t>
      </w:r>
      <w:r w:rsidR="00B02BAD" w:rsidRPr="0091674D">
        <w:rPr>
          <w:rFonts w:ascii="Times New Roman" w:hAnsi="Times New Roman" w:cs="Times New Roman"/>
          <w:sz w:val="28"/>
          <w:szCs w:val="28"/>
        </w:rPr>
        <w:t>—</w:t>
      </w:r>
      <w:r w:rsidRPr="0091674D">
        <w:rPr>
          <w:rFonts w:ascii="Times New Roman" w:hAnsi="Times New Roman" w:cs="Times New Roman"/>
          <w:sz w:val="28"/>
          <w:szCs w:val="28"/>
        </w:rPr>
        <w:t xml:space="preserve"> модифікований (MOD)</w:t>
      </w:r>
      <w:r w:rsidRPr="00B02B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59A66F" w14:textId="77777777" w:rsidR="00B162C4" w:rsidRPr="00B02BAD" w:rsidRDefault="00B162C4" w:rsidP="00631379">
      <w:pPr>
        <w:spacing w:after="370"/>
        <w:ind w:left="567"/>
        <w:rPr>
          <w:rFonts w:ascii="Times New Roman" w:hAnsi="Times New Roman" w:cs="Times New Roman"/>
          <w:sz w:val="28"/>
          <w:szCs w:val="28"/>
        </w:rPr>
      </w:pPr>
      <w:r w:rsidRPr="00B02BAD">
        <w:rPr>
          <w:rFonts w:ascii="Times New Roman" w:hAnsi="Times New Roman" w:cs="Times New Roman"/>
          <w:sz w:val="28"/>
          <w:szCs w:val="28"/>
        </w:rPr>
        <w:t>Переклад з англійської (</w:t>
      </w:r>
      <w:proofErr w:type="spellStart"/>
      <w:r w:rsidRPr="00B02BAD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02BAD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2752BB41" w14:textId="77777777" w:rsidR="00564A07" w:rsidRPr="00B02BAD" w:rsidRDefault="00631379" w:rsidP="00564A0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BAD">
        <w:rPr>
          <w:rFonts w:ascii="Times New Roman" w:hAnsi="Times New Roman" w:cs="Times New Roman"/>
          <w:sz w:val="28"/>
          <w:szCs w:val="28"/>
        </w:rPr>
        <w:t>4</w:t>
      </w:r>
      <w:r w:rsidRPr="00B02BAD">
        <w:rPr>
          <w:rFonts w:ascii="Times New Roman" w:hAnsi="Times New Roman" w:cs="Times New Roman"/>
          <w:sz w:val="28"/>
          <w:szCs w:val="28"/>
        </w:rPr>
        <w:tab/>
      </w:r>
      <w:r w:rsidR="00B162C4" w:rsidRPr="00B02BAD">
        <w:rPr>
          <w:rFonts w:ascii="Times New Roman" w:hAnsi="Times New Roman" w:cs="Times New Roman"/>
          <w:sz w:val="28"/>
          <w:szCs w:val="28"/>
        </w:rPr>
        <w:t xml:space="preserve">ВВЕДЕНО </w:t>
      </w:r>
      <w:r w:rsidR="00F22912" w:rsidRPr="00B02BAD">
        <w:rPr>
          <w:rFonts w:ascii="Times New Roman" w:hAnsi="Times New Roman" w:cs="Times New Roman"/>
          <w:sz w:val="28"/>
          <w:szCs w:val="28"/>
        </w:rPr>
        <w:t>на заміну настанови</w:t>
      </w:r>
      <w:r w:rsidR="00564A07" w:rsidRPr="00B02BAD">
        <w:rPr>
          <w:rFonts w:ascii="Times New Roman" w:hAnsi="Times New Roman" w:cs="Times New Roman"/>
          <w:sz w:val="28"/>
          <w:szCs w:val="28"/>
        </w:rPr>
        <w:t xml:space="preserve"> 42-7.7:2020 «</w:t>
      </w:r>
      <w:r w:rsidR="00536DD1" w:rsidRPr="00B02BAD">
        <w:rPr>
          <w:rFonts w:ascii="Times New Roman" w:hAnsi="Times New Roman" w:cs="Times New Roman"/>
          <w:sz w:val="28"/>
          <w:szCs w:val="28"/>
        </w:rPr>
        <w:t xml:space="preserve">Лікарські засоби. </w:t>
      </w:r>
      <w:r w:rsidR="00564A07" w:rsidRPr="00B02BAD">
        <w:rPr>
          <w:rFonts w:ascii="Times New Roman" w:hAnsi="Times New Roman" w:cs="Times New Roman"/>
          <w:sz w:val="28"/>
          <w:szCs w:val="28"/>
        </w:rPr>
        <w:t>Керівництво щодо клінічної оцінки вакцин».</w:t>
      </w:r>
    </w:p>
    <w:p w14:paraId="2BE678AB" w14:textId="77777777" w:rsidR="00B162C4" w:rsidRPr="00B02BAD" w:rsidRDefault="00B162C4" w:rsidP="00631379">
      <w:pPr>
        <w:spacing w:after="295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3AFF99C" w14:textId="77777777" w:rsidR="00DE0DEC" w:rsidRPr="00B02BAD" w:rsidRDefault="00DE0DEC" w:rsidP="00F22912">
      <w:pPr>
        <w:spacing w:after="0"/>
        <w:ind w:right="49"/>
        <w:rPr>
          <w:rFonts w:ascii="Times New Roman" w:hAnsi="Times New Roman" w:cs="Times New Roman"/>
          <w:sz w:val="28"/>
          <w:szCs w:val="28"/>
        </w:rPr>
      </w:pPr>
    </w:p>
    <w:p w14:paraId="5107A612" w14:textId="77777777" w:rsidR="00DE0DEC" w:rsidRPr="00B02BAD" w:rsidRDefault="00DE0DEC" w:rsidP="00F22912">
      <w:pPr>
        <w:tabs>
          <w:tab w:val="left" w:pos="5729"/>
        </w:tabs>
        <w:spacing w:after="0"/>
        <w:ind w:right="49"/>
        <w:rPr>
          <w:rFonts w:ascii="Times New Roman" w:hAnsi="Times New Roman" w:cs="Times New Roman"/>
          <w:sz w:val="28"/>
          <w:szCs w:val="28"/>
        </w:rPr>
      </w:pPr>
    </w:p>
    <w:p w14:paraId="2D7AD68F" w14:textId="77777777" w:rsidR="00DE0DEC" w:rsidRPr="00B02BAD" w:rsidRDefault="00DE0DEC" w:rsidP="00F22912">
      <w:pPr>
        <w:spacing w:after="0"/>
        <w:ind w:right="49"/>
        <w:rPr>
          <w:rFonts w:ascii="Times New Roman" w:hAnsi="Times New Roman" w:cs="Times New Roman"/>
          <w:sz w:val="28"/>
          <w:szCs w:val="28"/>
        </w:rPr>
      </w:pPr>
    </w:p>
    <w:p w14:paraId="5C85F381" w14:textId="77777777" w:rsidR="00DE0DEC" w:rsidRPr="00B02BAD" w:rsidRDefault="00DE0DEC" w:rsidP="00F22912">
      <w:pPr>
        <w:spacing w:after="0"/>
        <w:ind w:right="49"/>
        <w:rPr>
          <w:rFonts w:ascii="Times New Roman" w:hAnsi="Times New Roman" w:cs="Times New Roman"/>
          <w:sz w:val="28"/>
          <w:szCs w:val="28"/>
        </w:rPr>
      </w:pPr>
    </w:p>
    <w:p w14:paraId="19DB879D" w14:textId="77777777" w:rsidR="00DE0DEC" w:rsidRPr="00B02BAD" w:rsidRDefault="00DE0DEC" w:rsidP="00F22912">
      <w:pPr>
        <w:spacing w:after="0"/>
        <w:ind w:right="49"/>
        <w:rPr>
          <w:rFonts w:ascii="Times New Roman" w:hAnsi="Times New Roman" w:cs="Times New Roman"/>
          <w:sz w:val="28"/>
          <w:szCs w:val="28"/>
        </w:rPr>
      </w:pPr>
    </w:p>
    <w:p w14:paraId="15EE4D28" w14:textId="77777777" w:rsidR="00631379" w:rsidRPr="00B02BAD" w:rsidRDefault="00631379" w:rsidP="00F22912">
      <w:pPr>
        <w:spacing w:after="0"/>
        <w:ind w:right="49"/>
        <w:rPr>
          <w:rFonts w:ascii="Times New Roman" w:hAnsi="Times New Roman" w:cs="Times New Roman"/>
          <w:sz w:val="28"/>
          <w:szCs w:val="28"/>
        </w:rPr>
      </w:pPr>
    </w:p>
    <w:p w14:paraId="7212B711" w14:textId="77777777" w:rsidR="00631379" w:rsidRPr="00B02BAD" w:rsidRDefault="00631379" w:rsidP="00F22912">
      <w:pPr>
        <w:spacing w:after="0"/>
        <w:ind w:right="49"/>
        <w:rPr>
          <w:rFonts w:ascii="Times New Roman" w:hAnsi="Times New Roman" w:cs="Times New Roman"/>
          <w:sz w:val="28"/>
          <w:szCs w:val="28"/>
        </w:rPr>
      </w:pPr>
    </w:p>
    <w:p w14:paraId="53060893" w14:textId="77777777" w:rsidR="00631379" w:rsidRPr="00B02BAD" w:rsidRDefault="00631379" w:rsidP="00F22912">
      <w:pPr>
        <w:spacing w:after="0"/>
        <w:ind w:right="49"/>
        <w:rPr>
          <w:rFonts w:ascii="Times New Roman" w:hAnsi="Times New Roman" w:cs="Times New Roman"/>
          <w:sz w:val="28"/>
          <w:szCs w:val="28"/>
        </w:rPr>
      </w:pPr>
    </w:p>
    <w:p w14:paraId="2983E3EB" w14:textId="77777777" w:rsidR="00DE0DEC" w:rsidRPr="00B02BAD" w:rsidRDefault="00DE0DEC" w:rsidP="00F22912">
      <w:pPr>
        <w:spacing w:after="0"/>
        <w:ind w:right="49"/>
        <w:rPr>
          <w:rFonts w:ascii="Times New Roman" w:hAnsi="Times New Roman" w:cs="Times New Roman"/>
          <w:sz w:val="28"/>
          <w:szCs w:val="28"/>
        </w:rPr>
      </w:pPr>
    </w:p>
    <w:p w14:paraId="43CB7328" w14:textId="3F567070" w:rsidR="00B162C4" w:rsidRPr="00B02BAD" w:rsidRDefault="004B1E0F" w:rsidP="00631379">
      <w:pPr>
        <w:spacing w:after="0"/>
        <w:ind w:left="2880" w:right="49" w:firstLine="720"/>
        <w:rPr>
          <w:rFonts w:ascii="Times New Roman" w:hAnsi="Times New Roman" w:cs="Times New Roman"/>
          <w:sz w:val="26"/>
          <w:szCs w:val="26"/>
        </w:rPr>
      </w:pPr>
      <w:r w:rsidRPr="00B02BAD">
        <w:rPr>
          <w:rFonts w:ascii="Times New Roman" w:hAnsi="Times New Roman" w:cs="Times New Roman"/>
          <w:sz w:val="26"/>
          <w:szCs w:val="26"/>
        </w:rPr>
        <w:t xml:space="preserve">© Міністерство охорони </w:t>
      </w:r>
      <w:r w:rsidR="005C03D7" w:rsidRPr="00B02BAD">
        <w:rPr>
          <w:rFonts w:ascii="Times New Roman" w:hAnsi="Times New Roman" w:cs="Times New Roman"/>
          <w:sz w:val="26"/>
          <w:szCs w:val="26"/>
        </w:rPr>
        <w:t>здоров’я</w:t>
      </w:r>
      <w:r w:rsidR="00B162C4" w:rsidRPr="00B02BAD">
        <w:rPr>
          <w:rFonts w:ascii="Times New Roman" w:hAnsi="Times New Roman" w:cs="Times New Roman"/>
          <w:sz w:val="26"/>
          <w:szCs w:val="26"/>
        </w:rPr>
        <w:t xml:space="preserve"> України, 202</w:t>
      </w:r>
      <w:r w:rsidR="0091674D">
        <w:rPr>
          <w:rFonts w:ascii="Times New Roman" w:hAnsi="Times New Roman" w:cs="Times New Roman"/>
          <w:sz w:val="26"/>
          <w:szCs w:val="26"/>
        </w:rPr>
        <w:t>4</w:t>
      </w:r>
      <w:r w:rsidR="00B162C4" w:rsidRPr="00B02B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0D95A1" w14:textId="75742680" w:rsidR="00B162C4" w:rsidRPr="00B02BAD" w:rsidRDefault="00B162C4" w:rsidP="00631379">
      <w:pPr>
        <w:spacing w:after="0"/>
        <w:ind w:left="2880" w:right="49" w:firstLine="720"/>
        <w:rPr>
          <w:rFonts w:ascii="Times New Roman" w:hAnsi="Times New Roman" w:cs="Times New Roman"/>
          <w:sz w:val="26"/>
          <w:szCs w:val="26"/>
        </w:rPr>
      </w:pPr>
      <w:r w:rsidRPr="00B02BAD">
        <w:rPr>
          <w:rFonts w:ascii="Times New Roman" w:hAnsi="Times New Roman" w:cs="Times New Roman"/>
          <w:sz w:val="26"/>
          <w:szCs w:val="26"/>
        </w:rPr>
        <w:t xml:space="preserve">© Державний експертний центр МОЗ </w:t>
      </w:r>
      <w:r w:rsidR="00631379" w:rsidRPr="00B02BAD">
        <w:rPr>
          <w:rFonts w:ascii="Times New Roman" w:hAnsi="Times New Roman" w:cs="Times New Roman"/>
          <w:sz w:val="26"/>
          <w:szCs w:val="26"/>
        </w:rPr>
        <w:t>України, 202</w:t>
      </w:r>
      <w:r w:rsidR="0091674D">
        <w:rPr>
          <w:rFonts w:ascii="Times New Roman" w:hAnsi="Times New Roman" w:cs="Times New Roman"/>
          <w:sz w:val="26"/>
          <w:szCs w:val="26"/>
        </w:rPr>
        <w:t>4</w:t>
      </w:r>
    </w:p>
    <w:p w14:paraId="773221FE" w14:textId="77777777" w:rsidR="00B162C4" w:rsidRPr="00B02BAD" w:rsidRDefault="00B162C4" w:rsidP="00B162C4">
      <w:pPr>
        <w:pStyle w:val="1"/>
        <w:jc w:val="center"/>
      </w:pPr>
      <w:r w:rsidRPr="00B02BAD">
        <w:rPr>
          <w:sz w:val="24"/>
        </w:rPr>
        <w:br w:type="page"/>
      </w:r>
      <w:r w:rsidRPr="00B02BAD">
        <w:lastRenderedPageBreak/>
        <w:t>ЗМІСТ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  <w:gridCol w:w="1073"/>
      </w:tblGrid>
      <w:tr w:rsidR="00B162C4" w:rsidRPr="00B02BAD" w14:paraId="6B482628" w14:textId="77777777" w:rsidTr="005D4048">
        <w:trPr>
          <w:trHeight w:val="401"/>
        </w:trPr>
        <w:tc>
          <w:tcPr>
            <w:tcW w:w="8554" w:type="dxa"/>
            <w:shd w:val="clear" w:color="auto" w:fill="auto"/>
          </w:tcPr>
          <w:p w14:paraId="594F0BAD" w14:textId="77777777" w:rsidR="00B162C4" w:rsidRPr="00B02BAD" w:rsidRDefault="00B162C4" w:rsidP="00CF5DEC">
            <w:pPr>
              <w:tabs>
                <w:tab w:val="center" w:pos="8538"/>
              </w:tabs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 xml:space="preserve">Національний вступ </w:t>
            </w:r>
          </w:p>
        </w:tc>
        <w:tc>
          <w:tcPr>
            <w:tcW w:w="1073" w:type="dxa"/>
            <w:shd w:val="clear" w:color="auto" w:fill="auto"/>
          </w:tcPr>
          <w:p w14:paraId="487FD62C" w14:textId="77777777" w:rsidR="00B162C4" w:rsidRPr="00B02BAD" w:rsidRDefault="00C86977" w:rsidP="00CF5DEC">
            <w:pPr>
              <w:tabs>
                <w:tab w:val="center" w:pos="8720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</w:tr>
      <w:tr w:rsidR="00B162C4" w:rsidRPr="00B02BAD" w14:paraId="796A786F" w14:textId="77777777" w:rsidTr="005D4048">
        <w:trPr>
          <w:trHeight w:val="337"/>
        </w:trPr>
        <w:tc>
          <w:tcPr>
            <w:tcW w:w="8554" w:type="dxa"/>
            <w:shd w:val="clear" w:color="auto" w:fill="auto"/>
          </w:tcPr>
          <w:p w14:paraId="49ECB402" w14:textId="77777777" w:rsidR="00B162C4" w:rsidRPr="00B02BAD" w:rsidRDefault="00B162C4" w:rsidP="00CF5DEC">
            <w:pPr>
              <w:tabs>
                <w:tab w:val="center" w:pos="8460"/>
              </w:tabs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 xml:space="preserve">Сфера застосування </w:t>
            </w:r>
          </w:p>
        </w:tc>
        <w:tc>
          <w:tcPr>
            <w:tcW w:w="1073" w:type="dxa"/>
            <w:shd w:val="clear" w:color="auto" w:fill="auto"/>
          </w:tcPr>
          <w:p w14:paraId="18C284B9" w14:textId="5D05F2F3" w:rsidR="00B162C4" w:rsidRPr="00B02BAD" w:rsidRDefault="00F7692A" w:rsidP="00CF5DEC">
            <w:pPr>
              <w:tabs>
                <w:tab w:val="center" w:pos="8720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162C4" w:rsidRPr="00B02BAD" w14:paraId="4A89072A" w14:textId="77777777" w:rsidTr="005D4048">
        <w:tc>
          <w:tcPr>
            <w:tcW w:w="8554" w:type="dxa"/>
            <w:shd w:val="clear" w:color="auto" w:fill="auto"/>
          </w:tcPr>
          <w:p w14:paraId="049B2241" w14:textId="77777777" w:rsidR="00B162C4" w:rsidRPr="00B02BAD" w:rsidRDefault="0096685E" w:rsidP="00CF5DEC">
            <w:pPr>
              <w:tabs>
                <w:tab w:val="center" w:pos="8720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>Нормативні посилання</w:t>
            </w:r>
          </w:p>
        </w:tc>
        <w:tc>
          <w:tcPr>
            <w:tcW w:w="1073" w:type="dxa"/>
            <w:shd w:val="clear" w:color="auto" w:fill="auto"/>
          </w:tcPr>
          <w:p w14:paraId="4E7DC8B1" w14:textId="5577110D" w:rsidR="00B162C4" w:rsidRPr="00B02BAD" w:rsidRDefault="00F7692A" w:rsidP="00CF5DEC">
            <w:pPr>
              <w:tabs>
                <w:tab w:val="center" w:pos="8720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162C4" w:rsidRPr="00B02BAD" w14:paraId="140271AC" w14:textId="77777777" w:rsidTr="005D4048">
        <w:tc>
          <w:tcPr>
            <w:tcW w:w="8554" w:type="dxa"/>
            <w:shd w:val="clear" w:color="auto" w:fill="auto"/>
          </w:tcPr>
          <w:p w14:paraId="05E4C06F" w14:textId="374E64DB" w:rsidR="00B162C4" w:rsidRPr="0091674D" w:rsidRDefault="00023E5C" w:rsidP="00CF5DEC">
            <w:pPr>
              <w:tabs>
                <w:tab w:val="center" w:pos="8460"/>
              </w:tabs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DEC">
              <w:rPr>
                <w:rFonts w:ascii="Times New Roman" w:hAnsi="Times New Roman" w:cs="Times New Roman"/>
                <w:sz w:val="28"/>
                <w:szCs w:val="28"/>
              </w:rPr>
              <w:t>Познаки та скорочення</w:t>
            </w:r>
          </w:p>
        </w:tc>
        <w:tc>
          <w:tcPr>
            <w:tcW w:w="1073" w:type="dxa"/>
            <w:shd w:val="clear" w:color="auto" w:fill="auto"/>
          </w:tcPr>
          <w:p w14:paraId="33B72490" w14:textId="2D600F94" w:rsidR="00B162C4" w:rsidRPr="00B02BAD" w:rsidRDefault="0096685E" w:rsidP="00F7692A">
            <w:pPr>
              <w:tabs>
                <w:tab w:val="center" w:pos="8720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7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69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62C4" w:rsidRPr="00B02BAD" w14:paraId="747851C0" w14:textId="77777777" w:rsidTr="005D4048">
        <w:trPr>
          <w:trHeight w:val="481"/>
        </w:trPr>
        <w:tc>
          <w:tcPr>
            <w:tcW w:w="8554" w:type="dxa"/>
            <w:shd w:val="clear" w:color="auto" w:fill="auto"/>
          </w:tcPr>
          <w:p w14:paraId="3CCF804B" w14:textId="4C93C632" w:rsidR="00B162C4" w:rsidRPr="00B02BAD" w:rsidRDefault="00785671" w:rsidP="00CF5DEC">
            <w:pPr>
              <w:tabs>
                <w:tab w:val="center" w:pos="8460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Клінічна оцінка вакцин</w:t>
            </w:r>
          </w:p>
        </w:tc>
        <w:tc>
          <w:tcPr>
            <w:tcW w:w="1073" w:type="dxa"/>
            <w:shd w:val="clear" w:color="auto" w:fill="auto"/>
          </w:tcPr>
          <w:p w14:paraId="7F79888C" w14:textId="68E8D2F4" w:rsidR="00B162C4" w:rsidRPr="00B02BAD" w:rsidRDefault="0096685E" w:rsidP="00412B7F">
            <w:pPr>
              <w:tabs>
                <w:tab w:val="center" w:pos="8720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69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62C4" w:rsidRPr="00B02BAD" w14:paraId="16422BF2" w14:textId="77777777" w:rsidTr="005D4048">
        <w:trPr>
          <w:trHeight w:val="559"/>
        </w:trPr>
        <w:tc>
          <w:tcPr>
            <w:tcW w:w="8554" w:type="dxa"/>
            <w:shd w:val="clear" w:color="auto" w:fill="auto"/>
          </w:tcPr>
          <w:p w14:paraId="46E52C5C" w14:textId="77777777" w:rsidR="00B162C4" w:rsidRPr="00B02BAD" w:rsidRDefault="00B162C4" w:rsidP="00CF5DEC">
            <w:pPr>
              <w:tabs>
                <w:tab w:val="center" w:pos="8460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>Загальні положення</w:t>
            </w:r>
          </w:p>
        </w:tc>
        <w:tc>
          <w:tcPr>
            <w:tcW w:w="1073" w:type="dxa"/>
            <w:shd w:val="clear" w:color="auto" w:fill="auto"/>
          </w:tcPr>
          <w:p w14:paraId="60E397C4" w14:textId="54E8BFA0" w:rsidR="00B162C4" w:rsidRPr="00B02BAD" w:rsidRDefault="0096685E" w:rsidP="00412B7F">
            <w:pPr>
              <w:tabs>
                <w:tab w:val="center" w:pos="8720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69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62C4" w:rsidRPr="00B02BAD" w14:paraId="0A492880" w14:textId="77777777" w:rsidTr="005D4048">
        <w:trPr>
          <w:trHeight w:val="553"/>
        </w:trPr>
        <w:tc>
          <w:tcPr>
            <w:tcW w:w="8554" w:type="dxa"/>
            <w:shd w:val="clear" w:color="auto" w:fill="auto"/>
          </w:tcPr>
          <w:p w14:paraId="039CB26B" w14:textId="77777777" w:rsidR="00B162C4" w:rsidRPr="00B02BAD" w:rsidRDefault="00B162C4" w:rsidP="00CF5D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 xml:space="preserve">1. Вступ  </w:t>
            </w:r>
          </w:p>
        </w:tc>
        <w:tc>
          <w:tcPr>
            <w:tcW w:w="1073" w:type="dxa"/>
            <w:shd w:val="clear" w:color="auto" w:fill="auto"/>
          </w:tcPr>
          <w:p w14:paraId="2D755BA2" w14:textId="3C506F9F" w:rsidR="00B162C4" w:rsidRPr="00B02BAD" w:rsidRDefault="0096685E" w:rsidP="00412B7F">
            <w:pPr>
              <w:tabs>
                <w:tab w:val="center" w:pos="8720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69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62C4" w:rsidRPr="00B02BAD" w14:paraId="15225E98" w14:textId="77777777" w:rsidTr="005D4048">
        <w:trPr>
          <w:trHeight w:val="419"/>
        </w:trPr>
        <w:tc>
          <w:tcPr>
            <w:tcW w:w="8554" w:type="dxa"/>
            <w:shd w:val="clear" w:color="auto" w:fill="auto"/>
          </w:tcPr>
          <w:p w14:paraId="33A37764" w14:textId="77777777" w:rsidR="00B162C4" w:rsidRPr="00B02BAD" w:rsidRDefault="00B162C4" w:rsidP="00CF5DEC">
            <w:pPr>
              <w:tabs>
                <w:tab w:val="center" w:pos="8720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 xml:space="preserve">2. Сфера дії </w:t>
            </w:r>
          </w:p>
        </w:tc>
        <w:tc>
          <w:tcPr>
            <w:tcW w:w="1073" w:type="dxa"/>
            <w:shd w:val="clear" w:color="auto" w:fill="auto"/>
          </w:tcPr>
          <w:p w14:paraId="2127F658" w14:textId="293DACDD" w:rsidR="00B162C4" w:rsidRPr="00B02BAD" w:rsidRDefault="0096685E" w:rsidP="00412B7F">
            <w:pPr>
              <w:tabs>
                <w:tab w:val="center" w:pos="8720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69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162C4" w:rsidRPr="00B02BAD" w14:paraId="4EE571B4" w14:textId="77777777" w:rsidTr="005D4048">
        <w:trPr>
          <w:trHeight w:val="509"/>
        </w:trPr>
        <w:tc>
          <w:tcPr>
            <w:tcW w:w="8554" w:type="dxa"/>
            <w:shd w:val="clear" w:color="auto" w:fill="auto"/>
          </w:tcPr>
          <w:p w14:paraId="6293B1C7" w14:textId="77777777" w:rsidR="00B162C4" w:rsidRPr="00B02BAD" w:rsidRDefault="00B162C4" w:rsidP="00CF5DEC">
            <w:pPr>
              <w:tabs>
                <w:tab w:val="center" w:pos="8720"/>
              </w:tabs>
              <w:spacing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Імуногенність</w:t>
            </w:r>
            <w:proofErr w:type="spellEnd"/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3" w:type="dxa"/>
            <w:shd w:val="clear" w:color="auto" w:fill="auto"/>
          </w:tcPr>
          <w:p w14:paraId="571800D9" w14:textId="5CAD835D" w:rsidR="00B162C4" w:rsidRPr="00B02BAD" w:rsidRDefault="0096685E" w:rsidP="00412B7F">
            <w:pPr>
              <w:tabs>
                <w:tab w:val="center" w:pos="8720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69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162C4" w:rsidRPr="00B02BAD" w14:paraId="701A0876" w14:textId="77777777" w:rsidTr="005D4048">
        <w:tc>
          <w:tcPr>
            <w:tcW w:w="8554" w:type="dxa"/>
            <w:shd w:val="clear" w:color="auto" w:fill="auto"/>
          </w:tcPr>
          <w:p w14:paraId="5347DD4E" w14:textId="77777777" w:rsidR="00B162C4" w:rsidRPr="00B02BAD" w:rsidRDefault="00B162C4" w:rsidP="00CF5DEC">
            <w:pPr>
              <w:spacing w:after="120" w:line="360" w:lineRule="auto"/>
              <w:ind w:firstLine="1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  <w:r w:rsidR="00896EAB"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Характеристика імунної відповіді </w:t>
            </w:r>
          </w:p>
        </w:tc>
        <w:tc>
          <w:tcPr>
            <w:tcW w:w="1073" w:type="dxa"/>
            <w:shd w:val="clear" w:color="auto" w:fill="auto"/>
          </w:tcPr>
          <w:p w14:paraId="0701EE27" w14:textId="4A77B16B" w:rsidR="00B162C4" w:rsidRPr="00B02BAD" w:rsidRDefault="0096685E" w:rsidP="00412B7F">
            <w:pPr>
              <w:tabs>
                <w:tab w:val="center" w:pos="8720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69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162C4" w:rsidRPr="00B02BAD" w14:paraId="1B1A8E26" w14:textId="77777777" w:rsidTr="005D4048">
        <w:tc>
          <w:tcPr>
            <w:tcW w:w="8554" w:type="dxa"/>
            <w:shd w:val="clear" w:color="auto" w:fill="auto"/>
          </w:tcPr>
          <w:p w14:paraId="31C37CD9" w14:textId="77777777" w:rsidR="00B162C4" w:rsidRPr="00B02BAD" w:rsidRDefault="00B162C4" w:rsidP="00CF5DEC">
            <w:pPr>
              <w:spacing w:after="120" w:line="360" w:lineRule="auto"/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="00896EAB" w:rsidRPr="00B02B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 xml:space="preserve">  Імунні кореляти захисту </w:t>
            </w:r>
          </w:p>
        </w:tc>
        <w:tc>
          <w:tcPr>
            <w:tcW w:w="1073" w:type="dxa"/>
            <w:shd w:val="clear" w:color="auto" w:fill="auto"/>
          </w:tcPr>
          <w:p w14:paraId="33994C8D" w14:textId="6D632933" w:rsidR="00B162C4" w:rsidRPr="00B02BAD" w:rsidRDefault="0096685E" w:rsidP="00412B7F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69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162C4" w:rsidRPr="00B02BAD" w14:paraId="5D6D66C8" w14:textId="77777777" w:rsidTr="005D4048">
        <w:tc>
          <w:tcPr>
            <w:tcW w:w="8554" w:type="dxa"/>
            <w:shd w:val="clear" w:color="auto" w:fill="auto"/>
          </w:tcPr>
          <w:p w14:paraId="64CC01DF" w14:textId="77777777" w:rsidR="00B162C4" w:rsidRPr="00B02BAD" w:rsidRDefault="00B162C4" w:rsidP="00CF5DEC">
            <w:pPr>
              <w:spacing w:after="120" w:line="360" w:lineRule="auto"/>
              <w:ind w:firstLine="1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3.3. Дизайн порівняльних випробувань</w:t>
            </w:r>
            <w:r w:rsidR="00933CC2"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імуногенності</w:t>
            </w:r>
            <w:proofErr w:type="spellEnd"/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3" w:type="dxa"/>
            <w:shd w:val="clear" w:color="auto" w:fill="auto"/>
          </w:tcPr>
          <w:p w14:paraId="0170BF74" w14:textId="1A337B23" w:rsidR="00B162C4" w:rsidRPr="00B02BAD" w:rsidRDefault="0096685E" w:rsidP="00412B7F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7692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B162C4" w:rsidRPr="00B02BAD" w14:paraId="728B42A3" w14:textId="77777777" w:rsidTr="005D4048">
        <w:tc>
          <w:tcPr>
            <w:tcW w:w="8554" w:type="dxa"/>
            <w:shd w:val="clear" w:color="auto" w:fill="auto"/>
          </w:tcPr>
          <w:p w14:paraId="490CF5DA" w14:textId="77777777" w:rsidR="00B162C4" w:rsidRPr="00B02BAD" w:rsidRDefault="00B162C4" w:rsidP="00CF5DEC">
            <w:pPr>
              <w:spacing w:after="120" w:line="360" w:lineRule="auto"/>
              <w:ind w:firstLine="4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3.3.1. Первинні та вторинні кінцеві точки </w:t>
            </w:r>
          </w:p>
        </w:tc>
        <w:tc>
          <w:tcPr>
            <w:tcW w:w="1073" w:type="dxa"/>
            <w:shd w:val="clear" w:color="auto" w:fill="auto"/>
          </w:tcPr>
          <w:p w14:paraId="1140806B" w14:textId="5E969E87" w:rsidR="00B162C4" w:rsidRPr="00B02BAD" w:rsidRDefault="0096685E" w:rsidP="00412B7F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7692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B162C4" w:rsidRPr="00B02BAD" w14:paraId="5876021C" w14:textId="77777777" w:rsidTr="005D4048">
        <w:tc>
          <w:tcPr>
            <w:tcW w:w="8554" w:type="dxa"/>
            <w:shd w:val="clear" w:color="auto" w:fill="auto"/>
          </w:tcPr>
          <w:p w14:paraId="63886923" w14:textId="77777777" w:rsidR="00B162C4" w:rsidRPr="00B02BAD" w:rsidRDefault="00B162C4" w:rsidP="00CF5DEC">
            <w:pPr>
              <w:spacing w:after="120" w:line="360" w:lineRule="auto"/>
              <w:ind w:firstLine="4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3.3.2. Первинні аналізи </w:t>
            </w:r>
          </w:p>
        </w:tc>
        <w:tc>
          <w:tcPr>
            <w:tcW w:w="1073" w:type="dxa"/>
            <w:shd w:val="clear" w:color="auto" w:fill="auto"/>
          </w:tcPr>
          <w:p w14:paraId="033662B9" w14:textId="1A1C4DE0" w:rsidR="00B162C4" w:rsidRPr="00B02BAD" w:rsidRDefault="00F7692A" w:rsidP="00CF5DEC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B162C4" w:rsidRPr="00B02BAD" w14:paraId="363470F2" w14:textId="77777777" w:rsidTr="005D4048">
        <w:tc>
          <w:tcPr>
            <w:tcW w:w="8554" w:type="dxa"/>
            <w:shd w:val="clear" w:color="auto" w:fill="auto"/>
          </w:tcPr>
          <w:p w14:paraId="423BE123" w14:textId="77777777" w:rsidR="00B162C4" w:rsidRPr="00B02BAD" w:rsidRDefault="00B162C4" w:rsidP="00CF5DEC">
            <w:pPr>
              <w:spacing w:after="120" w:line="360" w:lineRule="auto"/>
              <w:ind w:firstLine="1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3.4. Склад, доза та графік </w:t>
            </w:r>
            <w:r w:rsidR="0096685E"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застосування</w:t>
            </w:r>
          </w:p>
        </w:tc>
        <w:tc>
          <w:tcPr>
            <w:tcW w:w="1073" w:type="dxa"/>
            <w:shd w:val="clear" w:color="auto" w:fill="auto"/>
          </w:tcPr>
          <w:p w14:paraId="0E38DAF4" w14:textId="7E8EDFEA" w:rsidR="00B162C4" w:rsidRPr="00B02BAD" w:rsidRDefault="0096685E" w:rsidP="00F7692A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7692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162C4" w:rsidRPr="00B02BAD" w14:paraId="40A35C32" w14:textId="77777777" w:rsidTr="005D4048">
        <w:tc>
          <w:tcPr>
            <w:tcW w:w="8554" w:type="dxa"/>
            <w:shd w:val="clear" w:color="auto" w:fill="auto"/>
          </w:tcPr>
          <w:p w14:paraId="14DDD77F" w14:textId="77777777" w:rsidR="00B162C4" w:rsidRPr="00B02BAD" w:rsidRDefault="00B162C4" w:rsidP="00CF5DEC">
            <w:pPr>
              <w:spacing w:after="120" w:line="360" w:lineRule="auto"/>
              <w:ind w:firstLine="4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3.4.1. Склад та доза </w:t>
            </w:r>
          </w:p>
        </w:tc>
        <w:tc>
          <w:tcPr>
            <w:tcW w:w="1073" w:type="dxa"/>
            <w:shd w:val="clear" w:color="auto" w:fill="auto"/>
          </w:tcPr>
          <w:p w14:paraId="1DA0E5FA" w14:textId="7A528EF8" w:rsidR="00B162C4" w:rsidRPr="00B02BAD" w:rsidRDefault="0096685E" w:rsidP="00F7692A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7692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162C4" w:rsidRPr="00B02BAD" w14:paraId="2FE92685" w14:textId="77777777" w:rsidTr="005D4048">
        <w:tc>
          <w:tcPr>
            <w:tcW w:w="8554" w:type="dxa"/>
            <w:shd w:val="clear" w:color="auto" w:fill="auto"/>
          </w:tcPr>
          <w:p w14:paraId="5614C2BA" w14:textId="77777777" w:rsidR="00B162C4" w:rsidRPr="00B02BAD" w:rsidRDefault="00B162C4" w:rsidP="00CF5DEC">
            <w:pPr>
              <w:spacing w:after="120" w:line="360" w:lineRule="auto"/>
              <w:ind w:firstLine="4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3.4.2. Графік </w:t>
            </w:r>
          </w:p>
        </w:tc>
        <w:tc>
          <w:tcPr>
            <w:tcW w:w="1073" w:type="dxa"/>
            <w:shd w:val="clear" w:color="auto" w:fill="auto"/>
          </w:tcPr>
          <w:p w14:paraId="757F4E3B" w14:textId="656282E2" w:rsidR="00B162C4" w:rsidRPr="00B02BAD" w:rsidRDefault="0096685E" w:rsidP="00F7692A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7692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162C4" w:rsidRPr="00B02BAD" w14:paraId="7969B485" w14:textId="77777777" w:rsidTr="005D4048">
        <w:tc>
          <w:tcPr>
            <w:tcW w:w="8554" w:type="dxa"/>
            <w:shd w:val="clear" w:color="auto" w:fill="auto"/>
          </w:tcPr>
          <w:p w14:paraId="1E77842D" w14:textId="77777777" w:rsidR="00B162C4" w:rsidRPr="00B02BAD" w:rsidRDefault="00B162C4" w:rsidP="00CF5DEC">
            <w:pPr>
              <w:spacing w:after="120" w:line="36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 xml:space="preserve">3.4.3. Шлях та/або спосіб введення </w:t>
            </w:r>
          </w:p>
        </w:tc>
        <w:tc>
          <w:tcPr>
            <w:tcW w:w="1073" w:type="dxa"/>
            <w:shd w:val="clear" w:color="auto" w:fill="auto"/>
          </w:tcPr>
          <w:p w14:paraId="6A166D3D" w14:textId="10F29E57" w:rsidR="00B162C4" w:rsidRPr="00B02BAD" w:rsidRDefault="0096685E" w:rsidP="00CB16EC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16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162C4" w:rsidRPr="00B02BAD" w14:paraId="3BA89E7E" w14:textId="77777777" w:rsidTr="005D4048">
        <w:tc>
          <w:tcPr>
            <w:tcW w:w="8554" w:type="dxa"/>
            <w:shd w:val="clear" w:color="auto" w:fill="auto"/>
          </w:tcPr>
          <w:p w14:paraId="673F39B7" w14:textId="51F6F0DD" w:rsidR="00B162C4" w:rsidRPr="00B02BAD" w:rsidRDefault="00B162C4" w:rsidP="00E83093">
            <w:pPr>
              <w:spacing w:after="120" w:line="360" w:lineRule="auto"/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 xml:space="preserve">3.5. </w:t>
            </w:r>
            <w:r w:rsidR="00E83093">
              <w:rPr>
                <w:rFonts w:ascii="Times New Roman" w:hAnsi="Times New Roman" w:cs="Times New Roman"/>
                <w:sz w:val="28"/>
                <w:szCs w:val="28"/>
              </w:rPr>
              <w:t>Одночасне</w:t>
            </w: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 xml:space="preserve"> застосування </w:t>
            </w:r>
            <w:r w:rsidR="00E3587F" w:rsidRPr="00B02BA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E3587F" w:rsidRPr="00B02BAD">
              <w:rPr>
                <w:rFonts w:ascii="Times New Roman" w:hAnsi="Times New Roman" w:cs="Times New Roman"/>
                <w:sz w:val="28"/>
                <w:szCs w:val="28"/>
              </w:rPr>
              <w:t>Concomitant</w:t>
            </w:r>
            <w:proofErr w:type="spellEnd"/>
            <w:r w:rsidR="00E3587F" w:rsidRPr="00B02B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73" w:type="dxa"/>
            <w:shd w:val="clear" w:color="auto" w:fill="auto"/>
          </w:tcPr>
          <w:p w14:paraId="7F9614CB" w14:textId="48DB07CF" w:rsidR="00B162C4" w:rsidRPr="00B02BAD" w:rsidRDefault="0096685E" w:rsidP="00CB16EC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16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162C4" w:rsidRPr="00B02BAD" w14:paraId="0F4F57E3" w14:textId="77777777" w:rsidTr="005D4048">
        <w:tc>
          <w:tcPr>
            <w:tcW w:w="8554" w:type="dxa"/>
            <w:shd w:val="clear" w:color="auto" w:fill="auto"/>
          </w:tcPr>
          <w:p w14:paraId="4ED50D3B" w14:textId="77777777" w:rsidR="00B162C4" w:rsidRPr="00B02BAD" w:rsidRDefault="00B162C4" w:rsidP="00CF5DEC">
            <w:pPr>
              <w:spacing w:after="120" w:line="360" w:lineRule="auto"/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 xml:space="preserve">3.6. </w:t>
            </w:r>
            <w:r w:rsidR="00933CC2" w:rsidRPr="00B02BAD">
              <w:rPr>
                <w:rFonts w:ascii="Times New Roman" w:hAnsi="Times New Roman" w:cs="Times New Roman"/>
                <w:sz w:val="28"/>
                <w:szCs w:val="28"/>
              </w:rPr>
              <w:t>Відповідність</w:t>
            </w:r>
            <w:r w:rsidR="0096685E" w:rsidRPr="00B02BAD">
              <w:rPr>
                <w:rFonts w:ascii="Times New Roman" w:hAnsi="Times New Roman" w:cs="Times New Roman"/>
                <w:sz w:val="28"/>
                <w:szCs w:val="28"/>
              </w:rPr>
              <w:t xml:space="preserve"> між серіями</w:t>
            </w:r>
          </w:p>
        </w:tc>
        <w:tc>
          <w:tcPr>
            <w:tcW w:w="1073" w:type="dxa"/>
            <w:shd w:val="clear" w:color="auto" w:fill="auto"/>
          </w:tcPr>
          <w:p w14:paraId="5E6978E2" w14:textId="5968F0D8" w:rsidR="00B162C4" w:rsidRPr="00B02BAD" w:rsidRDefault="0096685E" w:rsidP="00CB16EC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16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162C4" w:rsidRPr="00B02BAD" w14:paraId="266A48E1" w14:textId="77777777" w:rsidTr="005D4048">
        <w:tc>
          <w:tcPr>
            <w:tcW w:w="8554" w:type="dxa"/>
            <w:shd w:val="clear" w:color="auto" w:fill="auto"/>
          </w:tcPr>
          <w:p w14:paraId="71EB5483" w14:textId="77777777" w:rsidR="00B162C4" w:rsidRPr="00B02BAD" w:rsidRDefault="00B162C4" w:rsidP="00CF5DEC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 xml:space="preserve">4. Ефективність </w:t>
            </w:r>
          </w:p>
        </w:tc>
        <w:tc>
          <w:tcPr>
            <w:tcW w:w="1073" w:type="dxa"/>
            <w:shd w:val="clear" w:color="auto" w:fill="auto"/>
          </w:tcPr>
          <w:p w14:paraId="6C161681" w14:textId="06ECE7E8" w:rsidR="00B162C4" w:rsidRPr="00B02BAD" w:rsidRDefault="0096685E" w:rsidP="00CB16EC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16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162C4" w:rsidRPr="00B02BAD" w14:paraId="17E4F140" w14:textId="77777777" w:rsidTr="005D4048">
        <w:tc>
          <w:tcPr>
            <w:tcW w:w="8554" w:type="dxa"/>
            <w:shd w:val="clear" w:color="auto" w:fill="auto"/>
          </w:tcPr>
          <w:p w14:paraId="567A9683" w14:textId="77777777" w:rsidR="00B162C4" w:rsidRPr="00B02BAD" w:rsidRDefault="00B162C4" w:rsidP="00CF5DEC">
            <w:pPr>
              <w:spacing w:after="120" w:line="360" w:lineRule="auto"/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>4.1. Вимоги до випробування</w:t>
            </w:r>
            <w:r w:rsidR="00933CC2" w:rsidRPr="00B02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 xml:space="preserve">ефективності </w:t>
            </w:r>
          </w:p>
        </w:tc>
        <w:tc>
          <w:tcPr>
            <w:tcW w:w="1073" w:type="dxa"/>
            <w:shd w:val="clear" w:color="auto" w:fill="auto"/>
          </w:tcPr>
          <w:p w14:paraId="37ECF0F6" w14:textId="16D03BDC" w:rsidR="00B162C4" w:rsidRPr="00B02BAD" w:rsidRDefault="0096685E" w:rsidP="00CB16EC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16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162C4" w:rsidRPr="00B02BAD" w14:paraId="68E822CE" w14:textId="77777777" w:rsidTr="005D4048">
        <w:tc>
          <w:tcPr>
            <w:tcW w:w="8554" w:type="dxa"/>
            <w:shd w:val="clear" w:color="auto" w:fill="auto"/>
          </w:tcPr>
          <w:p w14:paraId="4507DC99" w14:textId="07E2B082" w:rsidR="00B162C4" w:rsidRPr="00B02BAD" w:rsidRDefault="00B162C4" w:rsidP="00BD5ABD">
            <w:pPr>
              <w:spacing w:after="120" w:line="360" w:lineRule="auto"/>
              <w:ind w:firstLine="1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4.2. Дизайн </w:t>
            </w:r>
            <w:r w:rsidR="00BD5ABD">
              <w:rPr>
                <w:rFonts w:ascii="Times New Roman" w:hAnsi="Times New Roman" w:cs="Times New Roman"/>
                <w:sz w:val="28"/>
                <w:szCs w:val="28"/>
              </w:rPr>
              <w:t>досліджень ефективності</w:t>
            </w: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3" w:type="dxa"/>
            <w:shd w:val="clear" w:color="auto" w:fill="auto"/>
          </w:tcPr>
          <w:p w14:paraId="59A6A3D6" w14:textId="0C3AA437" w:rsidR="00B162C4" w:rsidRPr="00B02BAD" w:rsidRDefault="0096685E" w:rsidP="00CB16EC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B16E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162C4" w:rsidRPr="00B02BAD" w14:paraId="446E411E" w14:textId="77777777" w:rsidTr="005D4048">
        <w:tc>
          <w:tcPr>
            <w:tcW w:w="8554" w:type="dxa"/>
            <w:shd w:val="clear" w:color="auto" w:fill="auto"/>
          </w:tcPr>
          <w:p w14:paraId="2C8C1F6A" w14:textId="77777777" w:rsidR="00B162C4" w:rsidRPr="00B02BAD" w:rsidRDefault="00B162C4" w:rsidP="00CF5DEC">
            <w:pPr>
              <w:spacing w:after="120" w:line="360" w:lineRule="auto"/>
              <w:ind w:firstLine="1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4.3. Визначення випадків </w:t>
            </w:r>
            <w:r w:rsidR="0096685E"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захворювання</w:t>
            </w:r>
          </w:p>
        </w:tc>
        <w:tc>
          <w:tcPr>
            <w:tcW w:w="1073" w:type="dxa"/>
            <w:shd w:val="clear" w:color="auto" w:fill="auto"/>
          </w:tcPr>
          <w:p w14:paraId="169DF289" w14:textId="2701FF8B" w:rsidR="00B162C4" w:rsidRPr="00B02BAD" w:rsidRDefault="0096685E" w:rsidP="00CB16EC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B16E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162C4" w:rsidRPr="00B02BAD" w14:paraId="2B3EB943" w14:textId="77777777" w:rsidTr="005D4048">
        <w:tc>
          <w:tcPr>
            <w:tcW w:w="8554" w:type="dxa"/>
            <w:shd w:val="clear" w:color="auto" w:fill="auto"/>
          </w:tcPr>
          <w:p w14:paraId="54C50373" w14:textId="77777777" w:rsidR="00B162C4" w:rsidRPr="00B02BAD" w:rsidRDefault="00B162C4" w:rsidP="00CF5DEC">
            <w:pPr>
              <w:spacing w:after="120" w:line="360" w:lineRule="auto"/>
              <w:ind w:firstLine="1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4.4. Встановлення </w:t>
            </w:r>
            <w:r w:rsidR="0096685E"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випадків захворювання</w:t>
            </w:r>
          </w:p>
        </w:tc>
        <w:tc>
          <w:tcPr>
            <w:tcW w:w="1073" w:type="dxa"/>
            <w:shd w:val="clear" w:color="auto" w:fill="auto"/>
          </w:tcPr>
          <w:p w14:paraId="25222DAB" w14:textId="168A2D47" w:rsidR="00B162C4" w:rsidRPr="00B02BAD" w:rsidRDefault="0096685E" w:rsidP="00CB16EC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B16E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162C4" w:rsidRPr="00B02BAD" w14:paraId="40BA14DB" w14:textId="77777777" w:rsidTr="005D4048">
        <w:tc>
          <w:tcPr>
            <w:tcW w:w="8554" w:type="dxa"/>
            <w:shd w:val="clear" w:color="auto" w:fill="auto"/>
          </w:tcPr>
          <w:p w14:paraId="20560566" w14:textId="77777777" w:rsidR="00B162C4" w:rsidRPr="00B02BAD" w:rsidRDefault="00B162C4" w:rsidP="00CF5DEC">
            <w:pPr>
              <w:spacing w:after="120" w:line="360" w:lineRule="auto"/>
              <w:ind w:firstLine="17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4.5. </w:t>
            </w:r>
            <w:r w:rsidR="00933CC2" w:rsidRPr="00B02B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Тривалість спостереження за ефективністю</w:t>
            </w:r>
          </w:p>
        </w:tc>
        <w:tc>
          <w:tcPr>
            <w:tcW w:w="1073" w:type="dxa"/>
            <w:shd w:val="clear" w:color="auto" w:fill="auto"/>
          </w:tcPr>
          <w:p w14:paraId="1F19ED87" w14:textId="7D5F6C18" w:rsidR="00B162C4" w:rsidRPr="00B02BAD" w:rsidRDefault="0096685E" w:rsidP="00CB16EC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="00CB16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B162C4" w:rsidRPr="00B02BAD" w14:paraId="295E0D4B" w14:textId="77777777" w:rsidTr="005D4048">
        <w:tc>
          <w:tcPr>
            <w:tcW w:w="8554" w:type="dxa"/>
            <w:shd w:val="clear" w:color="auto" w:fill="auto"/>
          </w:tcPr>
          <w:p w14:paraId="3DBEF3F8" w14:textId="7A05AD1B" w:rsidR="00B162C4" w:rsidRPr="00B02BAD" w:rsidRDefault="00B162C4" w:rsidP="00BD5ABD">
            <w:pPr>
              <w:spacing w:after="120" w:line="360" w:lineRule="auto"/>
              <w:ind w:firstLine="1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4.6. Аналіз ефективності </w:t>
            </w:r>
          </w:p>
        </w:tc>
        <w:tc>
          <w:tcPr>
            <w:tcW w:w="1073" w:type="dxa"/>
            <w:shd w:val="clear" w:color="auto" w:fill="auto"/>
          </w:tcPr>
          <w:p w14:paraId="61A245D6" w14:textId="0B7A08E7" w:rsidR="00B162C4" w:rsidRPr="00B02BAD" w:rsidRDefault="0096685E" w:rsidP="00CB16EC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B16E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B162C4" w:rsidRPr="00B02BAD" w14:paraId="1CA06FBB" w14:textId="77777777" w:rsidTr="005D4048">
        <w:tc>
          <w:tcPr>
            <w:tcW w:w="8554" w:type="dxa"/>
            <w:shd w:val="clear" w:color="auto" w:fill="auto"/>
          </w:tcPr>
          <w:p w14:paraId="1830B4F7" w14:textId="77777777" w:rsidR="00B162C4" w:rsidRPr="00B02BAD" w:rsidRDefault="00B162C4" w:rsidP="00CF5DEC">
            <w:pPr>
              <w:spacing w:after="120" w:line="360" w:lineRule="auto"/>
              <w:ind w:firstLine="4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4.6.1. Первинна кінцева точка </w:t>
            </w:r>
          </w:p>
        </w:tc>
        <w:tc>
          <w:tcPr>
            <w:tcW w:w="1073" w:type="dxa"/>
            <w:shd w:val="clear" w:color="auto" w:fill="auto"/>
          </w:tcPr>
          <w:p w14:paraId="1F9B1C7B" w14:textId="617CBFE6" w:rsidR="00B162C4" w:rsidRPr="00B02BAD" w:rsidRDefault="0096685E" w:rsidP="00CB16EC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B16E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B162C4" w:rsidRPr="00B02BAD" w14:paraId="3FB6253E" w14:textId="77777777" w:rsidTr="005D4048">
        <w:tc>
          <w:tcPr>
            <w:tcW w:w="8554" w:type="dxa"/>
            <w:shd w:val="clear" w:color="auto" w:fill="auto"/>
          </w:tcPr>
          <w:p w14:paraId="51EB12A1" w14:textId="77777777" w:rsidR="00B162C4" w:rsidRPr="00B02BAD" w:rsidRDefault="00B162C4" w:rsidP="00CF5DEC">
            <w:pPr>
              <w:spacing w:after="120" w:line="360" w:lineRule="auto"/>
              <w:ind w:firstLine="4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4.6.2. Первинний аналіз </w:t>
            </w:r>
          </w:p>
        </w:tc>
        <w:tc>
          <w:tcPr>
            <w:tcW w:w="1073" w:type="dxa"/>
            <w:shd w:val="clear" w:color="auto" w:fill="auto"/>
          </w:tcPr>
          <w:p w14:paraId="42367F15" w14:textId="04E739DB" w:rsidR="00B162C4" w:rsidRPr="00B02BAD" w:rsidRDefault="0096685E" w:rsidP="00CB16EC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B16E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B162C4" w:rsidRPr="00B02BAD" w14:paraId="62993F72" w14:textId="77777777" w:rsidTr="005D4048">
        <w:tc>
          <w:tcPr>
            <w:tcW w:w="8554" w:type="dxa"/>
            <w:shd w:val="clear" w:color="auto" w:fill="auto"/>
          </w:tcPr>
          <w:p w14:paraId="49BF827B" w14:textId="77777777" w:rsidR="00B162C4" w:rsidRPr="00B02BAD" w:rsidRDefault="00B162C4" w:rsidP="00CF5DEC">
            <w:pPr>
              <w:spacing w:after="120" w:line="360" w:lineRule="auto"/>
              <w:ind w:firstLine="4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4.6.3. Інші питання інтерпретації ефективності вакцин </w:t>
            </w:r>
          </w:p>
        </w:tc>
        <w:tc>
          <w:tcPr>
            <w:tcW w:w="1073" w:type="dxa"/>
            <w:shd w:val="clear" w:color="auto" w:fill="auto"/>
          </w:tcPr>
          <w:p w14:paraId="52FD830C" w14:textId="4986EFE9" w:rsidR="00B162C4" w:rsidRPr="00B02BAD" w:rsidRDefault="0096685E" w:rsidP="00CB16EC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B16E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B162C4" w:rsidRPr="00B02BAD" w14:paraId="32F5ABAE" w14:textId="77777777" w:rsidTr="005D4048">
        <w:tc>
          <w:tcPr>
            <w:tcW w:w="8554" w:type="dxa"/>
            <w:shd w:val="clear" w:color="auto" w:fill="auto"/>
          </w:tcPr>
          <w:p w14:paraId="2C23DB52" w14:textId="7D756B0C" w:rsidR="00B162C4" w:rsidRPr="00B02BAD" w:rsidRDefault="00B162C4" w:rsidP="004F6613">
            <w:pPr>
              <w:spacing w:after="120" w:line="360" w:lineRule="auto"/>
              <w:ind w:firstLine="1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4.7. Інші підход</w:t>
            </w:r>
            <w:r w:rsidR="00BD5ABD">
              <w:rPr>
                <w:rFonts w:ascii="Times New Roman" w:eastAsia="Calibri" w:hAnsi="Times New Roman" w:cs="Times New Roman"/>
                <w:sz w:val="28"/>
                <w:szCs w:val="28"/>
              </w:rPr>
              <w:t>и до оцінки ефективності вакцин</w:t>
            </w: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3" w:type="dxa"/>
            <w:shd w:val="clear" w:color="auto" w:fill="auto"/>
          </w:tcPr>
          <w:p w14:paraId="76A1A9A2" w14:textId="14B20506" w:rsidR="00B162C4" w:rsidRPr="00B02BAD" w:rsidRDefault="00BD5ABD" w:rsidP="00CB16EC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B16E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B162C4" w:rsidRPr="00B02BAD" w14:paraId="06FDCAA5" w14:textId="77777777" w:rsidTr="005D4048">
        <w:tc>
          <w:tcPr>
            <w:tcW w:w="8554" w:type="dxa"/>
            <w:shd w:val="clear" w:color="auto" w:fill="auto"/>
          </w:tcPr>
          <w:p w14:paraId="15C8078F" w14:textId="77777777" w:rsidR="00B162C4" w:rsidRPr="00B02BAD" w:rsidRDefault="00B162C4" w:rsidP="00CF5DEC">
            <w:pPr>
              <w:spacing w:after="12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Дієвість </w:t>
            </w:r>
          </w:p>
        </w:tc>
        <w:tc>
          <w:tcPr>
            <w:tcW w:w="1073" w:type="dxa"/>
            <w:shd w:val="clear" w:color="auto" w:fill="auto"/>
          </w:tcPr>
          <w:p w14:paraId="35D6A828" w14:textId="5593E272" w:rsidR="00B162C4" w:rsidRPr="00B02BAD" w:rsidRDefault="0096685E" w:rsidP="00CB16EC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CB16E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162C4" w:rsidRPr="00B02BAD" w14:paraId="7646FAA6" w14:textId="77777777" w:rsidTr="005D4048">
        <w:tc>
          <w:tcPr>
            <w:tcW w:w="8554" w:type="dxa"/>
            <w:shd w:val="clear" w:color="auto" w:fill="auto"/>
          </w:tcPr>
          <w:p w14:paraId="5153D3B0" w14:textId="77777777" w:rsidR="00B162C4" w:rsidRPr="00B02BAD" w:rsidRDefault="00B162C4" w:rsidP="00CF5DEC">
            <w:pPr>
              <w:spacing w:after="12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Безпека </w:t>
            </w:r>
          </w:p>
        </w:tc>
        <w:tc>
          <w:tcPr>
            <w:tcW w:w="1073" w:type="dxa"/>
            <w:shd w:val="clear" w:color="auto" w:fill="auto"/>
          </w:tcPr>
          <w:p w14:paraId="17ECE62D" w14:textId="5D99F000" w:rsidR="00B162C4" w:rsidRPr="00B02BAD" w:rsidRDefault="0096685E" w:rsidP="00BD5ABD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CB16E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162C4" w:rsidRPr="00B02BAD" w14:paraId="78C75499" w14:textId="77777777" w:rsidTr="005D4048">
        <w:tc>
          <w:tcPr>
            <w:tcW w:w="8554" w:type="dxa"/>
            <w:shd w:val="clear" w:color="auto" w:fill="auto"/>
          </w:tcPr>
          <w:p w14:paraId="1C0ABC40" w14:textId="77777777" w:rsidR="00B162C4" w:rsidRPr="00B02BAD" w:rsidRDefault="00B162C4" w:rsidP="004F6613">
            <w:pPr>
              <w:spacing w:after="120" w:line="360" w:lineRule="auto"/>
              <w:ind w:firstLine="1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6.1. Оцінка безпеки в клінічних випробуваннях </w:t>
            </w:r>
          </w:p>
        </w:tc>
        <w:tc>
          <w:tcPr>
            <w:tcW w:w="1073" w:type="dxa"/>
            <w:shd w:val="clear" w:color="auto" w:fill="auto"/>
          </w:tcPr>
          <w:p w14:paraId="62E4A629" w14:textId="466FA63A" w:rsidR="00B162C4" w:rsidRPr="00B02BAD" w:rsidRDefault="0096685E" w:rsidP="00CB16EC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CB16E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162C4" w:rsidRPr="00B02BAD" w14:paraId="4F48606F" w14:textId="77777777" w:rsidTr="005D4048">
        <w:tc>
          <w:tcPr>
            <w:tcW w:w="8554" w:type="dxa"/>
            <w:shd w:val="clear" w:color="auto" w:fill="auto"/>
          </w:tcPr>
          <w:p w14:paraId="12056C65" w14:textId="77777777" w:rsidR="00B162C4" w:rsidRPr="00B02BAD" w:rsidRDefault="00B162C4" w:rsidP="004F6613">
            <w:pPr>
              <w:spacing w:after="120" w:line="360" w:lineRule="auto"/>
              <w:ind w:firstLine="1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6.2. Розмір бази даних </w:t>
            </w:r>
            <w:r w:rsidR="0096685E"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з безпеки</w:t>
            </w:r>
          </w:p>
        </w:tc>
        <w:tc>
          <w:tcPr>
            <w:tcW w:w="1073" w:type="dxa"/>
            <w:shd w:val="clear" w:color="auto" w:fill="auto"/>
          </w:tcPr>
          <w:p w14:paraId="751C0713" w14:textId="25462680" w:rsidR="00B162C4" w:rsidRPr="00B02BAD" w:rsidRDefault="0096685E" w:rsidP="00CB16EC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CB16E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B162C4" w:rsidRPr="00B02BAD" w14:paraId="71FEC1F8" w14:textId="77777777" w:rsidTr="005D4048">
        <w:tc>
          <w:tcPr>
            <w:tcW w:w="8554" w:type="dxa"/>
            <w:shd w:val="clear" w:color="auto" w:fill="auto"/>
          </w:tcPr>
          <w:p w14:paraId="26A857F8" w14:textId="77777777" w:rsidR="00B162C4" w:rsidRPr="00B02BAD" w:rsidRDefault="00B162C4" w:rsidP="00CF5DEC">
            <w:pPr>
              <w:spacing w:after="120"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 Особливі </w:t>
            </w:r>
            <w:r w:rsidR="0096685E"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групи населення</w:t>
            </w: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3" w:type="dxa"/>
            <w:shd w:val="clear" w:color="auto" w:fill="auto"/>
          </w:tcPr>
          <w:p w14:paraId="2343902D" w14:textId="455040B3" w:rsidR="00B162C4" w:rsidRPr="00B02BAD" w:rsidRDefault="0096685E" w:rsidP="00CB16EC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CB16E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B162C4" w:rsidRPr="00B02BAD" w14:paraId="43157D20" w14:textId="77777777" w:rsidTr="005D4048">
        <w:tc>
          <w:tcPr>
            <w:tcW w:w="8554" w:type="dxa"/>
            <w:shd w:val="clear" w:color="auto" w:fill="auto"/>
          </w:tcPr>
          <w:p w14:paraId="55644D11" w14:textId="77777777" w:rsidR="00B162C4" w:rsidRPr="00B02BAD" w:rsidRDefault="00B162C4" w:rsidP="004F6613">
            <w:pPr>
              <w:spacing w:after="120" w:line="360" w:lineRule="auto"/>
              <w:ind w:firstLine="1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7.1. Вагітні жінки </w:t>
            </w:r>
          </w:p>
        </w:tc>
        <w:tc>
          <w:tcPr>
            <w:tcW w:w="1073" w:type="dxa"/>
            <w:shd w:val="clear" w:color="auto" w:fill="auto"/>
          </w:tcPr>
          <w:p w14:paraId="03ED5654" w14:textId="57D8EB44" w:rsidR="00B162C4" w:rsidRPr="00B02BAD" w:rsidRDefault="0096685E" w:rsidP="00CB16EC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CB16E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B162C4" w:rsidRPr="00B02BAD" w14:paraId="17F7E62A" w14:textId="77777777" w:rsidTr="005D4048">
        <w:tc>
          <w:tcPr>
            <w:tcW w:w="8554" w:type="dxa"/>
            <w:shd w:val="clear" w:color="auto" w:fill="auto"/>
          </w:tcPr>
          <w:p w14:paraId="2A6E1FB3" w14:textId="77777777" w:rsidR="00B162C4" w:rsidRPr="00B02BAD" w:rsidRDefault="00B162C4" w:rsidP="004F6613">
            <w:pPr>
              <w:spacing w:after="120" w:line="360" w:lineRule="auto"/>
              <w:ind w:firstLine="1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7.2. </w:t>
            </w:r>
            <w:r w:rsidR="0096685E"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Люди похилого</w:t>
            </w: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віку </w:t>
            </w:r>
          </w:p>
        </w:tc>
        <w:tc>
          <w:tcPr>
            <w:tcW w:w="1073" w:type="dxa"/>
            <w:shd w:val="clear" w:color="auto" w:fill="auto"/>
          </w:tcPr>
          <w:p w14:paraId="5DC2DF28" w14:textId="32DF0B57" w:rsidR="00B162C4" w:rsidRPr="00B02BAD" w:rsidRDefault="0096685E" w:rsidP="00CB16EC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CB16E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B162C4" w:rsidRPr="00B02BAD" w14:paraId="0FA0D9A8" w14:textId="77777777" w:rsidTr="005D4048">
        <w:tc>
          <w:tcPr>
            <w:tcW w:w="8554" w:type="dxa"/>
            <w:shd w:val="clear" w:color="auto" w:fill="auto"/>
          </w:tcPr>
          <w:p w14:paraId="1C458A90" w14:textId="77777777" w:rsidR="00B162C4" w:rsidRPr="00B02BAD" w:rsidRDefault="004B092B" w:rsidP="004F6613">
            <w:pPr>
              <w:spacing w:after="120" w:line="360" w:lineRule="auto"/>
              <w:ind w:firstLine="1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7.3. </w:t>
            </w:r>
            <w:r w:rsidR="0096685E"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Суб’єкти з імунодефіцитом</w:t>
            </w:r>
            <w:r w:rsidR="00B162C4"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3" w:type="dxa"/>
            <w:shd w:val="clear" w:color="auto" w:fill="auto"/>
          </w:tcPr>
          <w:p w14:paraId="32E17DB8" w14:textId="7BD024D9" w:rsidR="00B162C4" w:rsidRPr="00B02BAD" w:rsidRDefault="0096685E" w:rsidP="00CB16EC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CB16E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3445DB" w:rsidRPr="00B02BAD" w14:paraId="4D4BBAC4" w14:textId="77777777" w:rsidTr="005D4048">
        <w:tc>
          <w:tcPr>
            <w:tcW w:w="8554" w:type="dxa"/>
            <w:shd w:val="clear" w:color="auto" w:fill="auto"/>
          </w:tcPr>
          <w:p w14:paraId="28CAC565" w14:textId="77777777" w:rsidR="003445DB" w:rsidRPr="00B02BAD" w:rsidRDefault="003445DB" w:rsidP="00CF5DEC">
            <w:pPr>
              <w:spacing w:after="12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14:paraId="0603727C" w14:textId="77777777" w:rsidR="003445DB" w:rsidRPr="00B02BAD" w:rsidRDefault="003445DB" w:rsidP="00CF5DEC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45DB" w:rsidRPr="00B02BAD" w14:paraId="535CDE99" w14:textId="77777777" w:rsidTr="005D4048">
        <w:tc>
          <w:tcPr>
            <w:tcW w:w="8554" w:type="dxa"/>
            <w:shd w:val="clear" w:color="auto" w:fill="auto"/>
          </w:tcPr>
          <w:p w14:paraId="6D48C220" w14:textId="77777777" w:rsidR="003445DB" w:rsidRPr="00B02BAD" w:rsidRDefault="003445DB" w:rsidP="00CF5DEC">
            <w:pPr>
              <w:spacing w:after="12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>Додаток А (довідковий). Бібліографія</w:t>
            </w:r>
          </w:p>
        </w:tc>
        <w:tc>
          <w:tcPr>
            <w:tcW w:w="1073" w:type="dxa"/>
            <w:shd w:val="clear" w:color="auto" w:fill="auto"/>
          </w:tcPr>
          <w:p w14:paraId="1B4C260F" w14:textId="622B9D0E" w:rsidR="003445DB" w:rsidRPr="00CB16EC" w:rsidRDefault="00CB16EC" w:rsidP="00CF5DEC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  <w:bookmarkStart w:id="0" w:name="_GoBack"/>
            <w:bookmarkEnd w:id="0"/>
          </w:p>
        </w:tc>
      </w:tr>
      <w:tr w:rsidR="0096685E" w:rsidRPr="00B02BAD" w14:paraId="27193887" w14:textId="77777777" w:rsidTr="005D4048">
        <w:tc>
          <w:tcPr>
            <w:tcW w:w="8554" w:type="dxa"/>
            <w:shd w:val="clear" w:color="auto" w:fill="auto"/>
          </w:tcPr>
          <w:p w14:paraId="2CD4628F" w14:textId="77777777" w:rsidR="0096685E" w:rsidRPr="00B02BAD" w:rsidRDefault="0096685E" w:rsidP="00CF5DEC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14:paraId="6AD5CCA8" w14:textId="77777777" w:rsidR="0096685E" w:rsidRPr="00B02BAD" w:rsidRDefault="0096685E" w:rsidP="00CF5DEC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D9A5150" w14:textId="77777777" w:rsidR="00B162C4" w:rsidRPr="00B02BAD" w:rsidRDefault="00B162C4" w:rsidP="00B162C4">
      <w:pPr>
        <w:rPr>
          <w:rFonts w:ascii="Times New Roman" w:hAnsi="Times New Roman" w:cs="Times New Roman"/>
          <w:sz w:val="28"/>
          <w:szCs w:val="28"/>
        </w:rPr>
      </w:pPr>
    </w:p>
    <w:p w14:paraId="742E1B5D" w14:textId="77777777" w:rsidR="00B162C4" w:rsidRPr="00B02BAD" w:rsidRDefault="00B162C4" w:rsidP="00B162C4">
      <w:pPr>
        <w:rPr>
          <w:rFonts w:ascii="Times New Roman" w:hAnsi="Times New Roman" w:cs="Times New Roman"/>
          <w:sz w:val="28"/>
          <w:szCs w:val="28"/>
        </w:rPr>
      </w:pPr>
    </w:p>
    <w:p w14:paraId="27DCAC8F" w14:textId="77777777" w:rsidR="00B162C4" w:rsidRPr="00B02BAD" w:rsidRDefault="00B162C4" w:rsidP="00B162C4">
      <w:pPr>
        <w:rPr>
          <w:rFonts w:ascii="Times New Roman" w:hAnsi="Times New Roman" w:cs="Times New Roman"/>
          <w:sz w:val="28"/>
          <w:szCs w:val="28"/>
          <w:lang w:eastAsia="uk-UA"/>
        </w:rPr>
      </w:pPr>
      <w:r w:rsidRPr="00B02BAD">
        <w:rPr>
          <w:rFonts w:ascii="Times New Roman" w:hAnsi="Times New Roman" w:cs="Times New Roman"/>
          <w:sz w:val="28"/>
          <w:szCs w:val="28"/>
          <w:lang w:eastAsia="uk-UA"/>
        </w:rPr>
        <w:br w:type="page"/>
      </w:r>
    </w:p>
    <w:p w14:paraId="57D4A178" w14:textId="77777777" w:rsidR="00B162C4" w:rsidRPr="00B02BAD" w:rsidRDefault="00B162C4" w:rsidP="00B162C4">
      <w:pPr>
        <w:pStyle w:val="1"/>
        <w:spacing w:after="0" w:line="240" w:lineRule="auto"/>
        <w:ind w:left="-5" w:right="0"/>
        <w:jc w:val="center"/>
      </w:pPr>
      <w:r w:rsidRPr="00B02BAD">
        <w:lastRenderedPageBreak/>
        <w:t>НАЦІОНАЛЬНИЙ ВСТУП</w:t>
      </w:r>
    </w:p>
    <w:p w14:paraId="1343694A" w14:textId="77777777" w:rsidR="00B162C4" w:rsidRPr="00B02BAD" w:rsidRDefault="00B162C4" w:rsidP="00B162C4">
      <w:pPr>
        <w:spacing w:after="0"/>
        <w:rPr>
          <w:rFonts w:ascii="Times New Roman" w:hAnsi="Times New Roman" w:cs="Times New Roman"/>
        </w:rPr>
      </w:pPr>
    </w:p>
    <w:p w14:paraId="1C2AF68E" w14:textId="77777777" w:rsidR="00B162C4" w:rsidRPr="00B02BAD" w:rsidRDefault="00B162C4" w:rsidP="00B162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BA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Останніми роками актуальним питанням фармацевтичної галузі є створення сучасних вакцин для профілактики інфекційних захворювань. </w:t>
      </w:r>
    </w:p>
    <w:p w14:paraId="374161AE" w14:textId="28B256A7" w:rsidR="00B162C4" w:rsidRPr="0091674D" w:rsidRDefault="00B162C4" w:rsidP="00B162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2BA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 зв’язку з пандемією (визнано </w:t>
      </w:r>
      <w:hyperlink r:id="rId9" w:tooltip="Всесвітня організація охорони здоров'я" w:history="1">
        <w:r w:rsidRPr="0091674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Всесвітньою організацією охорони здоров</w:t>
        </w:r>
        <w:r w:rsidR="0049140B" w:rsidRPr="0091674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’</w:t>
        </w:r>
        <w:r w:rsidRPr="0091674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я (ВООЗ)</w:t>
        </w:r>
      </w:hyperlink>
      <w:r w:rsidRPr="0091674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91674D">
        <w:rPr>
          <w:rFonts w:ascii="Times New Roman" w:hAnsi="Times New Roman" w:cs="Times New Roman"/>
          <w:sz w:val="28"/>
          <w:szCs w:val="28"/>
          <w:shd w:val="clear" w:color="auto" w:fill="FFFFFF"/>
        </w:rPr>
        <w:t>11 березня 2020 р.</w:t>
      </w:r>
      <w:r w:rsidRPr="009167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), що виникла </w:t>
      </w:r>
      <w:r w:rsidRPr="009167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внаслідок розповсюдження в світі </w:t>
      </w:r>
      <w:proofErr w:type="spellStart"/>
      <w:r w:rsidRPr="0091674D">
        <w:rPr>
          <w:rFonts w:ascii="Times New Roman" w:hAnsi="Times New Roman" w:cs="Times New Roman"/>
          <w:sz w:val="28"/>
          <w:szCs w:val="28"/>
        </w:rPr>
        <w:t>коронавірусної</w:t>
      </w:r>
      <w:proofErr w:type="spellEnd"/>
      <w:r w:rsidRPr="0091674D">
        <w:rPr>
          <w:rFonts w:ascii="Times New Roman" w:hAnsi="Times New Roman" w:cs="Times New Roman"/>
          <w:sz w:val="28"/>
          <w:szCs w:val="28"/>
        </w:rPr>
        <w:t xml:space="preserve"> хвороби </w:t>
      </w:r>
      <w:r w:rsidR="0049140B" w:rsidRPr="0091674D">
        <w:rPr>
          <w:rFonts w:ascii="Times New Roman" w:hAnsi="Times New Roman" w:cs="Times New Roman"/>
          <w:sz w:val="28"/>
          <w:szCs w:val="28"/>
        </w:rPr>
        <w:t>—</w:t>
      </w:r>
      <w:r w:rsidRPr="0091674D">
        <w:rPr>
          <w:rFonts w:ascii="Times New Roman" w:hAnsi="Times New Roman" w:cs="Times New Roman"/>
          <w:sz w:val="28"/>
          <w:szCs w:val="28"/>
        </w:rPr>
        <w:t xml:space="preserve"> COVID-19</w:t>
      </w:r>
      <w:r w:rsidRPr="009167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F450DF" w:rsidRPr="009167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з’явилася</w:t>
      </w:r>
      <w:r w:rsidRPr="009167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надзвичайна п</w:t>
      </w:r>
      <w:r w:rsidR="0049140B" w:rsidRPr="009167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отреба</w:t>
      </w:r>
      <w:r w:rsidRPr="009167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 створені вакцин. </w:t>
      </w:r>
      <w:r w:rsidRPr="009167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Причиною хвороби став </w:t>
      </w:r>
      <w:proofErr w:type="spellStart"/>
      <w:r w:rsidRPr="0091674D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коронавірус</w:t>
      </w:r>
      <w:proofErr w:type="spellEnd"/>
      <w:r w:rsidRPr="009167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tooltip="SARS-CoV-2" w:history="1">
        <w:r w:rsidRPr="0091674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SARS-CoV-2</w:t>
        </w:r>
      </w:hyperlink>
      <w:r w:rsidRPr="0091674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,</w:t>
      </w:r>
      <w:r w:rsidRPr="009167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циркуляція якого в людській популяції була до грудня 2019 року невідомою. </w:t>
      </w:r>
    </w:p>
    <w:p w14:paraId="624D1D9C" w14:textId="132EF24D" w:rsidR="00B162C4" w:rsidRPr="00B02BAD" w:rsidRDefault="0049140B" w:rsidP="00B162C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74D">
        <w:rPr>
          <w:rFonts w:ascii="Times New Roman" w:hAnsi="Times New Roman" w:cs="Times New Roman"/>
          <w:sz w:val="28"/>
          <w:szCs w:val="28"/>
        </w:rPr>
        <w:t>Сьогодні</w:t>
      </w:r>
      <w:r w:rsidR="002D1C0F" w:rsidRPr="0091674D">
        <w:rPr>
          <w:rFonts w:ascii="Times New Roman" w:hAnsi="Times New Roman" w:cs="Times New Roman"/>
          <w:sz w:val="28"/>
          <w:szCs w:val="28"/>
        </w:rPr>
        <w:t xml:space="preserve"> йде робота зі створення </w:t>
      </w:r>
      <w:proofErr w:type="spellStart"/>
      <w:r w:rsidR="002D1C0F" w:rsidRPr="0091674D">
        <w:rPr>
          <w:rFonts w:ascii="Times New Roman" w:hAnsi="Times New Roman" w:cs="Times New Roman"/>
          <w:sz w:val="28"/>
          <w:szCs w:val="28"/>
        </w:rPr>
        <w:t>етіотропних</w:t>
      </w:r>
      <w:proofErr w:type="spellEnd"/>
      <w:r w:rsidR="002D1C0F" w:rsidRPr="0091674D">
        <w:rPr>
          <w:rFonts w:ascii="Times New Roman" w:hAnsi="Times New Roman" w:cs="Times New Roman"/>
          <w:sz w:val="28"/>
          <w:szCs w:val="28"/>
        </w:rPr>
        <w:t xml:space="preserve"> препаратів з дією на SARS-</w:t>
      </w:r>
      <w:r w:rsidR="002D1C0F" w:rsidRPr="00B02BAD">
        <w:rPr>
          <w:rFonts w:ascii="Times New Roman" w:hAnsi="Times New Roman" w:cs="Times New Roman"/>
          <w:sz w:val="28"/>
          <w:szCs w:val="28"/>
        </w:rPr>
        <w:t>CoV-2</w:t>
      </w:r>
      <w:r w:rsidR="00407FB8" w:rsidRPr="00B02BAD">
        <w:rPr>
          <w:rFonts w:ascii="Times New Roman" w:hAnsi="Times New Roman" w:cs="Times New Roman"/>
          <w:sz w:val="28"/>
          <w:szCs w:val="28"/>
        </w:rPr>
        <w:t>. У</w:t>
      </w:r>
      <w:r w:rsidR="002D1C0F" w:rsidRPr="00B02BAD">
        <w:rPr>
          <w:rFonts w:ascii="Times New Roman" w:hAnsi="Times New Roman" w:cs="Times New Roman"/>
          <w:sz w:val="28"/>
          <w:szCs w:val="28"/>
        </w:rPr>
        <w:t xml:space="preserve"> світі з метою профілактики </w:t>
      </w:r>
      <w:proofErr w:type="spellStart"/>
      <w:r w:rsidR="002D1C0F" w:rsidRPr="00B02BAD">
        <w:rPr>
          <w:rFonts w:ascii="Times New Roman" w:hAnsi="Times New Roman" w:cs="Times New Roman"/>
          <w:sz w:val="28"/>
          <w:szCs w:val="28"/>
        </w:rPr>
        <w:t>коронавірусної</w:t>
      </w:r>
      <w:proofErr w:type="spellEnd"/>
      <w:r w:rsidR="002D1C0F" w:rsidRPr="00B02BAD">
        <w:rPr>
          <w:rFonts w:ascii="Times New Roman" w:hAnsi="Times New Roman" w:cs="Times New Roman"/>
          <w:sz w:val="28"/>
          <w:szCs w:val="28"/>
        </w:rPr>
        <w:t xml:space="preserve"> інфекції COVID-19 розроблено та застосовується цілий комплекс вакцин, а саме: </w:t>
      </w:r>
      <w:proofErr w:type="spellStart"/>
      <w:r w:rsidR="002D1C0F" w:rsidRPr="00B02BAD">
        <w:rPr>
          <w:rFonts w:ascii="Times New Roman" w:hAnsi="Times New Roman" w:cs="Times New Roman"/>
          <w:sz w:val="28"/>
          <w:szCs w:val="28"/>
        </w:rPr>
        <w:t>інактивовані</w:t>
      </w:r>
      <w:proofErr w:type="spellEnd"/>
      <w:r w:rsidR="002D1C0F" w:rsidRPr="00B02BAD">
        <w:rPr>
          <w:rFonts w:ascii="Times New Roman" w:hAnsi="Times New Roman" w:cs="Times New Roman"/>
          <w:sz w:val="28"/>
          <w:szCs w:val="28"/>
        </w:rPr>
        <w:t xml:space="preserve">, векторні, білкові та вакцини на основі нуклеїнових кислот. Наразі для вакцинації в Україні використовують та планують використовувати вакцини </w:t>
      </w:r>
      <w:r w:rsidR="00407FB8" w:rsidRPr="00B02BAD">
        <w:rPr>
          <w:rFonts w:ascii="Times New Roman" w:hAnsi="Times New Roman" w:cs="Times New Roman"/>
          <w:sz w:val="28"/>
          <w:szCs w:val="28"/>
        </w:rPr>
        <w:t>відомих</w:t>
      </w:r>
      <w:r w:rsidR="002D1C0F" w:rsidRPr="00B02BAD">
        <w:rPr>
          <w:rFonts w:ascii="Times New Roman" w:hAnsi="Times New Roman" w:cs="Times New Roman"/>
          <w:sz w:val="28"/>
          <w:szCs w:val="28"/>
        </w:rPr>
        <w:t xml:space="preserve"> у світі розробників і виробників. </w:t>
      </w:r>
      <w:r w:rsidR="00B162C4" w:rsidRPr="00B02BAD">
        <w:rPr>
          <w:rFonts w:ascii="Times New Roman" w:hAnsi="Times New Roman" w:cs="Times New Roman"/>
          <w:sz w:val="28"/>
          <w:szCs w:val="28"/>
        </w:rPr>
        <w:t>Вакцинація залишається високоефективним методом профілактики інфекційних захворювань, тому розробка вакцин є перспективним та вкрай важливим напрямком розвитку галузі.</w:t>
      </w:r>
    </w:p>
    <w:p w14:paraId="4375DBDD" w14:textId="707277E1" w:rsidR="00B162C4" w:rsidRPr="0091674D" w:rsidRDefault="00B162C4" w:rsidP="00B162C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674D">
        <w:rPr>
          <w:rFonts w:ascii="Times New Roman" w:hAnsi="Times New Roman" w:cs="Times New Roman"/>
          <w:sz w:val="28"/>
          <w:szCs w:val="28"/>
        </w:rPr>
        <w:t>Ця настанова сприятиме застосуванн</w:t>
      </w:r>
      <w:r w:rsidR="00344956" w:rsidRPr="0091674D">
        <w:rPr>
          <w:rFonts w:ascii="Times New Roman" w:hAnsi="Times New Roman" w:cs="Times New Roman"/>
          <w:sz w:val="28"/>
          <w:szCs w:val="28"/>
        </w:rPr>
        <w:t>ю</w:t>
      </w:r>
      <w:r w:rsidRPr="0091674D">
        <w:rPr>
          <w:rFonts w:ascii="Times New Roman" w:hAnsi="Times New Roman" w:cs="Times New Roman"/>
          <w:sz w:val="28"/>
          <w:szCs w:val="28"/>
        </w:rPr>
        <w:t xml:space="preserve"> інноваційних медичних технологій </w:t>
      </w:r>
      <w:r w:rsidR="0049140B" w:rsidRPr="0091674D">
        <w:rPr>
          <w:rFonts w:ascii="Times New Roman" w:hAnsi="Times New Roman" w:cs="Times New Roman"/>
          <w:sz w:val="28"/>
          <w:szCs w:val="28"/>
        </w:rPr>
        <w:t>і</w:t>
      </w:r>
      <w:r w:rsidRPr="0091674D">
        <w:rPr>
          <w:rFonts w:ascii="Times New Roman" w:hAnsi="Times New Roman" w:cs="Times New Roman"/>
          <w:sz w:val="28"/>
          <w:szCs w:val="28"/>
        </w:rPr>
        <w:t xml:space="preserve"> використанн</w:t>
      </w:r>
      <w:r w:rsidR="00344956" w:rsidRPr="0091674D">
        <w:rPr>
          <w:rFonts w:ascii="Times New Roman" w:hAnsi="Times New Roman" w:cs="Times New Roman"/>
          <w:sz w:val="28"/>
          <w:szCs w:val="28"/>
        </w:rPr>
        <w:t>ю</w:t>
      </w:r>
      <w:r w:rsidRPr="0091674D">
        <w:rPr>
          <w:rFonts w:ascii="Times New Roman" w:hAnsi="Times New Roman" w:cs="Times New Roman"/>
          <w:sz w:val="28"/>
          <w:szCs w:val="28"/>
        </w:rPr>
        <w:t xml:space="preserve"> сучасних міжнародних керівництв </w:t>
      </w:r>
      <w:r w:rsidR="00351B8A" w:rsidRPr="0091674D">
        <w:rPr>
          <w:rFonts w:ascii="Times New Roman" w:hAnsi="Times New Roman" w:cs="Times New Roman"/>
          <w:sz w:val="28"/>
          <w:szCs w:val="28"/>
        </w:rPr>
        <w:t>у</w:t>
      </w:r>
      <w:r w:rsidRPr="0091674D">
        <w:rPr>
          <w:rFonts w:ascii="Times New Roman" w:hAnsi="Times New Roman" w:cs="Times New Roman"/>
          <w:sz w:val="28"/>
          <w:szCs w:val="28"/>
        </w:rPr>
        <w:t xml:space="preserve"> процесі розробки, </w:t>
      </w:r>
      <w:proofErr w:type="spellStart"/>
      <w:r w:rsidRPr="0091674D">
        <w:rPr>
          <w:rFonts w:ascii="Times New Roman" w:hAnsi="Times New Roman" w:cs="Times New Roman"/>
          <w:sz w:val="28"/>
          <w:szCs w:val="28"/>
        </w:rPr>
        <w:t>доклінічного</w:t>
      </w:r>
      <w:proofErr w:type="spellEnd"/>
      <w:r w:rsidRPr="0091674D">
        <w:rPr>
          <w:rFonts w:ascii="Times New Roman" w:hAnsi="Times New Roman" w:cs="Times New Roman"/>
          <w:sz w:val="28"/>
          <w:szCs w:val="28"/>
        </w:rPr>
        <w:t xml:space="preserve"> вивчення та клінічних випробувань нових високоефективних та безпечних вакцин для профілактики інфекційних </w:t>
      </w:r>
      <w:proofErr w:type="spellStart"/>
      <w:r w:rsidRPr="0091674D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91674D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1B80803C" w14:textId="70246D2B" w:rsidR="00B162C4" w:rsidRPr="0091674D" w:rsidRDefault="00536DD1" w:rsidP="00350F96">
      <w:pPr>
        <w:pStyle w:val="HTM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/>
        </w:rPr>
      </w:pPr>
      <w:r w:rsidRPr="0091674D">
        <w:rPr>
          <w:rFonts w:ascii="Times New Roman" w:hAnsi="Times New Roman"/>
          <w:color w:val="000000"/>
          <w:sz w:val="28"/>
          <w:lang w:val="uk-UA"/>
        </w:rPr>
        <w:t>Ця</w:t>
      </w:r>
      <w:r w:rsidR="00B162C4" w:rsidRPr="0091674D">
        <w:rPr>
          <w:rFonts w:ascii="Times New Roman" w:hAnsi="Times New Roman"/>
          <w:color w:val="000000"/>
          <w:sz w:val="28"/>
          <w:lang w:val="uk-UA"/>
        </w:rPr>
        <w:t xml:space="preserve"> настанова розроблена на підставі керівництва </w:t>
      </w:r>
      <w:r w:rsidR="00350F96" w:rsidRPr="0091674D">
        <w:rPr>
          <w:rFonts w:ascii="Times New Roman" w:hAnsi="Times New Roman"/>
          <w:sz w:val="28"/>
          <w:szCs w:val="28"/>
          <w:lang w:val="uk-UA"/>
        </w:rPr>
        <w:t xml:space="preserve">EMEA/CHMP/VWP/164653/05 </w:t>
      </w:r>
      <w:proofErr w:type="spellStart"/>
      <w:r w:rsidR="00350F96" w:rsidRPr="0091674D">
        <w:rPr>
          <w:rFonts w:ascii="Times New Roman" w:hAnsi="Times New Roman"/>
          <w:sz w:val="28"/>
          <w:szCs w:val="28"/>
          <w:lang w:val="uk-UA"/>
        </w:rPr>
        <w:t>Rev</w:t>
      </w:r>
      <w:proofErr w:type="spellEnd"/>
      <w:r w:rsidR="00350F96" w:rsidRPr="0091674D">
        <w:rPr>
          <w:rFonts w:ascii="Times New Roman" w:hAnsi="Times New Roman"/>
          <w:sz w:val="28"/>
          <w:szCs w:val="28"/>
          <w:lang w:val="uk-UA"/>
        </w:rPr>
        <w:t>. 1 «</w:t>
      </w:r>
      <w:proofErr w:type="spellStart"/>
      <w:r w:rsidR="00350F96" w:rsidRPr="0091674D">
        <w:rPr>
          <w:rFonts w:ascii="Times New Roman" w:hAnsi="Times New Roman"/>
          <w:sz w:val="28"/>
          <w:szCs w:val="28"/>
          <w:lang w:val="uk-UA"/>
        </w:rPr>
        <w:t>Guideline</w:t>
      </w:r>
      <w:proofErr w:type="spellEnd"/>
      <w:r w:rsidR="00350F96" w:rsidRPr="0091674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50F96" w:rsidRPr="0091674D"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 w:rsidR="00350F96" w:rsidRPr="0091674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50F96" w:rsidRPr="0091674D">
        <w:rPr>
          <w:rFonts w:ascii="Times New Roman" w:hAnsi="Times New Roman"/>
          <w:sz w:val="28"/>
          <w:szCs w:val="28"/>
          <w:lang w:val="uk-UA"/>
        </w:rPr>
        <w:t>clinical</w:t>
      </w:r>
      <w:proofErr w:type="spellEnd"/>
      <w:r w:rsidR="00350F96" w:rsidRPr="0091674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50F96" w:rsidRPr="0091674D">
        <w:rPr>
          <w:rFonts w:ascii="Times New Roman" w:hAnsi="Times New Roman"/>
          <w:sz w:val="28"/>
          <w:szCs w:val="28"/>
          <w:lang w:val="uk-UA"/>
        </w:rPr>
        <w:t>evaluation</w:t>
      </w:r>
      <w:proofErr w:type="spellEnd"/>
      <w:r w:rsidR="00350F96" w:rsidRPr="0091674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50F96" w:rsidRPr="0091674D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350F96" w:rsidRPr="0091674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50F96" w:rsidRPr="0091674D">
        <w:rPr>
          <w:rFonts w:ascii="Times New Roman" w:hAnsi="Times New Roman"/>
          <w:sz w:val="28"/>
          <w:szCs w:val="28"/>
          <w:lang w:val="uk-UA"/>
        </w:rPr>
        <w:t>vaccines</w:t>
      </w:r>
      <w:proofErr w:type="spellEnd"/>
      <w:r w:rsidR="00351B8A" w:rsidRPr="0091674D">
        <w:rPr>
          <w:rFonts w:ascii="Times New Roman" w:hAnsi="Times New Roman"/>
          <w:sz w:val="28"/>
          <w:szCs w:val="28"/>
          <w:lang w:val="uk-UA"/>
        </w:rPr>
        <w:t>»,</w:t>
      </w:r>
      <w:r w:rsidR="00350F96" w:rsidRPr="009167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1B8A" w:rsidRPr="0091674D">
        <w:rPr>
          <w:rFonts w:ascii="Times New Roman" w:hAnsi="Times New Roman"/>
          <w:sz w:val="28"/>
          <w:szCs w:val="28"/>
          <w:lang w:val="uk-UA"/>
        </w:rPr>
        <w:t>—</w:t>
      </w:r>
      <w:r w:rsidR="00350F96" w:rsidRPr="0091674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84CD7" w:rsidRPr="0091674D">
        <w:rPr>
          <w:rFonts w:ascii="Times New Roman" w:hAnsi="Times New Roman"/>
          <w:sz w:val="28"/>
          <w:szCs w:val="28"/>
          <w:lang w:val="uk-UA"/>
        </w:rPr>
        <w:t>August</w:t>
      </w:r>
      <w:proofErr w:type="spellEnd"/>
      <w:r w:rsidR="00684CD7" w:rsidRPr="009167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0F96" w:rsidRPr="0091674D">
        <w:rPr>
          <w:rFonts w:ascii="Times New Roman" w:hAnsi="Times New Roman"/>
          <w:sz w:val="28"/>
          <w:szCs w:val="28"/>
          <w:lang w:val="uk-UA"/>
        </w:rPr>
        <w:t>2023 (</w:t>
      </w:r>
      <w:r w:rsidR="00351B8A" w:rsidRPr="0091674D">
        <w:rPr>
          <w:rFonts w:ascii="Times New Roman" w:hAnsi="Times New Roman"/>
          <w:sz w:val="28"/>
          <w:szCs w:val="28"/>
          <w:lang w:val="uk-UA"/>
        </w:rPr>
        <w:t>«</w:t>
      </w:r>
      <w:r w:rsidR="00350F96" w:rsidRPr="0091674D">
        <w:rPr>
          <w:rFonts w:ascii="Times New Roman" w:hAnsi="Times New Roman"/>
          <w:sz w:val="28"/>
          <w:szCs w:val="28"/>
          <w:lang w:val="uk-UA"/>
        </w:rPr>
        <w:t>Керівництво щодо клінічної оцінки вакцин</w:t>
      </w:r>
      <w:r w:rsidR="00351B8A" w:rsidRPr="0091674D">
        <w:rPr>
          <w:rFonts w:ascii="Times New Roman" w:hAnsi="Times New Roman"/>
          <w:sz w:val="28"/>
          <w:szCs w:val="28"/>
          <w:lang w:val="uk-UA"/>
        </w:rPr>
        <w:t>»,</w:t>
      </w:r>
      <w:r w:rsidR="00350F96" w:rsidRPr="009167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1B8A" w:rsidRPr="0091674D">
        <w:rPr>
          <w:rFonts w:ascii="Times New Roman" w:hAnsi="Times New Roman"/>
          <w:sz w:val="28"/>
          <w:szCs w:val="28"/>
          <w:lang w:val="uk-UA"/>
        </w:rPr>
        <w:t>—</w:t>
      </w:r>
      <w:r w:rsidR="00350F96" w:rsidRPr="009167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4CD7" w:rsidRPr="0091674D">
        <w:rPr>
          <w:rFonts w:ascii="Times New Roman" w:hAnsi="Times New Roman"/>
          <w:sz w:val="28"/>
          <w:szCs w:val="28"/>
          <w:lang w:val="uk-UA"/>
        </w:rPr>
        <w:t>серпень</w:t>
      </w:r>
      <w:r w:rsidR="00350F96" w:rsidRPr="0091674D">
        <w:rPr>
          <w:rFonts w:ascii="Times New Roman" w:hAnsi="Times New Roman"/>
          <w:sz w:val="28"/>
          <w:szCs w:val="28"/>
          <w:lang w:val="uk-UA"/>
        </w:rPr>
        <w:t xml:space="preserve"> 2023)</w:t>
      </w:r>
      <w:r w:rsidR="00351B8A" w:rsidRPr="0091674D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="00350F96" w:rsidRPr="0091674D">
        <w:rPr>
          <w:rFonts w:ascii="Times New Roman" w:hAnsi="Times New Roman"/>
          <w:color w:val="000000"/>
          <w:sz w:val="28"/>
          <w:szCs w:val="28"/>
          <w:lang w:val="uk-UA"/>
        </w:rPr>
        <w:t>[6]</w:t>
      </w:r>
      <w:r w:rsidR="00B162C4" w:rsidRPr="0091674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2BC43432" w14:textId="50D15ED5" w:rsidR="00564A07" w:rsidRPr="0091674D" w:rsidRDefault="00564A07" w:rsidP="00564A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74D">
        <w:rPr>
          <w:rFonts w:ascii="Times New Roman" w:hAnsi="Times New Roman" w:cs="Times New Roman"/>
          <w:color w:val="000000"/>
          <w:sz w:val="28"/>
          <w:szCs w:val="28"/>
        </w:rPr>
        <w:t xml:space="preserve">Ця настанова замінює </w:t>
      </w:r>
      <w:r w:rsidR="00F450DF" w:rsidRPr="0091674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91674D">
        <w:rPr>
          <w:rFonts w:ascii="Times New Roman" w:hAnsi="Times New Roman" w:cs="Times New Roman"/>
          <w:color w:val="000000"/>
          <w:sz w:val="28"/>
          <w:szCs w:val="28"/>
        </w:rPr>
        <w:t xml:space="preserve">астанову </w:t>
      </w:r>
      <w:r w:rsidRPr="0091674D">
        <w:rPr>
          <w:rFonts w:ascii="Times New Roman" w:hAnsi="Times New Roman" w:cs="Times New Roman"/>
          <w:sz w:val="28"/>
          <w:szCs w:val="28"/>
        </w:rPr>
        <w:t>42-7.7:2020 «</w:t>
      </w:r>
      <w:r w:rsidR="00536DD1" w:rsidRPr="0091674D">
        <w:rPr>
          <w:rFonts w:ascii="Times New Roman" w:hAnsi="Times New Roman" w:cs="Times New Roman"/>
          <w:sz w:val="28"/>
          <w:szCs w:val="28"/>
        </w:rPr>
        <w:t xml:space="preserve">Лікарські засоби. </w:t>
      </w:r>
      <w:r w:rsidRPr="0091674D">
        <w:rPr>
          <w:rFonts w:ascii="Times New Roman" w:hAnsi="Times New Roman" w:cs="Times New Roman"/>
          <w:sz w:val="28"/>
          <w:szCs w:val="28"/>
        </w:rPr>
        <w:t>Керівництво щодо клінічної оцінки вакцин».</w:t>
      </w:r>
    </w:p>
    <w:p w14:paraId="2113370F" w14:textId="49195744" w:rsidR="00B162C4" w:rsidRPr="0091674D" w:rsidRDefault="00B162C4" w:rsidP="00564A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91674D">
        <w:rPr>
          <w:rFonts w:ascii="Times New Roman" w:hAnsi="Times New Roman" w:cs="Times New Roman"/>
          <w:color w:val="000000"/>
          <w:sz w:val="28"/>
        </w:rPr>
        <w:t xml:space="preserve">Організація, відповідальна за цю настанову, </w:t>
      </w:r>
      <w:r w:rsidR="00351B8A" w:rsidRPr="0091674D">
        <w:rPr>
          <w:rFonts w:ascii="Times New Roman" w:hAnsi="Times New Roman" w:cs="Times New Roman"/>
          <w:color w:val="000000"/>
          <w:sz w:val="28"/>
        </w:rPr>
        <w:t>—</w:t>
      </w:r>
      <w:r w:rsidRPr="0091674D">
        <w:rPr>
          <w:rFonts w:ascii="Times New Roman" w:hAnsi="Times New Roman" w:cs="Times New Roman"/>
          <w:color w:val="000000"/>
          <w:sz w:val="28"/>
        </w:rPr>
        <w:t xml:space="preserve"> Міністерство охорони здоров’я України.</w:t>
      </w:r>
    </w:p>
    <w:p w14:paraId="79340C91" w14:textId="313B5C1B" w:rsidR="00E33AEE" w:rsidRPr="00B02BAD" w:rsidRDefault="00E33AEE" w:rsidP="00564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74D">
        <w:rPr>
          <w:rFonts w:ascii="Times New Roman" w:hAnsi="Times New Roman" w:cs="Times New Roman"/>
          <w:color w:val="000000"/>
          <w:sz w:val="28"/>
        </w:rPr>
        <w:t>Ця настанова</w:t>
      </w:r>
      <w:r w:rsidR="008C163B" w:rsidRPr="0091674D">
        <w:rPr>
          <w:rFonts w:ascii="Times New Roman" w:hAnsi="Times New Roman" w:cs="Times New Roman"/>
          <w:color w:val="000000"/>
          <w:sz w:val="28"/>
        </w:rPr>
        <w:t xml:space="preserve"> буде переглядатися відповідно до змін і доповнень, що вносяться до «</w:t>
      </w:r>
      <w:proofErr w:type="spellStart"/>
      <w:r w:rsidR="00EA70D7" w:rsidRPr="0091674D">
        <w:rPr>
          <w:rFonts w:ascii="Times New Roman" w:hAnsi="Times New Roman"/>
          <w:sz w:val="28"/>
          <w:szCs w:val="28"/>
        </w:rPr>
        <w:t>Guideline</w:t>
      </w:r>
      <w:proofErr w:type="spellEnd"/>
      <w:r w:rsidR="00EA70D7" w:rsidRPr="009167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70D7" w:rsidRPr="0091674D">
        <w:rPr>
          <w:rFonts w:ascii="Times New Roman" w:hAnsi="Times New Roman"/>
          <w:sz w:val="28"/>
          <w:szCs w:val="28"/>
        </w:rPr>
        <w:t>on</w:t>
      </w:r>
      <w:proofErr w:type="spellEnd"/>
      <w:r w:rsidR="00EA70D7" w:rsidRPr="009167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70D7" w:rsidRPr="0091674D">
        <w:rPr>
          <w:rFonts w:ascii="Times New Roman" w:hAnsi="Times New Roman"/>
          <w:sz w:val="28"/>
          <w:szCs w:val="28"/>
        </w:rPr>
        <w:t>clinical</w:t>
      </w:r>
      <w:proofErr w:type="spellEnd"/>
      <w:r w:rsidR="00EA70D7" w:rsidRPr="009167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70D7" w:rsidRPr="0091674D">
        <w:rPr>
          <w:rFonts w:ascii="Times New Roman" w:hAnsi="Times New Roman"/>
          <w:sz w:val="28"/>
          <w:szCs w:val="28"/>
        </w:rPr>
        <w:t>evaluation</w:t>
      </w:r>
      <w:proofErr w:type="spellEnd"/>
      <w:r w:rsidR="00EA70D7" w:rsidRPr="009167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70D7" w:rsidRPr="0091674D">
        <w:rPr>
          <w:rFonts w:ascii="Times New Roman" w:hAnsi="Times New Roman"/>
          <w:sz w:val="28"/>
          <w:szCs w:val="28"/>
        </w:rPr>
        <w:t>of</w:t>
      </w:r>
      <w:proofErr w:type="spellEnd"/>
      <w:r w:rsidR="00EA70D7" w:rsidRPr="009167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70D7" w:rsidRPr="0091674D">
        <w:rPr>
          <w:rFonts w:ascii="Times New Roman" w:hAnsi="Times New Roman"/>
          <w:sz w:val="28"/>
          <w:szCs w:val="28"/>
        </w:rPr>
        <w:t>vaccines</w:t>
      </w:r>
      <w:proofErr w:type="spellEnd"/>
      <w:r w:rsidR="00351B8A" w:rsidRPr="0091674D">
        <w:rPr>
          <w:rFonts w:ascii="Times New Roman" w:hAnsi="Times New Roman"/>
          <w:sz w:val="28"/>
          <w:szCs w:val="28"/>
        </w:rPr>
        <w:t>»,</w:t>
      </w:r>
      <w:r w:rsidR="00EA70D7" w:rsidRPr="0091674D">
        <w:rPr>
          <w:rFonts w:ascii="Times New Roman" w:hAnsi="Times New Roman"/>
          <w:sz w:val="28"/>
          <w:szCs w:val="28"/>
        </w:rPr>
        <w:t xml:space="preserve"> </w:t>
      </w:r>
      <w:r w:rsidR="00351B8A" w:rsidRPr="0091674D">
        <w:rPr>
          <w:rFonts w:ascii="Times New Roman" w:hAnsi="Times New Roman"/>
          <w:sz w:val="28"/>
          <w:szCs w:val="28"/>
        </w:rPr>
        <w:t>—</w:t>
      </w:r>
      <w:r w:rsidR="00EA70D7" w:rsidRPr="009167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70D7" w:rsidRPr="0091674D">
        <w:rPr>
          <w:rFonts w:ascii="Times New Roman" w:hAnsi="Times New Roman"/>
          <w:sz w:val="28"/>
          <w:szCs w:val="28"/>
        </w:rPr>
        <w:t>August</w:t>
      </w:r>
      <w:proofErr w:type="spellEnd"/>
      <w:r w:rsidR="00EA70D7" w:rsidRPr="0091674D">
        <w:rPr>
          <w:rFonts w:ascii="Times New Roman" w:hAnsi="Times New Roman"/>
          <w:sz w:val="28"/>
          <w:szCs w:val="28"/>
        </w:rPr>
        <w:t xml:space="preserve"> 2023</w:t>
      </w:r>
      <w:r w:rsidR="00EA70D7" w:rsidRPr="0091674D">
        <w:rPr>
          <w:rFonts w:ascii="Times New Roman" w:hAnsi="Times New Roman" w:cs="Times New Roman"/>
          <w:sz w:val="28"/>
          <w:szCs w:val="28"/>
        </w:rPr>
        <w:t xml:space="preserve"> </w:t>
      </w:r>
      <w:r w:rsidR="00EA70D7" w:rsidRPr="0091674D">
        <w:rPr>
          <w:rFonts w:ascii="Times New Roman" w:hAnsi="Times New Roman"/>
          <w:color w:val="000000"/>
          <w:sz w:val="28"/>
          <w:szCs w:val="28"/>
        </w:rPr>
        <w:t>[6]</w:t>
      </w:r>
      <w:r w:rsidR="003875DB" w:rsidRPr="0091674D">
        <w:rPr>
          <w:rFonts w:ascii="Times New Roman" w:hAnsi="Times New Roman" w:cs="Times New Roman"/>
          <w:sz w:val="28"/>
          <w:szCs w:val="28"/>
        </w:rPr>
        <w:t>.</w:t>
      </w:r>
    </w:p>
    <w:p w14:paraId="5CD319E0" w14:textId="0AB67ABA" w:rsidR="000A527A" w:rsidRPr="00B02BAD" w:rsidRDefault="00350F96" w:rsidP="000A527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BAD">
        <w:rPr>
          <w:rFonts w:ascii="Times New Roman" w:hAnsi="Times New Roman" w:cs="Times New Roman"/>
          <w:sz w:val="28"/>
          <w:szCs w:val="28"/>
        </w:rPr>
        <w:lastRenderedPageBreak/>
        <w:t xml:space="preserve">Положення настанови </w:t>
      </w:r>
      <w:r w:rsidR="00B162C4" w:rsidRPr="00B02BAD">
        <w:rPr>
          <w:rFonts w:ascii="Times New Roman" w:hAnsi="Times New Roman" w:cs="Times New Roman"/>
          <w:color w:val="000000"/>
          <w:sz w:val="28"/>
        </w:rPr>
        <w:t>відповідають чинному законодавству України:</w:t>
      </w:r>
      <w:r w:rsidR="00B162C4" w:rsidRPr="00B02B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62C4" w:rsidRPr="00E9697A">
        <w:rPr>
          <w:rFonts w:ascii="Times New Roman" w:hAnsi="Times New Roman" w:cs="Times New Roman"/>
          <w:color w:val="000000"/>
          <w:sz w:val="28"/>
          <w:szCs w:val="28"/>
        </w:rPr>
        <w:t>Закону України «Про лікарські засоби» [1], Порядку проведення клінічних випробувань лікарських засобів та експертизи матеріалів  клінічних випробувань і Типово</w:t>
      </w:r>
      <w:r w:rsidRPr="00E9697A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="00B162C4" w:rsidRPr="00E9697A">
        <w:rPr>
          <w:rFonts w:ascii="Times New Roman" w:hAnsi="Times New Roman" w:cs="Times New Roman"/>
          <w:color w:val="000000"/>
          <w:sz w:val="28"/>
          <w:szCs w:val="28"/>
        </w:rPr>
        <w:t xml:space="preserve"> положенн</w:t>
      </w:r>
      <w:r w:rsidRPr="00E9697A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B162C4" w:rsidRPr="00E9697A">
        <w:rPr>
          <w:rFonts w:ascii="Times New Roman" w:hAnsi="Times New Roman" w:cs="Times New Roman"/>
          <w:color w:val="000000"/>
          <w:sz w:val="28"/>
          <w:szCs w:val="28"/>
        </w:rPr>
        <w:t xml:space="preserve"> про комісії з питань етики</w:t>
      </w:r>
      <w:r w:rsidR="0073268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3268D" w:rsidRPr="0073268D">
        <w:t xml:space="preserve"> </w:t>
      </w:r>
      <w:r w:rsidR="0073268D" w:rsidRPr="0073268D">
        <w:rPr>
          <w:rFonts w:ascii="Times New Roman" w:hAnsi="Times New Roman" w:cs="Times New Roman"/>
          <w:color w:val="000000"/>
          <w:sz w:val="28"/>
          <w:szCs w:val="28"/>
        </w:rPr>
        <w:t xml:space="preserve">затвердженого наказом Міністерства охорони </w:t>
      </w:r>
      <w:bookmarkStart w:id="1" w:name="_Hlk167884738"/>
      <w:r w:rsidR="0073268D" w:rsidRPr="0073268D">
        <w:rPr>
          <w:rFonts w:ascii="Times New Roman" w:hAnsi="Times New Roman" w:cs="Times New Roman"/>
          <w:color w:val="000000"/>
          <w:sz w:val="28"/>
          <w:szCs w:val="28"/>
        </w:rPr>
        <w:t>здоров’я</w:t>
      </w:r>
      <w:bookmarkEnd w:id="1"/>
      <w:r w:rsidR="0073268D" w:rsidRPr="0073268D">
        <w:rPr>
          <w:rFonts w:ascii="Times New Roman" w:hAnsi="Times New Roman" w:cs="Times New Roman"/>
          <w:color w:val="000000"/>
          <w:sz w:val="28"/>
          <w:szCs w:val="28"/>
        </w:rPr>
        <w:t xml:space="preserve"> України від 23 вересня 2009 року № 690, зареєстрованого в Міністерстві юстиції України 29 жовтня 2009 року за                           № 1010/17026</w:t>
      </w:r>
      <w:r w:rsidR="00B162C4" w:rsidRPr="00E9697A">
        <w:rPr>
          <w:rFonts w:ascii="Times New Roman" w:hAnsi="Times New Roman" w:cs="Times New Roman"/>
          <w:color w:val="000000"/>
          <w:sz w:val="28"/>
          <w:szCs w:val="28"/>
        </w:rPr>
        <w:t xml:space="preserve"> [2] та </w:t>
      </w:r>
      <w:r w:rsidR="00F450DF" w:rsidRPr="00E9697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B162C4" w:rsidRPr="00E9697A">
        <w:rPr>
          <w:rFonts w:ascii="Times New Roman" w:hAnsi="Times New Roman" w:cs="Times New Roman"/>
          <w:color w:val="000000"/>
          <w:sz w:val="28"/>
          <w:szCs w:val="28"/>
        </w:rPr>
        <w:t>астанові</w:t>
      </w:r>
      <w:r w:rsidR="00E55187">
        <w:rPr>
          <w:rFonts w:ascii="Times New Roman" w:hAnsi="Times New Roman" w:cs="Times New Roman"/>
          <w:color w:val="000000"/>
          <w:sz w:val="28"/>
          <w:szCs w:val="28"/>
        </w:rPr>
        <w:t xml:space="preserve"> з Н</w:t>
      </w:r>
      <w:r w:rsidR="00B162C4" w:rsidRPr="00B02BAD">
        <w:rPr>
          <w:rFonts w:ascii="Times New Roman" w:hAnsi="Times New Roman" w:cs="Times New Roman"/>
          <w:color w:val="000000"/>
          <w:sz w:val="28"/>
          <w:szCs w:val="28"/>
        </w:rPr>
        <w:t>алежної клінічної практики [3].</w:t>
      </w:r>
    </w:p>
    <w:p w14:paraId="29948250" w14:textId="3D0E7205" w:rsidR="00B162C4" w:rsidRPr="00B02BAD" w:rsidRDefault="006308C5" w:rsidP="000A527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B02BAD">
        <w:rPr>
          <w:rFonts w:ascii="Times New Roman" w:hAnsi="Times New Roman" w:cs="Times New Roman"/>
          <w:sz w:val="28"/>
          <w:szCs w:val="28"/>
        </w:rPr>
        <w:t xml:space="preserve">Під час розроблення настанови до положень документа </w:t>
      </w:r>
      <w:r w:rsidRPr="00E9697A">
        <w:rPr>
          <w:rFonts w:ascii="Times New Roman" w:hAnsi="Times New Roman" w:cs="Times New Roman"/>
          <w:sz w:val="28"/>
          <w:szCs w:val="28"/>
        </w:rPr>
        <w:t xml:space="preserve">EMEA/CHMP/VWP/164653/05 </w:t>
      </w:r>
      <w:proofErr w:type="spellStart"/>
      <w:r w:rsidRPr="00E9697A">
        <w:rPr>
          <w:rFonts w:ascii="Times New Roman" w:hAnsi="Times New Roman" w:cs="Times New Roman"/>
          <w:sz w:val="28"/>
          <w:szCs w:val="28"/>
        </w:rPr>
        <w:t>Rev</w:t>
      </w:r>
      <w:proofErr w:type="spellEnd"/>
      <w:r w:rsidRPr="00E9697A">
        <w:rPr>
          <w:rFonts w:ascii="Times New Roman" w:hAnsi="Times New Roman" w:cs="Times New Roman"/>
          <w:sz w:val="28"/>
          <w:szCs w:val="28"/>
        </w:rPr>
        <w:t>. 1 «</w:t>
      </w:r>
      <w:proofErr w:type="spellStart"/>
      <w:r w:rsidRPr="00E9697A">
        <w:rPr>
          <w:rFonts w:ascii="Times New Roman" w:hAnsi="Times New Roman" w:cs="Times New Roman"/>
          <w:sz w:val="28"/>
          <w:szCs w:val="28"/>
        </w:rPr>
        <w:t>Guideline</w:t>
      </w:r>
      <w:proofErr w:type="spellEnd"/>
      <w:r w:rsidRPr="00E96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97A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E96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97A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E96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97A">
        <w:rPr>
          <w:rFonts w:ascii="Times New Roman" w:hAnsi="Times New Roman" w:cs="Times New Roman"/>
          <w:sz w:val="28"/>
          <w:szCs w:val="28"/>
        </w:rPr>
        <w:t>evaluation</w:t>
      </w:r>
      <w:proofErr w:type="spellEnd"/>
      <w:r w:rsidRPr="00E96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97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96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97A">
        <w:rPr>
          <w:rFonts w:ascii="Times New Roman" w:hAnsi="Times New Roman" w:cs="Times New Roman"/>
          <w:sz w:val="28"/>
          <w:szCs w:val="28"/>
        </w:rPr>
        <w:t>vaccines</w:t>
      </w:r>
      <w:proofErr w:type="spellEnd"/>
      <w:r w:rsidR="00F450DF" w:rsidRPr="00E9697A">
        <w:rPr>
          <w:rFonts w:ascii="Times New Roman" w:hAnsi="Times New Roman" w:cs="Times New Roman"/>
          <w:sz w:val="28"/>
          <w:szCs w:val="28"/>
        </w:rPr>
        <w:t>»,</w:t>
      </w:r>
      <w:r w:rsidRPr="00E9697A">
        <w:rPr>
          <w:rFonts w:ascii="Times New Roman" w:hAnsi="Times New Roman" w:cs="Times New Roman"/>
          <w:sz w:val="28"/>
          <w:szCs w:val="28"/>
        </w:rPr>
        <w:t xml:space="preserve"> </w:t>
      </w:r>
      <w:r w:rsidR="00F450DF" w:rsidRPr="00E9697A">
        <w:rPr>
          <w:rFonts w:ascii="Times New Roman" w:hAnsi="Times New Roman" w:cs="Times New Roman"/>
          <w:sz w:val="28"/>
          <w:szCs w:val="28"/>
        </w:rPr>
        <w:t>—</w:t>
      </w:r>
      <w:r w:rsidRPr="00E96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CD7" w:rsidRPr="00E9697A">
        <w:rPr>
          <w:rFonts w:ascii="Times New Roman" w:hAnsi="Times New Roman" w:cs="Times New Roman"/>
          <w:sz w:val="28"/>
          <w:szCs w:val="28"/>
        </w:rPr>
        <w:t>August</w:t>
      </w:r>
      <w:proofErr w:type="spellEnd"/>
      <w:r w:rsidR="00684CD7" w:rsidRPr="00E9697A">
        <w:rPr>
          <w:rFonts w:ascii="Times New Roman" w:hAnsi="Times New Roman" w:cs="Times New Roman"/>
          <w:sz w:val="28"/>
          <w:szCs w:val="28"/>
        </w:rPr>
        <w:t xml:space="preserve"> </w:t>
      </w:r>
      <w:r w:rsidRPr="00E9697A">
        <w:rPr>
          <w:rFonts w:ascii="Times New Roman" w:hAnsi="Times New Roman" w:cs="Times New Roman"/>
          <w:sz w:val="28"/>
          <w:szCs w:val="28"/>
        </w:rPr>
        <w:t>2023 (</w:t>
      </w:r>
      <w:r w:rsidR="008C2611" w:rsidRPr="00E9697A">
        <w:rPr>
          <w:rFonts w:ascii="Times New Roman" w:hAnsi="Times New Roman" w:cs="Times New Roman"/>
          <w:sz w:val="28"/>
          <w:szCs w:val="28"/>
        </w:rPr>
        <w:t>«</w:t>
      </w:r>
      <w:r w:rsidRPr="00E9697A">
        <w:rPr>
          <w:rFonts w:ascii="Times New Roman" w:hAnsi="Times New Roman" w:cs="Times New Roman"/>
          <w:sz w:val="28"/>
          <w:szCs w:val="28"/>
        </w:rPr>
        <w:t>Керівництво щодо клінічної оцінки вакцин</w:t>
      </w:r>
      <w:r w:rsidR="008C2611" w:rsidRPr="00E9697A">
        <w:rPr>
          <w:rFonts w:ascii="Times New Roman" w:hAnsi="Times New Roman" w:cs="Times New Roman"/>
          <w:sz w:val="28"/>
          <w:szCs w:val="28"/>
        </w:rPr>
        <w:t>»</w:t>
      </w:r>
      <w:r w:rsidR="00F450DF" w:rsidRPr="00E9697A">
        <w:rPr>
          <w:rFonts w:ascii="Times New Roman" w:hAnsi="Times New Roman" w:cs="Times New Roman"/>
          <w:sz w:val="28"/>
          <w:szCs w:val="28"/>
        </w:rPr>
        <w:t>,</w:t>
      </w:r>
      <w:r w:rsidRPr="00E9697A">
        <w:rPr>
          <w:rFonts w:ascii="Times New Roman" w:hAnsi="Times New Roman" w:cs="Times New Roman"/>
          <w:sz w:val="28"/>
          <w:szCs w:val="28"/>
        </w:rPr>
        <w:t xml:space="preserve"> </w:t>
      </w:r>
      <w:r w:rsidR="00F450DF" w:rsidRPr="00E9697A">
        <w:rPr>
          <w:rFonts w:ascii="Times New Roman" w:hAnsi="Times New Roman" w:cs="Times New Roman"/>
          <w:sz w:val="28"/>
          <w:szCs w:val="28"/>
        </w:rPr>
        <w:t>—</w:t>
      </w:r>
      <w:r w:rsidRPr="00E9697A">
        <w:rPr>
          <w:rFonts w:ascii="Times New Roman" w:hAnsi="Times New Roman" w:cs="Times New Roman"/>
          <w:sz w:val="28"/>
          <w:szCs w:val="28"/>
        </w:rPr>
        <w:t xml:space="preserve"> </w:t>
      </w:r>
      <w:r w:rsidR="00684CD7" w:rsidRPr="00E9697A">
        <w:rPr>
          <w:rFonts w:ascii="Times New Roman" w:hAnsi="Times New Roman" w:cs="Times New Roman"/>
          <w:sz w:val="28"/>
          <w:szCs w:val="28"/>
        </w:rPr>
        <w:t>серпень</w:t>
      </w:r>
      <w:r w:rsidRPr="00E9697A">
        <w:rPr>
          <w:rFonts w:ascii="Times New Roman" w:hAnsi="Times New Roman" w:cs="Times New Roman"/>
          <w:sz w:val="28"/>
          <w:szCs w:val="28"/>
        </w:rPr>
        <w:t xml:space="preserve"> 2023)</w:t>
      </w:r>
      <w:r w:rsidRPr="00E96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97A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Pr="00E9697A">
        <w:rPr>
          <w:rFonts w:ascii="Times New Roman" w:hAnsi="Times New Roman" w:cs="Times New Roman"/>
          <w:sz w:val="28"/>
          <w:szCs w:val="28"/>
        </w:rPr>
        <w:t xml:space="preserve"> окремі зміни</w:t>
      </w:r>
      <w:r w:rsidR="003875DB" w:rsidRPr="00E9697A">
        <w:rPr>
          <w:rFonts w:ascii="Times New Roman" w:hAnsi="Times New Roman" w:cs="Times New Roman"/>
          <w:sz w:val="28"/>
          <w:szCs w:val="28"/>
        </w:rPr>
        <w:t xml:space="preserve"> та доповнення</w:t>
      </w:r>
      <w:r w:rsidRPr="00E9697A">
        <w:rPr>
          <w:rFonts w:ascii="Times New Roman" w:hAnsi="Times New Roman" w:cs="Times New Roman"/>
          <w:sz w:val="28"/>
          <w:szCs w:val="28"/>
        </w:rPr>
        <w:t>, зумовлені чинним</w:t>
      </w:r>
      <w:r w:rsidRPr="00B02BAD">
        <w:rPr>
          <w:rFonts w:ascii="Times New Roman" w:hAnsi="Times New Roman" w:cs="Times New Roman"/>
          <w:sz w:val="28"/>
          <w:szCs w:val="28"/>
        </w:rPr>
        <w:t xml:space="preserve"> законодавством </w:t>
      </w:r>
      <w:r w:rsidR="003875DB" w:rsidRPr="00B02BAD">
        <w:rPr>
          <w:rFonts w:ascii="Times New Roman" w:hAnsi="Times New Roman" w:cs="Times New Roman"/>
          <w:sz w:val="28"/>
          <w:szCs w:val="28"/>
        </w:rPr>
        <w:t>та</w:t>
      </w:r>
      <w:r w:rsidRPr="00B02BAD">
        <w:rPr>
          <w:rFonts w:ascii="Times New Roman" w:hAnsi="Times New Roman" w:cs="Times New Roman"/>
          <w:sz w:val="28"/>
          <w:szCs w:val="28"/>
        </w:rPr>
        <w:t xml:space="preserve"> прийнятими в Україні </w:t>
      </w:r>
      <w:r w:rsidR="00B162C4" w:rsidRPr="00B02BAD">
        <w:rPr>
          <w:rFonts w:ascii="Times New Roman" w:hAnsi="Times New Roman" w:cs="Times New Roman"/>
          <w:color w:val="000000"/>
          <w:sz w:val="28"/>
        </w:rPr>
        <w:t xml:space="preserve">гармонізованими нормативними документами. Деякі редакційні зміни було долучено безпосередньо до пунктів, яких вони стосуються. </w:t>
      </w:r>
    </w:p>
    <w:p w14:paraId="41580C08" w14:textId="77777777" w:rsidR="00344956" w:rsidRPr="00B02BAD" w:rsidRDefault="00344956" w:rsidP="00344956">
      <w:pPr>
        <w:widowControl w:val="0"/>
        <w:suppressAutoHyphens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02BAD">
        <w:rPr>
          <w:rFonts w:ascii="Times New Roman" w:hAnsi="Times New Roman" w:cs="Times New Roman"/>
          <w:sz w:val="28"/>
          <w:szCs w:val="28"/>
        </w:rPr>
        <w:t>Внесені редакційні зміни та додаткова інформація:</w:t>
      </w:r>
    </w:p>
    <w:p w14:paraId="69D267FE" w14:textId="77777777" w:rsidR="00B162C4" w:rsidRPr="00B02BAD" w:rsidRDefault="00B162C4" w:rsidP="00156779">
      <w:pPr>
        <w:pStyle w:val="a5"/>
        <w:numPr>
          <w:ilvl w:val="0"/>
          <w:numId w:val="1"/>
        </w:numPr>
        <w:tabs>
          <w:tab w:val="clear" w:pos="1260"/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</w:rPr>
      </w:pPr>
      <w:r w:rsidRPr="00B02BAD">
        <w:rPr>
          <w:rFonts w:ascii="Times New Roman" w:hAnsi="Times New Roman" w:cs="Times New Roman"/>
          <w:color w:val="000000"/>
          <w:sz w:val="28"/>
        </w:rPr>
        <w:t xml:space="preserve"> назву цієї настанови наведено відповідно до положень ДСТУ 1.5-20</w:t>
      </w:r>
      <w:r w:rsidR="00536DD1" w:rsidRPr="00B02BAD">
        <w:rPr>
          <w:rFonts w:ascii="Times New Roman" w:hAnsi="Times New Roman" w:cs="Times New Roman"/>
          <w:color w:val="000000"/>
          <w:sz w:val="28"/>
        </w:rPr>
        <w:t>15</w:t>
      </w:r>
      <w:r w:rsidRPr="00B02BAD">
        <w:rPr>
          <w:rFonts w:ascii="Times New Roman" w:hAnsi="Times New Roman" w:cs="Times New Roman"/>
          <w:color w:val="000000"/>
          <w:sz w:val="28"/>
        </w:rPr>
        <w:t xml:space="preserve"> «Національна стандартизація. Правила побудови, викладання, оформлення та вимоги до змісту нормативних документів»</w:t>
      </w:r>
      <w:r w:rsidRPr="00B02BAD">
        <w:rPr>
          <w:rFonts w:ascii="Times New Roman" w:hAnsi="Times New Roman" w:cs="Times New Roman"/>
          <w:color w:val="000000"/>
          <w:sz w:val="28"/>
          <w:szCs w:val="28"/>
        </w:rPr>
        <w:t xml:space="preserve"> [4]</w:t>
      </w:r>
      <w:r w:rsidRPr="00B02BAD">
        <w:rPr>
          <w:rFonts w:ascii="Times New Roman" w:hAnsi="Times New Roman" w:cs="Times New Roman"/>
          <w:color w:val="000000"/>
          <w:sz w:val="28"/>
        </w:rPr>
        <w:t>;</w:t>
      </w:r>
    </w:p>
    <w:p w14:paraId="47EC7A5A" w14:textId="2439F8B0" w:rsidR="00B162C4" w:rsidRPr="00E9697A" w:rsidRDefault="00B162C4" w:rsidP="00156779">
      <w:pPr>
        <w:pStyle w:val="a5"/>
        <w:numPr>
          <w:ilvl w:val="0"/>
          <w:numId w:val="1"/>
        </w:numPr>
        <w:tabs>
          <w:tab w:val="clear" w:pos="1260"/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</w:rPr>
      </w:pPr>
      <w:r w:rsidRPr="00B02BAD">
        <w:rPr>
          <w:rFonts w:ascii="Times New Roman" w:hAnsi="Times New Roman" w:cs="Times New Roman"/>
          <w:color w:val="000000"/>
          <w:sz w:val="28"/>
        </w:rPr>
        <w:t xml:space="preserve"> </w:t>
      </w:r>
      <w:r w:rsidRPr="00E9697A">
        <w:rPr>
          <w:rFonts w:ascii="Times New Roman" w:hAnsi="Times New Roman" w:cs="Times New Roman"/>
          <w:color w:val="000000"/>
          <w:sz w:val="28"/>
        </w:rPr>
        <w:t>додатково введено такі структурні елементи</w:t>
      </w:r>
      <w:r w:rsidR="00F450DF" w:rsidRPr="00E9697A">
        <w:rPr>
          <w:rFonts w:ascii="Times New Roman" w:hAnsi="Times New Roman" w:cs="Times New Roman"/>
          <w:color w:val="000000"/>
          <w:sz w:val="28"/>
        </w:rPr>
        <w:t xml:space="preserve">: </w:t>
      </w:r>
      <w:r w:rsidRPr="00E9697A">
        <w:rPr>
          <w:rFonts w:ascii="Times New Roman" w:hAnsi="Times New Roman" w:cs="Times New Roman"/>
          <w:color w:val="000000"/>
          <w:sz w:val="28"/>
        </w:rPr>
        <w:t>«Передмова», «Національний вступ», «Сфера застосування», «Нормативні посилання», «</w:t>
      </w:r>
      <w:r w:rsidR="00023E5C" w:rsidRPr="00CF5DEC">
        <w:rPr>
          <w:rFonts w:ascii="Times New Roman" w:hAnsi="Times New Roman" w:cs="Times New Roman"/>
          <w:sz w:val="28"/>
          <w:szCs w:val="28"/>
        </w:rPr>
        <w:t>Познаки та скорочення</w:t>
      </w:r>
      <w:r w:rsidRPr="00E9697A">
        <w:rPr>
          <w:rFonts w:ascii="Times New Roman" w:hAnsi="Times New Roman" w:cs="Times New Roman"/>
          <w:color w:val="000000"/>
          <w:sz w:val="28"/>
        </w:rPr>
        <w:t xml:space="preserve">», а також «Бібліографія», </w:t>
      </w:r>
      <w:r w:rsidR="008C2611" w:rsidRPr="00E9697A">
        <w:rPr>
          <w:rFonts w:ascii="Times New Roman" w:hAnsi="Times New Roman" w:cs="Times New Roman"/>
          <w:color w:val="000000"/>
          <w:sz w:val="28"/>
        </w:rPr>
        <w:t xml:space="preserve">— </w:t>
      </w:r>
      <w:r w:rsidRPr="00E9697A">
        <w:rPr>
          <w:rFonts w:ascii="Times New Roman" w:hAnsi="Times New Roman" w:cs="Times New Roman"/>
          <w:color w:val="000000"/>
          <w:sz w:val="28"/>
        </w:rPr>
        <w:t>які оформлені з</w:t>
      </w:r>
      <w:r w:rsidR="006944CD" w:rsidRPr="00E9697A">
        <w:rPr>
          <w:rFonts w:ascii="Times New Roman" w:hAnsi="Times New Roman" w:cs="Times New Roman"/>
          <w:color w:val="000000"/>
          <w:sz w:val="28"/>
        </w:rPr>
        <w:t>гідно з положеннями ДСТУ 1.5-2015</w:t>
      </w:r>
      <w:r w:rsidRPr="00E9697A">
        <w:rPr>
          <w:rFonts w:ascii="Times New Roman" w:hAnsi="Times New Roman" w:cs="Times New Roman"/>
          <w:color w:val="000000"/>
          <w:sz w:val="28"/>
        </w:rPr>
        <w:t xml:space="preserve"> «Національна стандартизація. Правила побудови, викладання, оформлення та вимоги до змісту нормативних документів» </w:t>
      </w:r>
      <w:r w:rsidRPr="00E9697A">
        <w:rPr>
          <w:rFonts w:ascii="Times New Roman" w:hAnsi="Times New Roman" w:cs="Times New Roman"/>
          <w:color w:val="000000"/>
          <w:sz w:val="28"/>
          <w:szCs w:val="28"/>
        </w:rPr>
        <w:t xml:space="preserve">[4] </w:t>
      </w:r>
      <w:r w:rsidR="00983ACB" w:rsidRPr="00E9697A">
        <w:rPr>
          <w:rFonts w:ascii="Times New Roman" w:hAnsi="Times New Roman" w:cs="Times New Roman"/>
          <w:color w:val="000000"/>
          <w:sz w:val="28"/>
        </w:rPr>
        <w:t>і</w:t>
      </w:r>
      <w:r w:rsidRPr="00E9697A">
        <w:rPr>
          <w:rFonts w:ascii="Times New Roman" w:hAnsi="Times New Roman" w:cs="Times New Roman"/>
          <w:color w:val="000000"/>
          <w:sz w:val="28"/>
        </w:rPr>
        <w:t xml:space="preserve"> ДСТУ 1.7-2015 «Національна стандартизація. Правила та методи прийняття міжнародних і регіональних нормативних документів» </w:t>
      </w:r>
      <w:r w:rsidRPr="00E9697A">
        <w:rPr>
          <w:rFonts w:ascii="Times New Roman" w:hAnsi="Times New Roman" w:cs="Times New Roman"/>
          <w:color w:val="000000"/>
          <w:sz w:val="28"/>
          <w:szCs w:val="28"/>
        </w:rPr>
        <w:t>[5]. «Зміст» цієї настанови подано з урахуванням додаткових структурних елементів;</w:t>
      </w:r>
    </w:p>
    <w:p w14:paraId="561EAAEE" w14:textId="1C80F53D" w:rsidR="00B162C4" w:rsidRPr="00E9697A" w:rsidRDefault="00B162C4" w:rsidP="00156779">
      <w:pPr>
        <w:pStyle w:val="a5"/>
        <w:numPr>
          <w:ilvl w:val="0"/>
          <w:numId w:val="1"/>
        </w:numPr>
        <w:tabs>
          <w:tab w:val="clear" w:pos="1260"/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97A">
        <w:rPr>
          <w:rFonts w:ascii="Times New Roman" w:hAnsi="Times New Roman" w:cs="Times New Roman"/>
          <w:color w:val="000000"/>
          <w:sz w:val="28"/>
        </w:rPr>
        <w:t xml:space="preserve"> основні положення викладено у розділі «</w:t>
      </w:r>
      <w:r w:rsidRPr="00E9697A">
        <w:rPr>
          <w:rFonts w:ascii="Times New Roman" w:hAnsi="Times New Roman"/>
          <w:color w:val="000000"/>
          <w:sz w:val="28"/>
        </w:rPr>
        <w:t>Керівництво щодо клінічної оцінки вакцин</w:t>
      </w:r>
      <w:r w:rsidR="00983ACB" w:rsidRPr="00E9697A">
        <w:rPr>
          <w:rFonts w:ascii="Times New Roman" w:hAnsi="Times New Roman"/>
          <w:color w:val="000000"/>
          <w:sz w:val="28"/>
        </w:rPr>
        <w:t>»</w:t>
      </w:r>
      <w:r w:rsidRPr="00E9697A">
        <w:rPr>
          <w:rFonts w:ascii="Times New Roman" w:hAnsi="Times New Roman"/>
          <w:color w:val="000000"/>
          <w:sz w:val="28"/>
        </w:rPr>
        <w:t>; при цьому кож</w:t>
      </w:r>
      <w:r w:rsidR="00BE13DD" w:rsidRPr="00E9697A">
        <w:rPr>
          <w:rFonts w:ascii="Times New Roman" w:hAnsi="Times New Roman"/>
          <w:color w:val="000000"/>
          <w:sz w:val="28"/>
        </w:rPr>
        <w:t>ен</w:t>
      </w:r>
      <w:r w:rsidRPr="00E9697A">
        <w:rPr>
          <w:rFonts w:ascii="Times New Roman" w:hAnsi="Times New Roman"/>
          <w:color w:val="000000"/>
          <w:sz w:val="28"/>
        </w:rPr>
        <w:t xml:space="preserve"> структурний елемент у </w:t>
      </w:r>
      <w:r w:rsidR="00983ACB" w:rsidRPr="00E9697A">
        <w:rPr>
          <w:rFonts w:ascii="Times New Roman" w:hAnsi="Times New Roman"/>
          <w:color w:val="000000"/>
          <w:sz w:val="28"/>
        </w:rPr>
        <w:t>ц</w:t>
      </w:r>
      <w:r w:rsidRPr="00E9697A">
        <w:rPr>
          <w:rFonts w:ascii="Times New Roman" w:hAnsi="Times New Roman"/>
          <w:color w:val="000000"/>
          <w:sz w:val="28"/>
        </w:rPr>
        <w:t xml:space="preserve">ій настанові відповідає такому у керівництві: </w:t>
      </w:r>
      <w:r w:rsidRPr="00E9697A">
        <w:rPr>
          <w:rFonts w:ascii="Times New Roman" w:hAnsi="Times New Roman" w:cs="Times New Roman"/>
          <w:sz w:val="28"/>
          <w:szCs w:val="28"/>
        </w:rPr>
        <w:t xml:space="preserve">EMEA/CHMP/VWP/164653/05 </w:t>
      </w:r>
      <w:proofErr w:type="spellStart"/>
      <w:r w:rsidRPr="00E9697A">
        <w:rPr>
          <w:rFonts w:ascii="Times New Roman" w:hAnsi="Times New Roman" w:cs="Times New Roman"/>
          <w:sz w:val="28"/>
          <w:szCs w:val="28"/>
        </w:rPr>
        <w:t>Rev</w:t>
      </w:r>
      <w:proofErr w:type="spellEnd"/>
      <w:r w:rsidRPr="00E9697A">
        <w:rPr>
          <w:rFonts w:ascii="Times New Roman" w:hAnsi="Times New Roman" w:cs="Times New Roman"/>
          <w:sz w:val="28"/>
          <w:szCs w:val="28"/>
        </w:rPr>
        <w:t>. 1 «</w:t>
      </w:r>
      <w:proofErr w:type="spellStart"/>
      <w:r w:rsidRPr="00E9697A">
        <w:rPr>
          <w:rFonts w:ascii="Times New Roman" w:hAnsi="Times New Roman" w:cs="Times New Roman"/>
          <w:sz w:val="28"/>
          <w:szCs w:val="28"/>
        </w:rPr>
        <w:t>Guideline</w:t>
      </w:r>
      <w:proofErr w:type="spellEnd"/>
      <w:r w:rsidRPr="00E96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97A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E96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97A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E96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97A">
        <w:rPr>
          <w:rFonts w:ascii="Times New Roman" w:hAnsi="Times New Roman" w:cs="Times New Roman"/>
          <w:sz w:val="28"/>
          <w:szCs w:val="28"/>
        </w:rPr>
        <w:t>evaluation</w:t>
      </w:r>
      <w:proofErr w:type="spellEnd"/>
      <w:r w:rsidRPr="00E96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97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96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97A">
        <w:rPr>
          <w:rFonts w:ascii="Times New Roman" w:hAnsi="Times New Roman" w:cs="Times New Roman"/>
          <w:sz w:val="28"/>
          <w:szCs w:val="28"/>
        </w:rPr>
        <w:t>vaccines</w:t>
      </w:r>
      <w:proofErr w:type="spellEnd"/>
      <w:r w:rsidR="00983ACB" w:rsidRPr="00E9697A">
        <w:rPr>
          <w:rFonts w:ascii="Times New Roman" w:hAnsi="Times New Roman" w:cs="Times New Roman"/>
          <w:sz w:val="28"/>
          <w:szCs w:val="28"/>
        </w:rPr>
        <w:t>»,</w:t>
      </w:r>
      <w:r w:rsidRPr="00E9697A">
        <w:rPr>
          <w:rFonts w:ascii="Times New Roman" w:hAnsi="Times New Roman" w:cs="Times New Roman"/>
          <w:sz w:val="28"/>
          <w:szCs w:val="28"/>
        </w:rPr>
        <w:t xml:space="preserve"> </w:t>
      </w:r>
      <w:r w:rsidR="00983ACB" w:rsidRPr="00E9697A">
        <w:rPr>
          <w:rFonts w:ascii="Times New Roman" w:hAnsi="Times New Roman" w:cs="Times New Roman"/>
          <w:sz w:val="28"/>
          <w:szCs w:val="28"/>
        </w:rPr>
        <w:t>—</w:t>
      </w:r>
      <w:r w:rsidRPr="00E96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5DA" w:rsidRPr="00E9697A">
        <w:rPr>
          <w:rFonts w:ascii="Times New Roman" w:hAnsi="Times New Roman"/>
          <w:sz w:val="28"/>
          <w:szCs w:val="28"/>
        </w:rPr>
        <w:t>August</w:t>
      </w:r>
      <w:proofErr w:type="spellEnd"/>
      <w:r w:rsidR="000675DA" w:rsidRPr="00E9697A">
        <w:rPr>
          <w:rFonts w:ascii="Times New Roman" w:hAnsi="Times New Roman"/>
          <w:sz w:val="28"/>
          <w:szCs w:val="28"/>
        </w:rPr>
        <w:t xml:space="preserve"> </w:t>
      </w:r>
      <w:r w:rsidR="004B4C98" w:rsidRPr="00E9697A">
        <w:rPr>
          <w:rFonts w:ascii="Times New Roman" w:hAnsi="Times New Roman" w:cs="Times New Roman"/>
          <w:sz w:val="28"/>
          <w:szCs w:val="28"/>
        </w:rPr>
        <w:t>2023</w:t>
      </w:r>
      <w:r w:rsidR="004B4C98" w:rsidRPr="00E9697A">
        <w:rPr>
          <w:rFonts w:ascii="Times New Roman" w:hAnsi="Times New Roman"/>
          <w:sz w:val="28"/>
          <w:szCs w:val="28"/>
        </w:rPr>
        <w:t xml:space="preserve"> (</w:t>
      </w:r>
      <w:r w:rsidR="00983ACB" w:rsidRPr="00E9697A">
        <w:rPr>
          <w:rFonts w:ascii="Times New Roman" w:hAnsi="Times New Roman"/>
          <w:sz w:val="28"/>
          <w:szCs w:val="28"/>
        </w:rPr>
        <w:t>«</w:t>
      </w:r>
      <w:r w:rsidR="004B4C98" w:rsidRPr="00E9697A">
        <w:rPr>
          <w:rFonts w:ascii="Times New Roman" w:hAnsi="Times New Roman"/>
          <w:sz w:val="28"/>
          <w:szCs w:val="28"/>
        </w:rPr>
        <w:t>Керівництво щодо клінічної оцінки вакцин</w:t>
      </w:r>
      <w:r w:rsidR="00983ACB" w:rsidRPr="00E9697A">
        <w:rPr>
          <w:rFonts w:ascii="Times New Roman" w:hAnsi="Times New Roman"/>
          <w:sz w:val="28"/>
          <w:szCs w:val="28"/>
        </w:rPr>
        <w:t>»,</w:t>
      </w:r>
      <w:r w:rsidR="004B4C98" w:rsidRPr="00E9697A">
        <w:rPr>
          <w:rFonts w:ascii="Times New Roman" w:hAnsi="Times New Roman"/>
          <w:sz w:val="28"/>
          <w:szCs w:val="28"/>
        </w:rPr>
        <w:t xml:space="preserve"> </w:t>
      </w:r>
      <w:r w:rsidR="00983ACB" w:rsidRPr="00E9697A">
        <w:rPr>
          <w:rFonts w:ascii="Times New Roman" w:hAnsi="Times New Roman"/>
          <w:sz w:val="28"/>
          <w:szCs w:val="28"/>
        </w:rPr>
        <w:t>—</w:t>
      </w:r>
      <w:r w:rsidR="004B4C98" w:rsidRPr="00E9697A">
        <w:rPr>
          <w:rFonts w:ascii="Times New Roman" w:hAnsi="Times New Roman"/>
          <w:sz w:val="28"/>
          <w:szCs w:val="28"/>
        </w:rPr>
        <w:t xml:space="preserve"> </w:t>
      </w:r>
      <w:r w:rsidR="000675DA" w:rsidRPr="00E9697A">
        <w:rPr>
          <w:rFonts w:ascii="Times New Roman" w:hAnsi="Times New Roman"/>
          <w:sz w:val="28"/>
          <w:szCs w:val="28"/>
        </w:rPr>
        <w:t xml:space="preserve">серпень </w:t>
      </w:r>
      <w:r w:rsidR="004B4C98" w:rsidRPr="00E9697A">
        <w:rPr>
          <w:rFonts w:ascii="Times New Roman" w:hAnsi="Times New Roman"/>
          <w:sz w:val="28"/>
          <w:szCs w:val="28"/>
        </w:rPr>
        <w:t>2023)</w:t>
      </w:r>
      <w:r w:rsidR="00983ACB" w:rsidRPr="00E9697A">
        <w:rPr>
          <w:rFonts w:ascii="Times New Roman" w:hAnsi="Times New Roman" w:cs="Times New Roman"/>
          <w:sz w:val="28"/>
          <w:szCs w:val="28"/>
        </w:rPr>
        <w:t>;</w:t>
      </w:r>
      <w:r w:rsidRPr="00E969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905D4D" w14:textId="77777777" w:rsidR="00B162C4" w:rsidRPr="00B02BAD" w:rsidRDefault="00B162C4" w:rsidP="00156779">
      <w:pPr>
        <w:pStyle w:val="21"/>
        <w:numPr>
          <w:ilvl w:val="0"/>
          <w:numId w:val="1"/>
        </w:numPr>
        <w:tabs>
          <w:tab w:val="clear" w:pos="1260"/>
          <w:tab w:val="num" w:pos="0"/>
        </w:tabs>
        <w:spacing w:after="0" w:line="360" w:lineRule="auto"/>
        <w:ind w:left="0" w:firstLine="540"/>
        <w:jc w:val="both"/>
        <w:rPr>
          <w:color w:val="000000"/>
          <w:sz w:val="28"/>
          <w:lang w:val="uk-UA"/>
        </w:rPr>
      </w:pPr>
      <w:r w:rsidRPr="00B02BAD">
        <w:rPr>
          <w:color w:val="000000"/>
          <w:sz w:val="28"/>
          <w:szCs w:val="28"/>
          <w:lang w:val="uk-UA"/>
        </w:rPr>
        <w:lastRenderedPageBreak/>
        <w:t xml:space="preserve"> у розділі «Нормативні посилання» додатково наведено бібліографічний опис нормативних документів, що згадуються у </w:t>
      </w:r>
      <w:r w:rsidR="00447D53" w:rsidRPr="00B02BAD">
        <w:rPr>
          <w:color w:val="000000"/>
          <w:sz w:val="28"/>
          <w:szCs w:val="28"/>
          <w:lang w:val="uk-UA"/>
        </w:rPr>
        <w:t>цій</w:t>
      </w:r>
      <w:r w:rsidRPr="00B02BAD">
        <w:rPr>
          <w:color w:val="000000"/>
          <w:sz w:val="28"/>
          <w:szCs w:val="28"/>
          <w:lang w:val="uk-UA"/>
        </w:rPr>
        <w:t xml:space="preserve"> настанові;</w:t>
      </w:r>
    </w:p>
    <w:p w14:paraId="4A5841F1" w14:textId="13E5B6F2" w:rsidR="00B162C4" w:rsidRPr="00E9697A" w:rsidRDefault="00B162C4" w:rsidP="00156779">
      <w:pPr>
        <w:pStyle w:val="21"/>
        <w:numPr>
          <w:ilvl w:val="0"/>
          <w:numId w:val="1"/>
        </w:numPr>
        <w:tabs>
          <w:tab w:val="clear" w:pos="1260"/>
          <w:tab w:val="num" w:pos="0"/>
        </w:tabs>
        <w:spacing w:after="0" w:line="360" w:lineRule="auto"/>
        <w:ind w:left="0" w:firstLine="540"/>
        <w:jc w:val="both"/>
        <w:rPr>
          <w:color w:val="000000"/>
          <w:sz w:val="28"/>
          <w:lang w:val="uk-UA"/>
        </w:rPr>
      </w:pPr>
      <w:r w:rsidRPr="00B02BAD">
        <w:rPr>
          <w:color w:val="000000"/>
          <w:sz w:val="28"/>
          <w:lang w:val="uk-UA"/>
        </w:rPr>
        <w:t xml:space="preserve"> у розділі «Бібліографія» </w:t>
      </w:r>
      <w:r w:rsidRPr="00B02BAD">
        <w:rPr>
          <w:color w:val="000000"/>
          <w:sz w:val="28"/>
          <w:szCs w:val="28"/>
          <w:lang w:val="uk-UA"/>
        </w:rPr>
        <w:t xml:space="preserve">додатково наведено бібліографічний опис </w:t>
      </w:r>
      <w:r w:rsidRPr="00E9697A">
        <w:rPr>
          <w:color w:val="000000"/>
          <w:sz w:val="28"/>
          <w:szCs w:val="28"/>
          <w:lang w:val="uk-UA"/>
        </w:rPr>
        <w:t xml:space="preserve">нормативних документів, посилання на які наведено у </w:t>
      </w:r>
      <w:r w:rsidR="00983ACB" w:rsidRPr="00E9697A">
        <w:rPr>
          <w:color w:val="000000"/>
          <w:sz w:val="28"/>
          <w:szCs w:val="28"/>
          <w:lang w:val="uk-UA"/>
        </w:rPr>
        <w:t>ц</w:t>
      </w:r>
      <w:r w:rsidRPr="00E9697A">
        <w:rPr>
          <w:color w:val="000000"/>
          <w:sz w:val="28"/>
          <w:szCs w:val="28"/>
          <w:lang w:val="uk-UA"/>
        </w:rPr>
        <w:t>ій настанові;</w:t>
      </w:r>
    </w:p>
    <w:p w14:paraId="36E694D7" w14:textId="6BBBCD46" w:rsidR="006308C5" w:rsidRPr="00E9697A" w:rsidRDefault="00B162C4" w:rsidP="00156779">
      <w:pPr>
        <w:pStyle w:val="21"/>
        <w:numPr>
          <w:ilvl w:val="0"/>
          <w:numId w:val="1"/>
        </w:numPr>
        <w:tabs>
          <w:tab w:val="clear" w:pos="1260"/>
          <w:tab w:val="num" w:pos="0"/>
        </w:tabs>
        <w:spacing w:after="0" w:line="360" w:lineRule="auto"/>
        <w:ind w:left="0" w:firstLine="540"/>
        <w:jc w:val="both"/>
        <w:rPr>
          <w:color w:val="000000"/>
          <w:sz w:val="28"/>
          <w:lang w:val="uk-UA"/>
        </w:rPr>
      </w:pPr>
      <w:r w:rsidRPr="00E9697A">
        <w:rPr>
          <w:color w:val="000000"/>
          <w:sz w:val="28"/>
          <w:lang w:val="uk-UA"/>
        </w:rPr>
        <w:t xml:space="preserve"> перелік</w:t>
      </w:r>
      <w:r w:rsidRPr="00E9697A">
        <w:rPr>
          <w:color w:val="000000"/>
          <w:sz w:val="28"/>
          <w:szCs w:val="28"/>
          <w:lang w:val="uk-UA"/>
        </w:rPr>
        <w:t xml:space="preserve"> скорочень, що використовуються у цій настанові,</w:t>
      </w:r>
      <w:r w:rsidRPr="00E9697A">
        <w:rPr>
          <w:color w:val="000000"/>
          <w:sz w:val="28"/>
          <w:lang w:val="uk-UA"/>
        </w:rPr>
        <w:t xml:space="preserve"> наведено в розділі «</w:t>
      </w:r>
      <w:proofErr w:type="spellStart"/>
      <w:r w:rsidR="00023E5C" w:rsidRPr="00CF5DEC">
        <w:rPr>
          <w:sz w:val="28"/>
          <w:szCs w:val="28"/>
        </w:rPr>
        <w:t>Познаки</w:t>
      </w:r>
      <w:proofErr w:type="spellEnd"/>
      <w:r w:rsidR="00023E5C" w:rsidRPr="00CF5DEC">
        <w:rPr>
          <w:sz w:val="28"/>
          <w:szCs w:val="28"/>
        </w:rPr>
        <w:t xml:space="preserve"> та </w:t>
      </w:r>
      <w:proofErr w:type="spellStart"/>
      <w:r w:rsidR="00023E5C" w:rsidRPr="00CF5DEC">
        <w:rPr>
          <w:sz w:val="28"/>
          <w:szCs w:val="28"/>
        </w:rPr>
        <w:t>скорочення</w:t>
      </w:r>
      <w:proofErr w:type="spellEnd"/>
      <w:r w:rsidRPr="00E9697A">
        <w:rPr>
          <w:color w:val="000000"/>
          <w:sz w:val="28"/>
          <w:lang w:val="uk-UA"/>
        </w:rPr>
        <w:t>»;</w:t>
      </w:r>
    </w:p>
    <w:p w14:paraId="46E8D139" w14:textId="77777777" w:rsidR="006308C5" w:rsidRPr="00B02BAD" w:rsidRDefault="006308C5" w:rsidP="00156779">
      <w:pPr>
        <w:pStyle w:val="21"/>
        <w:numPr>
          <w:ilvl w:val="0"/>
          <w:numId w:val="1"/>
        </w:numPr>
        <w:tabs>
          <w:tab w:val="clear" w:pos="1260"/>
          <w:tab w:val="num" w:pos="0"/>
        </w:tabs>
        <w:spacing w:after="0" w:line="360" w:lineRule="auto"/>
        <w:ind w:left="0" w:firstLine="540"/>
        <w:jc w:val="both"/>
        <w:rPr>
          <w:color w:val="000000"/>
          <w:sz w:val="28"/>
          <w:lang w:val="uk-UA"/>
        </w:rPr>
      </w:pPr>
      <w:r w:rsidRPr="00E9697A">
        <w:rPr>
          <w:color w:val="000000"/>
          <w:sz w:val="28"/>
          <w:lang w:val="uk-UA"/>
        </w:rPr>
        <w:t xml:space="preserve"> </w:t>
      </w:r>
      <w:r w:rsidRPr="00E9697A">
        <w:rPr>
          <w:sz w:val="28"/>
          <w:szCs w:val="28"/>
          <w:lang w:val="uk-UA"/>
        </w:rPr>
        <w:t>додатково до посилань на керівництва ICH (</w:t>
      </w:r>
      <w:proofErr w:type="spellStart"/>
      <w:r w:rsidRPr="00E9697A">
        <w:rPr>
          <w:i/>
          <w:iCs/>
          <w:sz w:val="28"/>
          <w:szCs w:val="28"/>
          <w:lang w:val="uk-UA"/>
        </w:rPr>
        <w:t>англ</w:t>
      </w:r>
      <w:proofErr w:type="spellEnd"/>
      <w:r w:rsidRPr="00E9697A">
        <w:rPr>
          <w:i/>
          <w:iCs/>
          <w:sz w:val="28"/>
          <w:szCs w:val="28"/>
          <w:lang w:val="uk-UA"/>
        </w:rPr>
        <w:t>.</w:t>
      </w:r>
      <w:r w:rsidRPr="00E9697A">
        <w:rPr>
          <w:sz w:val="28"/>
          <w:szCs w:val="28"/>
          <w:lang w:val="uk-UA"/>
        </w:rPr>
        <w:t xml:space="preserve"> </w:t>
      </w:r>
      <w:proofErr w:type="spellStart"/>
      <w:r w:rsidRPr="00E9697A">
        <w:rPr>
          <w:sz w:val="28"/>
          <w:szCs w:val="28"/>
          <w:lang w:val="uk-UA"/>
        </w:rPr>
        <w:t>International</w:t>
      </w:r>
      <w:proofErr w:type="spellEnd"/>
      <w:r w:rsidRPr="00E9697A">
        <w:rPr>
          <w:sz w:val="28"/>
          <w:szCs w:val="28"/>
          <w:lang w:val="uk-UA"/>
        </w:rPr>
        <w:t xml:space="preserve"> </w:t>
      </w:r>
      <w:proofErr w:type="spellStart"/>
      <w:r w:rsidRPr="00E9697A">
        <w:rPr>
          <w:sz w:val="28"/>
          <w:szCs w:val="28"/>
          <w:lang w:val="uk-UA"/>
        </w:rPr>
        <w:t>Council</w:t>
      </w:r>
      <w:proofErr w:type="spellEnd"/>
      <w:r w:rsidRPr="00E9697A">
        <w:rPr>
          <w:sz w:val="28"/>
          <w:szCs w:val="28"/>
          <w:lang w:val="uk-UA"/>
        </w:rPr>
        <w:t xml:space="preserve"> </w:t>
      </w:r>
      <w:proofErr w:type="spellStart"/>
      <w:r w:rsidRPr="00E9697A">
        <w:rPr>
          <w:sz w:val="28"/>
          <w:szCs w:val="28"/>
          <w:lang w:val="uk-UA"/>
        </w:rPr>
        <w:t>for</w:t>
      </w:r>
      <w:proofErr w:type="spellEnd"/>
      <w:r w:rsidRPr="00E9697A">
        <w:rPr>
          <w:sz w:val="28"/>
          <w:szCs w:val="28"/>
          <w:lang w:val="uk-UA"/>
        </w:rPr>
        <w:t xml:space="preserve"> </w:t>
      </w:r>
      <w:proofErr w:type="spellStart"/>
      <w:r w:rsidRPr="00E9697A">
        <w:rPr>
          <w:sz w:val="28"/>
          <w:szCs w:val="28"/>
          <w:lang w:val="uk-UA"/>
        </w:rPr>
        <w:t>Harmonisation</w:t>
      </w:r>
      <w:proofErr w:type="spellEnd"/>
      <w:r w:rsidRPr="00E9697A">
        <w:rPr>
          <w:sz w:val="28"/>
          <w:szCs w:val="28"/>
          <w:lang w:val="uk-UA"/>
        </w:rPr>
        <w:t xml:space="preserve"> </w:t>
      </w:r>
      <w:proofErr w:type="spellStart"/>
      <w:r w:rsidRPr="00E9697A">
        <w:rPr>
          <w:sz w:val="28"/>
          <w:szCs w:val="28"/>
          <w:lang w:val="uk-UA"/>
        </w:rPr>
        <w:t>of</w:t>
      </w:r>
      <w:proofErr w:type="spellEnd"/>
      <w:r w:rsidRPr="00E9697A">
        <w:rPr>
          <w:sz w:val="28"/>
          <w:szCs w:val="28"/>
          <w:lang w:val="uk-UA"/>
        </w:rPr>
        <w:t xml:space="preserve"> </w:t>
      </w:r>
      <w:proofErr w:type="spellStart"/>
      <w:r w:rsidRPr="00E9697A">
        <w:rPr>
          <w:sz w:val="28"/>
          <w:szCs w:val="28"/>
          <w:lang w:val="uk-UA"/>
        </w:rPr>
        <w:t>Technical</w:t>
      </w:r>
      <w:proofErr w:type="spellEnd"/>
      <w:r w:rsidRPr="00E9697A">
        <w:rPr>
          <w:sz w:val="28"/>
          <w:szCs w:val="28"/>
          <w:lang w:val="uk-UA"/>
        </w:rPr>
        <w:t xml:space="preserve"> </w:t>
      </w:r>
      <w:proofErr w:type="spellStart"/>
      <w:r w:rsidRPr="00E9697A">
        <w:rPr>
          <w:sz w:val="28"/>
          <w:szCs w:val="28"/>
          <w:lang w:val="uk-UA"/>
        </w:rPr>
        <w:t>Requirements</w:t>
      </w:r>
      <w:proofErr w:type="spellEnd"/>
      <w:r w:rsidRPr="00E9697A">
        <w:rPr>
          <w:sz w:val="28"/>
          <w:szCs w:val="28"/>
          <w:lang w:val="uk-UA"/>
        </w:rPr>
        <w:t xml:space="preserve"> </w:t>
      </w:r>
      <w:proofErr w:type="spellStart"/>
      <w:r w:rsidRPr="00E9697A">
        <w:rPr>
          <w:sz w:val="28"/>
          <w:szCs w:val="28"/>
          <w:lang w:val="uk-UA"/>
        </w:rPr>
        <w:t>for</w:t>
      </w:r>
      <w:proofErr w:type="spellEnd"/>
      <w:r w:rsidRPr="00E9697A">
        <w:rPr>
          <w:sz w:val="28"/>
          <w:szCs w:val="28"/>
          <w:lang w:val="uk-UA"/>
        </w:rPr>
        <w:t xml:space="preserve"> </w:t>
      </w:r>
      <w:proofErr w:type="spellStart"/>
      <w:r w:rsidRPr="00E9697A">
        <w:rPr>
          <w:sz w:val="28"/>
          <w:szCs w:val="28"/>
          <w:lang w:val="uk-UA"/>
        </w:rPr>
        <w:t>Pharmaceuticals</w:t>
      </w:r>
      <w:proofErr w:type="spellEnd"/>
      <w:r w:rsidRPr="00E9697A">
        <w:rPr>
          <w:sz w:val="28"/>
          <w:szCs w:val="28"/>
          <w:lang w:val="uk-UA"/>
        </w:rPr>
        <w:t xml:space="preserve"> </w:t>
      </w:r>
      <w:proofErr w:type="spellStart"/>
      <w:r w:rsidRPr="00E9697A">
        <w:rPr>
          <w:sz w:val="28"/>
          <w:szCs w:val="28"/>
          <w:lang w:val="uk-UA"/>
        </w:rPr>
        <w:t>for</w:t>
      </w:r>
      <w:proofErr w:type="spellEnd"/>
      <w:r w:rsidRPr="00E9697A">
        <w:rPr>
          <w:sz w:val="28"/>
          <w:szCs w:val="28"/>
          <w:lang w:val="uk-UA"/>
        </w:rPr>
        <w:t xml:space="preserve"> </w:t>
      </w:r>
      <w:proofErr w:type="spellStart"/>
      <w:r w:rsidRPr="00E9697A">
        <w:rPr>
          <w:sz w:val="28"/>
          <w:szCs w:val="28"/>
          <w:lang w:val="uk-UA"/>
        </w:rPr>
        <w:t>Human</w:t>
      </w:r>
      <w:proofErr w:type="spellEnd"/>
      <w:r w:rsidRPr="00E9697A">
        <w:rPr>
          <w:sz w:val="28"/>
          <w:szCs w:val="28"/>
          <w:lang w:val="uk-UA"/>
        </w:rPr>
        <w:t xml:space="preserve"> </w:t>
      </w:r>
      <w:proofErr w:type="spellStart"/>
      <w:r w:rsidRPr="00E9697A">
        <w:rPr>
          <w:sz w:val="28"/>
          <w:szCs w:val="28"/>
          <w:lang w:val="uk-UA"/>
        </w:rPr>
        <w:t>Use</w:t>
      </w:r>
      <w:proofErr w:type="spellEnd"/>
      <w:r w:rsidRPr="00E9697A">
        <w:rPr>
          <w:sz w:val="28"/>
          <w:szCs w:val="28"/>
          <w:lang w:val="uk-UA"/>
        </w:rPr>
        <w:t xml:space="preserve"> — Міжнародна рада з гармонізації технічних вимог до фармацевтичних препаратів для використання людиною) та EMA (</w:t>
      </w:r>
      <w:proofErr w:type="spellStart"/>
      <w:r w:rsidRPr="00E9697A">
        <w:rPr>
          <w:i/>
          <w:iCs/>
          <w:sz w:val="28"/>
          <w:szCs w:val="28"/>
          <w:lang w:val="uk-UA"/>
        </w:rPr>
        <w:t>англ</w:t>
      </w:r>
      <w:proofErr w:type="spellEnd"/>
      <w:r w:rsidRPr="00E9697A">
        <w:rPr>
          <w:i/>
          <w:iCs/>
          <w:sz w:val="28"/>
          <w:szCs w:val="28"/>
          <w:lang w:val="uk-UA"/>
        </w:rPr>
        <w:t>.</w:t>
      </w:r>
      <w:r w:rsidRPr="00E9697A">
        <w:rPr>
          <w:sz w:val="28"/>
          <w:szCs w:val="28"/>
          <w:lang w:val="uk-UA"/>
        </w:rPr>
        <w:t xml:space="preserve"> </w:t>
      </w:r>
      <w:proofErr w:type="spellStart"/>
      <w:r w:rsidRPr="00E9697A">
        <w:rPr>
          <w:sz w:val="28"/>
          <w:szCs w:val="28"/>
          <w:lang w:val="uk-UA"/>
        </w:rPr>
        <w:t>European</w:t>
      </w:r>
      <w:proofErr w:type="spellEnd"/>
      <w:r w:rsidRPr="00E9697A">
        <w:rPr>
          <w:sz w:val="28"/>
          <w:szCs w:val="28"/>
          <w:lang w:val="uk-UA"/>
        </w:rPr>
        <w:t xml:space="preserve"> </w:t>
      </w:r>
      <w:proofErr w:type="spellStart"/>
      <w:r w:rsidRPr="00E9697A">
        <w:rPr>
          <w:sz w:val="28"/>
          <w:szCs w:val="28"/>
          <w:lang w:val="uk-UA"/>
        </w:rPr>
        <w:t>Medicines</w:t>
      </w:r>
      <w:proofErr w:type="spellEnd"/>
      <w:r w:rsidRPr="00E9697A">
        <w:rPr>
          <w:sz w:val="28"/>
          <w:szCs w:val="28"/>
          <w:lang w:val="uk-UA"/>
        </w:rPr>
        <w:t xml:space="preserve"> </w:t>
      </w:r>
      <w:proofErr w:type="spellStart"/>
      <w:r w:rsidRPr="00E9697A">
        <w:rPr>
          <w:sz w:val="28"/>
          <w:szCs w:val="28"/>
          <w:lang w:val="uk-UA"/>
        </w:rPr>
        <w:t>Agency</w:t>
      </w:r>
      <w:proofErr w:type="spellEnd"/>
      <w:r w:rsidRPr="00E9697A">
        <w:rPr>
          <w:sz w:val="28"/>
          <w:szCs w:val="28"/>
          <w:lang w:val="uk-UA"/>
        </w:rPr>
        <w:t xml:space="preserve"> —</w:t>
      </w:r>
      <w:r w:rsidRPr="00B02BAD">
        <w:rPr>
          <w:sz w:val="28"/>
          <w:szCs w:val="28"/>
          <w:lang w:val="uk-UA"/>
        </w:rPr>
        <w:t xml:space="preserve"> Європейське агентство з ліків) зроблено посилання на відповідні гармонізовані документи, затверджені в Україні.</w:t>
      </w:r>
    </w:p>
    <w:p w14:paraId="6CAF5EBB" w14:textId="77777777" w:rsidR="00B162C4" w:rsidRPr="00B02BAD" w:rsidRDefault="00B162C4" w:rsidP="006308C5">
      <w:pPr>
        <w:pStyle w:val="21"/>
        <w:spacing w:after="0" w:line="360" w:lineRule="auto"/>
        <w:ind w:left="0" w:firstLine="720"/>
        <w:jc w:val="both"/>
        <w:rPr>
          <w:color w:val="000000"/>
          <w:sz w:val="28"/>
          <w:lang w:val="uk-UA"/>
        </w:rPr>
      </w:pPr>
      <w:r w:rsidRPr="00B02BAD">
        <w:rPr>
          <w:color w:val="000000"/>
          <w:sz w:val="28"/>
          <w:lang w:val="uk-UA"/>
        </w:rPr>
        <w:t xml:space="preserve">Ця настанова застосовується як методичні рекомендації для проведення клінічних досліджень щодо клінічної оцінки вакцин. </w:t>
      </w:r>
    </w:p>
    <w:p w14:paraId="1ED222C6" w14:textId="2B3A77A3" w:rsidR="00B162C4" w:rsidRPr="00B02BAD" w:rsidRDefault="00B162C4" w:rsidP="000A527A">
      <w:pPr>
        <w:pStyle w:val="a5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97A">
        <w:rPr>
          <w:rFonts w:ascii="Times New Roman" w:hAnsi="Times New Roman" w:cs="Times New Roman"/>
          <w:color w:val="000000"/>
          <w:sz w:val="28"/>
          <w:szCs w:val="28"/>
        </w:rPr>
        <w:t>Юридична сила настанови відповідає юридичній с</w:t>
      </w:r>
      <w:r w:rsidR="00536DD1" w:rsidRPr="00E9697A">
        <w:rPr>
          <w:rFonts w:ascii="Times New Roman" w:hAnsi="Times New Roman" w:cs="Times New Roman"/>
          <w:color w:val="000000"/>
          <w:sz w:val="28"/>
          <w:szCs w:val="28"/>
        </w:rPr>
        <w:t>илі відповідного</w:t>
      </w:r>
      <w:r w:rsidRPr="00E9697A">
        <w:rPr>
          <w:rFonts w:ascii="Times New Roman" w:hAnsi="Times New Roman" w:cs="Times New Roman"/>
          <w:color w:val="000000"/>
          <w:sz w:val="28"/>
          <w:szCs w:val="28"/>
        </w:rPr>
        <w:t xml:space="preserve"> керівництв</w:t>
      </w:r>
      <w:r w:rsidR="00536DD1" w:rsidRPr="00E9697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96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6DD1" w:rsidRPr="00E9697A">
        <w:rPr>
          <w:rFonts w:ascii="Times New Roman" w:hAnsi="Times New Roman" w:cs="Times New Roman"/>
          <w:color w:val="000000"/>
          <w:sz w:val="28"/>
          <w:szCs w:val="28"/>
        </w:rPr>
        <w:t>ЕМА</w:t>
      </w:r>
      <w:r w:rsidRPr="00E9697A">
        <w:rPr>
          <w:rFonts w:ascii="Times New Roman" w:hAnsi="Times New Roman" w:cs="Times New Roman"/>
          <w:color w:val="000000"/>
          <w:sz w:val="28"/>
          <w:szCs w:val="28"/>
        </w:rPr>
        <w:t xml:space="preserve">, з яким гармонізовано </w:t>
      </w:r>
      <w:r w:rsidR="007B6E6B" w:rsidRPr="00E9697A">
        <w:rPr>
          <w:rFonts w:ascii="Times New Roman" w:hAnsi="Times New Roman" w:cs="Times New Roman"/>
          <w:color w:val="000000"/>
          <w:sz w:val="28"/>
          <w:szCs w:val="28"/>
        </w:rPr>
        <w:t>цю</w:t>
      </w:r>
      <w:r w:rsidRPr="00E9697A">
        <w:rPr>
          <w:rFonts w:ascii="Times New Roman" w:hAnsi="Times New Roman" w:cs="Times New Roman"/>
          <w:color w:val="000000"/>
          <w:sz w:val="28"/>
          <w:szCs w:val="28"/>
        </w:rPr>
        <w:t xml:space="preserve"> настанову. </w:t>
      </w:r>
      <w:r w:rsidR="007B6E6B" w:rsidRPr="00E9697A">
        <w:rPr>
          <w:rFonts w:ascii="Times New Roman" w:hAnsi="Times New Roman" w:cs="Times New Roman"/>
          <w:color w:val="000000"/>
          <w:sz w:val="28"/>
          <w:szCs w:val="28"/>
        </w:rPr>
        <w:t>Її</w:t>
      </w:r>
      <w:r w:rsidRPr="00E96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6E6B" w:rsidRPr="00E9697A">
        <w:rPr>
          <w:rFonts w:ascii="Times New Roman" w:hAnsi="Times New Roman" w:cs="Times New Roman"/>
          <w:color w:val="000000"/>
          <w:sz w:val="28"/>
          <w:szCs w:val="28"/>
        </w:rPr>
        <w:t>слід</w:t>
      </w:r>
      <w:r w:rsidRPr="00E9697A">
        <w:rPr>
          <w:rFonts w:ascii="Times New Roman" w:hAnsi="Times New Roman" w:cs="Times New Roman"/>
          <w:color w:val="000000"/>
          <w:sz w:val="28"/>
          <w:szCs w:val="28"/>
        </w:rPr>
        <w:t xml:space="preserve"> розглядати як технічний документ для надання консультацій заявникам </w:t>
      </w:r>
      <w:r w:rsidR="007B6E6B" w:rsidRPr="00E9697A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E9697A">
        <w:rPr>
          <w:rFonts w:ascii="Times New Roman" w:hAnsi="Times New Roman" w:cs="Times New Roman"/>
          <w:color w:val="000000"/>
          <w:sz w:val="28"/>
          <w:szCs w:val="28"/>
        </w:rPr>
        <w:t xml:space="preserve"> власникам реєстраційних посвідчень, компетентним уповноваженим органам та іншим зацікавленим особам щодо найкращого </w:t>
      </w:r>
      <w:r w:rsidR="007B6E6B" w:rsidRPr="00E9697A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E9697A">
        <w:rPr>
          <w:rFonts w:ascii="Times New Roman" w:hAnsi="Times New Roman" w:cs="Times New Roman"/>
          <w:color w:val="000000"/>
          <w:sz w:val="28"/>
          <w:szCs w:val="28"/>
        </w:rPr>
        <w:t xml:space="preserve"> найбільш прийнятного способу</w:t>
      </w:r>
      <w:r w:rsidRPr="00B02BAD">
        <w:rPr>
          <w:rFonts w:ascii="Times New Roman" w:hAnsi="Times New Roman" w:cs="Times New Roman"/>
          <w:color w:val="000000"/>
          <w:sz w:val="28"/>
          <w:szCs w:val="28"/>
        </w:rPr>
        <w:t xml:space="preserve"> дотримання положень, встановлених законодавством України. </w:t>
      </w:r>
      <w:r w:rsidRPr="00B02BAD">
        <w:rPr>
          <w:rFonts w:ascii="Times New Roman" w:hAnsi="Times New Roman" w:cs="Times New Roman"/>
          <w:color w:val="000000"/>
          <w:sz w:val="28"/>
        </w:rPr>
        <w:t>Положення цієї настанови відображують гармонізований (у рамках ЄС та ІСН) підхід, вони базуються на останніх наукових досягненнях у цій галузі знань.</w:t>
      </w:r>
    </w:p>
    <w:p w14:paraId="7E8CBCB3" w14:textId="01A52A75" w:rsidR="00B162C4" w:rsidRPr="00B02BAD" w:rsidRDefault="00B162C4" w:rsidP="000A527A">
      <w:pPr>
        <w:pStyle w:val="Default"/>
        <w:spacing w:line="360" w:lineRule="auto"/>
        <w:ind w:firstLine="708"/>
        <w:jc w:val="both"/>
        <w:rPr>
          <w:rStyle w:val="hps"/>
          <w:sz w:val="28"/>
          <w:szCs w:val="28"/>
          <w:lang w:val="uk-UA"/>
        </w:rPr>
      </w:pPr>
      <w:r w:rsidRPr="00B02BAD">
        <w:rPr>
          <w:sz w:val="28"/>
          <w:szCs w:val="28"/>
          <w:lang w:val="uk-UA"/>
        </w:rPr>
        <w:t xml:space="preserve">У рамках чинного законодавства ця настанова носить рекомендаційний характер. Дотримання її положень зацікавленими сторонами (такими як заявники, власники реєстраційних посвідчень, розробники </w:t>
      </w:r>
      <w:r w:rsidR="00E9316F" w:rsidRPr="00E9697A">
        <w:rPr>
          <w:sz w:val="28"/>
          <w:szCs w:val="28"/>
          <w:lang w:val="uk-UA"/>
        </w:rPr>
        <w:t>і</w:t>
      </w:r>
      <w:r w:rsidRPr="00B02BAD">
        <w:rPr>
          <w:sz w:val="28"/>
          <w:szCs w:val="28"/>
          <w:lang w:val="uk-UA"/>
        </w:rPr>
        <w:t xml:space="preserve"> виробники лікарських засобів, експертні та регуляторні органи) підвищить безпеку </w:t>
      </w:r>
      <w:r w:rsidRPr="00B02BAD">
        <w:rPr>
          <w:rStyle w:val="hps"/>
          <w:sz w:val="28"/>
          <w:szCs w:val="28"/>
          <w:lang w:val="uk-UA"/>
        </w:rPr>
        <w:t xml:space="preserve">проведення клінічних випробувань, сприятиме вдосконаленню принципів етики </w:t>
      </w:r>
      <w:r w:rsidR="00E9316F" w:rsidRPr="00E9697A">
        <w:rPr>
          <w:rStyle w:val="hps"/>
          <w:sz w:val="28"/>
          <w:szCs w:val="28"/>
          <w:lang w:val="uk-UA"/>
        </w:rPr>
        <w:t>і</w:t>
      </w:r>
      <w:r w:rsidRPr="00B02BAD">
        <w:rPr>
          <w:rStyle w:val="hps"/>
          <w:sz w:val="28"/>
          <w:szCs w:val="28"/>
          <w:lang w:val="uk-UA"/>
        </w:rPr>
        <w:t xml:space="preserve"> зменшенню використання лабораторних тв</w:t>
      </w:r>
      <w:r w:rsidR="00BE13DD" w:rsidRPr="00B02BAD">
        <w:rPr>
          <w:rStyle w:val="hps"/>
          <w:sz w:val="28"/>
          <w:szCs w:val="28"/>
          <w:lang w:val="uk-UA"/>
        </w:rPr>
        <w:t>арин, прискоренню впровадження у</w:t>
      </w:r>
      <w:r w:rsidRPr="00B02BAD">
        <w:rPr>
          <w:rStyle w:val="hps"/>
          <w:sz w:val="28"/>
          <w:szCs w:val="28"/>
          <w:lang w:val="uk-UA"/>
        </w:rPr>
        <w:t xml:space="preserve"> медичну практику нових лікарських засобів. Однак можуть бути застосовані альтернативні підходи за умови їх відповідного наукового обґрунтування.</w:t>
      </w:r>
    </w:p>
    <w:p w14:paraId="783016C2" w14:textId="77777777" w:rsidR="00B162C4" w:rsidRPr="00B02BAD" w:rsidRDefault="00B162C4" w:rsidP="00B162C4">
      <w:pPr>
        <w:pStyle w:val="Default"/>
        <w:spacing w:line="360" w:lineRule="auto"/>
        <w:ind w:firstLine="708"/>
        <w:jc w:val="both"/>
        <w:rPr>
          <w:rStyle w:val="hps"/>
          <w:color w:val="auto"/>
          <w:sz w:val="28"/>
          <w:szCs w:val="28"/>
          <w:lang w:val="uk-UA"/>
        </w:rPr>
      </w:pPr>
      <w:r w:rsidRPr="00B02BAD">
        <w:rPr>
          <w:noProof/>
          <w:color w:val="auto"/>
          <w:sz w:val="28"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1CBAC" wp14:editId="687F2D32">
                <wp:simplePos x="0" y="0"/>
                <wp:positionH relativeFrom="column">
                  <wp:posOffset>5507990</wp:posOffset>
                </wp:positionH>
                <wp:positionV relativeFrom="paragraph">
                  <wp:posOffset>9083675</wp:posOffset>
                </wp:positionV>
                <wp:extent cx="571500" cy="371475"/>
                <wp:effectExtent l="6350" t="12065" r="12700" b="69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81A95" w14:textId="498B80BF" w:rsidR="00F7692A" w:rsidRPr="006A7ECF" w:rsidRDefault="00F7692A" w:rsidP="00B162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1CBAC" id="Прямоугольник 1" o:spid="_x0000_s1027" style="position:absolute;left:0;text-align:left;margin-left:433.7pt;margin-top:715.25pt;width:4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" strokecolor="white">
                <v:textbox>
                  <w:txbxContent>
                    <w:p w14:paraId="56D81A95" w14:textId="498B80BF" w:rsidR="00F7692A" w:rsidRPr="006A7ECF" w:rsidRDefault="00F7692A" w:rsidP="00B162C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02BAD">
        <w:rPr>
          <w:rStyle w:val="hps"/>
          <w:color w:val="auto"/>
          <w:sz w:val="28"/>
          <w:szCs w:val="28"/>
          <w:lang w:val="uk-UA"/>
        </w:rPr>
        <w:t xml:space="preserve">Такий підхід до правового статусу більшості наукових настанов викладено у документі Європейського агентства з ліків (EMA) [24]. Вказаний підхід відповідає позиції </w:t>
      </w:r>
      <w:r w:rsidR="00631379" w:rsidRPr="00B02BAD">
        <w:rPr>
          <w:rStyle w:val="hps"/>
          <w:color w:val="auto"/>
          <w:sz w:val="28"/>
          <w:szCs w:val="28"/>
          <w:lang w:val="uk-UA"/>
        </w:rPr>
        <w:t>Світової організації торгівлі щодо</w:t>
      </w:r>
      <w:r w:rsidRPr="00B02BAD">
        <w:rPr>
          <w:rStyle w:val="hps"/>
          <w:color w:val="auto"/>
          <w:sz w:val="28"/>
          <w:szCs w:val="28"/>
          <w:lang w:val="uk-UA"/>
        </w:rPr>
        <w:t xml:space="preserve"> застосування стандартів.</w:t>
      </w:r>
    </w:p>
    <w:p w14:paraId="01A1A360" w14:textId="77777777" w:rsidR="00B162C4" w:rsidRPr="00B02BAD" w:rsidRDefault="00B162C4" w:rsidP="00B162C4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  <w:sectPr w:rsidR="00B162C4" w:rsidRPr="00B02BAD" w:rsidSect="0073268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568" w:right="851" w:bottom="851" w:left="1418" w:header="567" w:footer="567" w:gutter="0"/>
          <w:pgNumType w:fmt="upperRoman" w:start="1"/>
          <w:cols w:space="708"/>
          <w:titlePg/>
          <w:docGrid w:linePitch="360"/>
        </w:sectPr>
      </w:pPr>
    </w:p>
    <w:p w14:paraId="31053C7E" w14:textId="77777777" w:rsidR="00B162C4" w:rsidRPr="00B02BAD" w:rsidRDefault="00B162C4" w:rsidP="00B162C4">
      <w:pPr>
        <w:spacing w:after="390"/>
        <w:ind w:right="13"/>
        <w:jc w:val="center"/>
        <w:rPr>
          <w:rFonts w:ascii="Times New Roman" w:hAnsi="Times New Roman" w:cs="Times New Roman"/>
        </w:rPr>
      </w:pPr>
      <w:r w:rsidRPr="00B02BAD">
        <w:rPr>
          <w:rFonts w:ascii="Times New Roman" w:eastAsia="Times New Roman" w:hAnsi="Times New Roman" w:cs="Times New Roman"/>
          <w:b/>
          <w:sz w:val="32"/>
        </w:rPr>
        <w:lastRenderedPageBreak/>
        <w:t xml:space="preserve">НАСТАНОВА </w:t>
      </w:r>
    </w:p>
    <w:p w14:paraId="30EE8478" w14:textId="77777777" w:rsidR="00B162C4" w:rsidRPr="00B02BAD" w:rsidRDefault="00B162C4" w:rsidP="00B162C4">
      <w:pPr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02BAD">
        <w:rPr>
          <w:rFonts w:ascii="Times New Roman" w:eastAsia="Times New Roman" w:hAnsi="Times New Roman" w:cs="Times New Roman"/>
          <w:b/>
          <w:sz w:val="32"/>
          <w:szCs w:val="32"/>
        </w:rPr>
        <w:t>ЛІКАРСЬКІ ЗАСОБИ</w:t>
      </w:r>
    </w:p>
    <w:p w14:paraId="495CB4A4" w14:textId="77777777" w:rsidR="00B162C4" w:rsidRPr="00B02BAD" w:rsidRDefault="000675DA" w:rsidP="00B162C4">
      <w:pPr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02BAD">
        <w:rPr>
          <w:rFonts w:ascii="Times New Roman" w:eastAsia="Times New Roman" w:hAnsi="Times New Roman" w:cs="Times New Roman"/>
          <w:b/>
          <w:sz w:val="32"/>
          <w:szCs w:val="32"/>
        </w:rPr>
        <w:t>К</w:t>
      </w:r>
      <w:r w:rsidR="00B162C4" w:rsidRPr="00B02BAD">
        <w:rPr>
          <w:rFonts w:ascii="Times New Roman" w:eastAsia="Times New Roman" w:hAnsi="Times New Roman" w:cs="Times New Roman"/>
          <w:b/>
          <w:sz w:val="32"/>
          <w:szCs w:val="32"/>
        </w:rPr>
        <w:t>лінічн</w:t>
      </w:r>
      <w:r w:rsidRPr="00B02BAD">
        <w:rPr>
          <w:rFonts w:ascii="Times New Roman" w:eastAsia="Times New Roman" w:hAnsi="Times New Roman" w:cs="Times New Roman"/>
          <w:b/>
          <w:sz w:val="32"/>
          <w:szCs w:val="32"/>
        </w:rPr>
        <w:t>а</w:t>
      </w:r>
      <w:r w:rsidR="00B162C4" w:rsidRPr="00B02BAD">
        <w:rPr>
          <w:rFonts w:ascii="Times New Roman" w:eastAsia="Times New Roman" w:hAnsi="Times New Roman" w:cs="Times New Roman"/>
          <w:b/>
          <w:sz w:val="32"/>
          <w:szCs w:val="32"/>
        </w:rPr>
        <w:t xml:space="preserve"> оцінк</w:t>
      </w:r>
      <w:r w:rsidRPr="00B02BAD">
        <w:rPr>
          <w:rFonts w:ascii="Times New Roman" w:eastAsia="Times New Roman" w:hAnsi="Times New Roman" w:cs="Times New Roman"/>
          <w:b/>
          <w:sz w:val="32"/>
          <w:szCs w:val="32"/>
        </w:rPr>
        <w:t>а</w:t>
      </w:r>
      <w:r w:rsidR="00B162C4" w:rsidRPr="00B02BAD">
        <w:rPr>
          <w:rFonts w:ascii="Times New Roman" w:eastAsia="Times New Roman" w:hAnsi="Times New Roman" w:cs="Times New Roman"/>
          <w:b/>
          <w:sz w:val="32"/>
          <w:szCs w:val="32"/>
        </w:rPr>
        <w:t xml:space="preserve"> вакцин</w:t>
      </w:r>
    </w:p>
    <w:p w14:paraId="048ACCE3" w14:textId="77777777" w:rsidR="00B162C4" w:rsidRPr="00B02BAD" w:rsidRDefault="00B162C4" w:rsidP="00B162C4">
      <w:pPr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BE2DF67" w14:textId="77777777" w:rsidR="00B162C4" w:rsidRPr="00B02BAD" w:rsidRDefault="00B162C4" w:rsidP="00B162C4">
      <w:pPr>
        <w:spacing w:after="42"/>
        <w:ind w:left="7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2BAD">
        <w:rPr>
          <w:rFonts w:ascii="Times New Roman" w:hAnsi="Times New Roman" w:cs="Times New Roman"/>
          <w:b/>
          <w:sz w:val="32"/>
          <w:szCs w:val="32"/>
        </w:rPr>
        <w:t>MEDICINAL PRODUCTS</w:t>
      </w:r>
    </w:p>
    <w:p w14:paraId="29A16270" w14:textId="77777777" w:rsidR="00B162C4" w:rsidRPr="00B02BAD" w:rsidRDefault="000675DA" w:rsidP="00B162C4">
      <w:pPr>
        <w:spacing w:after="42"/>
        <w:ind w:left="71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02BAD">
        <w:rPr>
          <w:rFonts w:ascii="Times New Roman" w:hAnsi="Times New Roman" w:cs="Times New Roman"/>
          <w:b/>
          <w:sz w:val="32"/>
          <w:szCs w:val="32"/>
        </w:rPr>
        <w:t>C</w:t>
      </w:r>
      <w:r w:rsidR="00B162C4" w:rsidRPr="00B02BAD">
        <w:rPr>
          <w:rFonts w:ascii="Times New Roman" w:hAnsi="Times New Roman" w:cs="Times New Roman"/>
          <w:b/>
          <w:sz w:val="32"/>
          <w:szCs w:val="32"/>
        </w:rPr>
        <w:t>linical</w:t>
      </w:r>
      <w:proofErr w:type="spellEnd"/>
      <w:r w:rsidR="00B162C4" w:rsidRPr="00B02BA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162C4" w:rsidRPr="00B02BAD">
        <w:rPr>
          <w:rFonts w:ascii="Times New Roman" w:hAnsi="Times New Roman" w:cs="Times New Roman"/>
          <w:b/>
          <w:sz w:val="32"/>
          <w:szCs w:val="32"/>
        </w:rPr>
        <w:t>evaluation</w:t>
      </w:r>
      <w:proofErr w:type="spellEnd"/>
      <w:r w:rsidR="00B162C4" w:rsidRPr="00B02BA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162C4" w:rsidRPr="00B02BAD">
        <w:rPr>
          <w:rFonts w:ascii="Times New Roman" w:hAnsi="Times New Roman" w:cs="Times New Roman"/>
          <w:b/>
          <w:sz w:val="32"/>
          <w:szCs w:val="32"/>
        </w:rPr>
        <w:t>of</w:t>
      </w:r>
      <w:proofErr w:type="spellEnd"/>
      <w:r w:rsidR="00B162C4" w:rsidRPr="00B02BA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162C4" w:rsidRPr="00B02BAD">
        <w:rPr>
          <w:rFonts w:ascii="Times New Roman" w:hAnsi="Times New Roman" w:cs="Times New Roman"/>
          <w:b/>
          <w:sz w:val="32"/>
          <w:szCs w:val="32"/>
        </w:rPr>
        <w:t>vaccines</w:t>
      </w:r>
      <w:proofErr w:type="spellEnd"/>
    </w:p>
    <w:p w14:paraId="2F4A2B5F" w14:textId="77777777" w:rsidR="00896EAB" w:rsidRPr="00B02BAD" w:rsidRDefault="00896EAB" w:rsidP="00B162C4">
      <w:pPr>
        <w:spacing w:after="42"/>
        <w:ind w:left="71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14:paraId="4B6E9654" w14:textId="77777777" w:rsidR="00B162C4" w:rsidRPr="00B02BAD" w:rsidRDefault="00B162C4" w:rsidP="00B162C4">
      <w:pPr>
        <w:spacing w:after="109"/>
        <w:ind w:left="-334" w:right="-102"/>
        <w:rPr>
          <w:rFonts w:ascii="Times New Roman" w:hAnsi="Times New Roman" w:cs="Times New Roman"/>
        </w:rPr>
      </w:pPr>
      <w:r w:rsidRPr="00B02BAD">
        <w:rPr>
          <w:rFonts w:ascii="Times New Roman" w:eastAsia="Calibri" w:hAnsi="Times New Roman" w:cs="Times New Roman"/>
          <w:noProof/>
          <w:lang w:val="en-US"/>
        </w:rPr>
        <mc:AlternateContent>
          <mc:Choice Requires="wpg">
            <w:drawing>
              <wp:inline distT="0" distB="0" distL="0" distR="0" wp14:anchorId="71F5BB58" wp14:editId="7B210A30">
                <wp:extent cx="6400800" cy="9525"/>
                <wp:effectExtent l="0" t="0" r="0" b="0"/>
                <wp:docPr id="21479" name="Group 21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9525"/>
                          <a:chOff x="0" y="0"/>
                          <a:chExt cx="6400800" cy="9525"/>
                        </a:xfrm>
                      </wpg:grpSpPr>
                      <wps:wsp>
                        <wps:cNvPr id="1038" name="Shape 1038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115032E" id="Group 21479" o:spid="_x0000_s1026" style="width:7in;height:.75pt;mso-position-horizontal-relative:char;mso-position-vertical-relative:line" coordsize="6400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">
                <v:shape id="Shape 1038" o:spid="_x0000_s1027" style="position:absolute;width:64008;height:0;visibility:visible;mso-wrap-style:square;v-text-anchor:top" coordsize="6400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" path="m,l6400800,e" filled="f">
                  <v:stroke endcap="round"/>
                  <v:path arrowok="t" textboxrect="0,0,6400800,0"/>
                </v:shape>
                <w10:anchorlock/>
              </v:group>
            </w:pict>
          </mc:Fallback>
        </mc:AlternateContent>
      </w:r>
    </w:p>
    <w:p w14:paraId="6C8A04E8" w14:textId="311AFC43" w:rsidR="00B162C4" w:rsidRPr="003E4D44" w:rsidRDefault="00B162C4" w:rsidP="00B162C4">
      <w:pPr>
        <w:spacing w:after="377"/>
        <w:ind w:right="49"/>
        <w:jc w:val="right"/>
        <w:rPr>
          <w:rFonts w:ascii="Times New Roman" w:hAnsi="Times New Roman" w:cs="Times New Roman"/>
          <w:sz w:val="28"/>
          <w:szCs w:val="28"/>
        </w:rPr>
      </w:pPr>
      <w:r w:rsidRPr="0073268D">
        <w:rPr>
          <w:rFonts w:ascii="Times New Roman" w:hAnsi="Times New Roman" w:cs="Times New Roman"/>
          <w:sz w:val="28"/>
          <w:szCs w:val="28"/>
        </w:rPr>
        <w:t>Чинна від</w:t>
      </w:r>
      <w:r w:rsidRPr="0073268D">
        <w:rPr>
          <w:rFonts w:ascii="Times New Roman" w:hAnsi="Times New Roman" w:cs="Times New Roman"/>
          <w:sz w:val="24"/>
          <w:szCs w:val="24"/>
        </w:rPr>
        <w:t xml:space="preserve"> </w:t>
      </w:r>
      <w:r w:rsidR="003E4D44" w:rsidRPr="003E4D44">
        <w:rPr>
          <w:rFonts w:ascii="Times New Roman" w:hAnsi="Times New Roman" w:cs="Times New Roman"/>
          <w:sz w:val="28"/>
          <w:szCs w:val="28"/>
        </w:rPr>
        <w:t xml:space="preserve">08 серпня 2024 року </w:t>
      </w:r>
    </w:p>
    <w:p w14:paraId="05EB23CF" w14:textId="77777777" w:rsidR="00B162C4" w:rsidRPr="00B02BAD" w:rsidRDefault="00B162C4" w:rsidP="00AD4D6F">
      <w:pPr>
        <w:pStyle w:val="1"/>
      </w:pPr>
      <w:r w:rsidRPr="00B02BAD">
        <w:t>СФЕРА ЗАСТОСУВАННЯ</w:t>
      </w:r>
    </w:p>
    <w:p w14:paraId="28C9627D" w14:textId="77777777" w:rsidR="00B162C4" w:rsidRPr="00B02BAD" w:rsidRDefault="00B162C4" w:rsidP="00B162C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BAD">
        <w:rPr>
          <w:rFonts w:ascii="Times New Roman" w:hAnsi="Times New Roman" w:cs="Times New Roman"/>
          <w:color w:val="000000"/>
          <w:sz w:val="28"/>
          <w:szCs w:val="28"/>
        </w:rPr>
        <w:t>Ця настанова визначає загальні принципи клінічних досліджень вакцин з метою їх подальшої державної реєстрації.</w:t>
      </w:r>
    </w:p>
    <w:p w14:paraId="50D42848" w14:textId="35CBBF9C" w:rsidR="00B162C4" w:rsidRPr="00B02BAD" w:rsidRDefault="005E3A50" w:rsidP="00B162C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97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B162C4" w:rsidRPr="00B02BAD">
        <w:rPr>
          <w:rFonts w:ascii="Times New Roman" w:hAnsi="Times New Roman" w:cs="Times New Roman"/>
          <w:color w:val="000000"/>
          <w:sz w:val="28"/>
          <w:szCs w:val="28"/>
        </w:rPr>
        <w:t>астанова застосовується до вакцин, що розробляються (створюються), реєструються і виробляються в Україні для медичного застосування в Україні та з метою експорту або імпортуються в Україну.</w:t>
      </w:r>
    </w:p>
    <w:p w14:paraId="761A27F2" w14:textId="7FED52C3" w:rsidR="00B162C4" w:rsidRPr="00B02BAD" w:rsidRDefault="005E3A50" w:rsidP="00B162C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97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B162C4" w:rsidRPr="00B02BAD">
        <w:rPr>
          <w:rFonts w:ascii="Times New Roman" w:hAnsi="Times New Roman" w:cs="Times New Roman"/>
          <w:color w:val="000000"/>
          <w:sz w:val="28"/>
          <w:szCs w:val="28"/>
        </w:rPr>
        <w:t xml:space="preserve">астанова поширюється на планування та проведення клінічних досліджень ефективності, </w:t>
      </w:r>
      <w:proofErr w:type="spellStart"/>
      <w:r w:rsidR="00B162C4" w:rsidRPr="00B02BAD">
        <w:rPr>
          <w:rFonts w:ascii="Times New Roman" w:hAnsi="Times New Roman" w:cs="Times New Roman"/>
          <w:color w:val="000000"/>
          <w:sz w:val="28"/>
          <w:szCs w:val="28"/>
        </w:rPr>
        <w:t>імуногенності</w:t>
      </w:r>
      <w:proofErr w:type="spellEnd"/>
      <w:r w:rsidR="00B162C4" w:rsidRPr="00B02BAD">
        <w:rPr>
          <w:rFonts w:ascii="Times New Roman" w:hAnsi="Times New Roman" w:cs="Times New Roman"/>
          <w:color w:val="000000"/>
          <w:sz w:val="28"/>
          <w:szCs w:val="28"/>
        </w:rPr>
        <w:t xml:space="preserve"> та безпеки вакцин.</w:t>
      </w:r>
    </w:p>
    <w:p w14:paraId="647B6E4A" w14:textId="77777777" w:rsidR="00B162C4" w:rsidRPr="00B02BAD" w:rsidRDefault="00B162C4" w:rsidP="00B162C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BAD">
        <w:rPr>
          <w:rFonts w:ascii="Times New Roman" w:hAnsi="Times New Roman" w:cs="Times New Roman"/>
          <w:color w:val="000000"/>
          <w:sz w:val="28"/>
          <w:szCs w:val="28"/>
        </w:rPr>
        <w:t>Ця настанова рекомендується для суб’єктів господарювання, які займаються розробкою, клінічним вивченням, поданням заявок на державну реєстрацію вакцин на території України</w:t>
      </w:r>
      <w:r w:rsidR="008275ED" w:rsidRPr="00B02BA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02BAD">
        <w:rPr>
          <w:rFonts w:ascii="Times New Roman" w:hAnsi="Times New Roman" w:cs="Times New Roman"/>
          <w:color w:val="000000"/>
          <w:sz w:val="28"/>
          <w:szCs w:val="28"/>
        </w:rPr>
        <w:t xml:space="preserve"> незалежно від відомчого підпорядкування </w:t>
      </w:r>
      <w:r w:rsidR="008275ED" w:rsidRPr="00B02BAD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B02BAD">
        <w:rPr>
          <w:rFonts w:ascii="Times New Roman" w:hAnsi="Times New Roman" w:cs="Times New Roman"/>
          <w:color w:val="000000"/>
          <w:sz w:val="28"/>
          <w:szCs w:val="28"/>
        </w:rPr>
        <w:t xml:space="preserve"> форми власності, для відповідних заявників та підприємств-виробників, продукція яких реєструється </w:t>
      </w:r>
      <w:r w:rsidR="008275ED" w:rsidRPr="00B02BA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B02BAD">
        <w:rPr>
          <w:rFonts w:ascii="Times New Roman" w:hAnsi="Times New Roman" w:cs="Times New Roman"/>
          <w:color w:val="000000"/>
          <w:sz w:val="28"/>
          <w:szCs w:val="28"/>
        </w:rPr>
        <w:t xml:space="preserve"> імпортується в Україну, для науково-експертних організацій, експертів, що проводять експертизу при державній реєстрації (перереєстрації) лікарських засобів, а також для аудиторів та інспекторів.</w:t>
      </w:r>
    </w:p>
    <w:p w14:paraId="6E4304FE" w14:textId="77777777" w:rsidR="00B162C4" w:rsidRPr="00B02BAD" w:rsidRDefault="00B162C4" w:rsidP="00B162C4">
      <w:pPr>
        <w:rPr>
          <w:rFonts w:ascii="Times New Roman" w:eastAsia="Times New Roman" w:hAnsi="Times New Roman" w:cs="Times New Roman"/>
          <w:b/>
          <w:sz w:val="32"/>
        </w:rPr>
      </w:pPr>
      <w:r w:rsidRPr="00B02BAD">
        <w:rPr>
          <w:rFonts w:ascii="Times New Roman" w:eastAsia="Times New Roman" w:hAnsi="Times New Roman" w:cs="Times New Roman"/>
          <w:b/>
          <w:sz w:val="32"/>
        </w:rPr>
        <w:br w:type="page"/>
      </w:r>
    </w:p>
    <w:p w14:paraId="1C2364A2" w14:textId="77777777" w:rsidR="00B162C4" w:rsidRPr="00B02BAD" w:rsidRDefault="00B162C4" w:rsidP="00B162C4">
      <w:pPr>
        <w:pStyle w:val="1"/>
        <w:jc w:val="center"/>
        <w:rPr>
          <w:sz w:val="20"/>
        </w:rPr>
      </w:pPr>
      <w:r w:rsidRPr="00B02BAD">
        <w:lastRenderedPageBreak/>
        <w:t>НОРМАТИВНІ ПОСИЛАННЯ</w:t>
      </w:r>
    </w:p>
    <w:p w14:paraId="14D8651C" w14:textId="77777777" w:rsidR="00B162C4" w:rsidRPr="00B02BAD" w:rsidRDefault="00B162C4" w:rsidP="00B162C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BAD">
        <w:rPr>
          <w:rFonts w:ascii="Times New Roman" w:eastAsia="Calibri" w:hAnsi="Times New Roman" w:cs="Times New Roman"/>
          <w:sz w:val="28"/>
          <w:szCs w:val="28"/>
        </w:rPr>
        <w:t>У цій настанові є посилання на такі нормативні документи:</w:t>
      </w:r>
    </w:p>
    <w:p w14:paraId="4CAB96DF" w14:textId="77777777" w:rsidR="00B162C4" w:rsidRPr="00B02BAD" w:rsidRDefault="00B162C4" w:rsidP="00B162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B02BAD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Закон України «Про лікарські засоби». </w:t>
      </w:r>
    </w:p>
    <w:p w14:paraId="6DC7CF96" w14:textId="77777777" w:rsidR="00B162C4" w:rsidRPr="00B02BAD" w:rsidRDefault="00B162C4" w:rsidP="00B162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B02BA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Наказ Міністерства охорони здоров’я України від 23 вересня 2009 </w:t>
      </w:r>
      <w:r w:rsidRPr="00B02BAD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року</w:t>
      </w:r>
      <w:r w:rsidRPr="00B02BA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№ 690 (зі змінами) «Про затвердження Порядку </w:t>
      </w:r>
      <w:r w:rsidRPr="00B02BAD">
        <w:rPr>
          <w:rFonts w:ascii="Times New Roman" w:hAnsi="Times New Roman" w:cs="Times New Roman"/>
          <w:color w:val="000000"/>
          <w:sz w:val="28"/>
          <w:szCs w:val="28"/>
        </w:rPr>
        <w:t>проведення клінічних випробувань лікарських засобів та експертизи матеріалів клінічних випробувань і Типового положення про комісії з питань етики</w:t>
      </w:r>
      <w:r w:rsidRPr="00B02BA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», </w:t>
      </w:r>
      <w:r w:rsidR="00F22A8B" w:rsidRPr="00B02BAD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зареєстрований у</w:t>
      </w:r>
      <w:r w:rsidRPr="00B02BAD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Міністерстві юстиції України від 29 жовтня 2009 року за № 1010/17026. </w:t>
      </w:r>
    </w:p>
    <w:p w14:paraId="2573A0E2" w14:textId="541F1E80" w:rsidR="00B162C4" w:rsidRPr="00023E5C" w:rsidRDefault="00B162C4" w:rsidP="00B162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02BA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Настанова СТ-Н МОЗУ 42-7.0:2008. </w:t>
      </w:r>
      <w:r w:rsidR="00AE1E8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—</w:t>
      </w:r>
      <w:r w:rsidRPr="00B02BA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Лікарські зас</w:t>
      </w:r>
      <w:r w:rsidR="00F22A8B" w:rsidRPr="00B02BA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оби. Належна клінічна </w:t>
      </w:r>
      <w:r w:rsidR="00F22A8B"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практика</w:t>
      </w:r>
      <w:r w:rsidR="00AE1E82"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22A8B"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/</w:t>
      </w:r>
      <w:r w:rsidR="00AE1E82"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В. Мальцев, М. Ляпунов, Т. </w:t>
      </w:r>
      <w:proofErr w:type="spellStart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Бухтіарова</w:t>
      </w:r>
      <w:proofErr w:type="spellEnd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ін. </w:t>
      </w:r>
      <w:r w:rsidR="00AE1E82"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—</w:t>
      </w:r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Київ,</w:t>
      </w:r>
      <w:r w:rsidR="00AE1E82"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МОЗ України,</w:t>
      </w:r>
      <w:r w:rsidR="00AE1E82"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2009.</w:t>
      </w:r>
    </w:p>
    <w:p w14:paraId="5FEFCD73" w14:textId="77777777" w:rsidR="00B162C4" w:rsidRPr="00023E5C" w:rsidRDefault="00B162C4" w:rsidP="00B162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Directive</w:t>
      </w:r>
      <w:proofErr w:type="spellEnd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2001/83/EC </w:t>
      </w:r>
      <w:proofErr w:type="spellStart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European</w:t>
      </w:r>
      <w:proofErr w:type="spellEnd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Parliament</w:t>
      </w:r>
      <w:proofErr w:type="spellEnd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Council</w:t>
      </w:r>
      <w:proofErr w:type="spellEnd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6 </w:t>
      </w:r>
      <w:proofErr w:type="spellStart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November</w:t>
      </w:r>
      <w:proofErr w:type="spellEnd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2001 </w:t>
      </w:r>
      <w:proofErr w:type="spellStart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on</w:t>
      </w:r>
      <w:proofErr w:type="spellEnd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Community</w:t>
      </w:r>
      <w:proofErr w:type="spellEnd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code</w:t>
      </w:r>
      <w:proofErr w:type="spellEnd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relating</w:t>
      </w:r>
      <w:proofErr w:type="spellEnd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medicinal</w:t>
      </w:r>
      <w:proofErr w:type="spellEnd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products</w:t>
      </w:r>
      <w:proofErr w:type="spellEnd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for</w:t>
      </w:r>
      <w:proofErr w:type="spellEnd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human</w:t>
      </w:r>
      <w:proofErr w:type="spellEnd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use</w:t>
      </w:r>
      <w:proofErr w:type="spellEnd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 (OJ L 311, 28.11.2001) (Директива 2001/83/ЄC Європейського парламенту та Ради від 6 листопада 2001 року про кодекс Співтовариства відносно лікарських препаратів, призначених для споживання людьми. (</w:t>
      </w:r>
      <w:proofErr w:type="spellStart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Oфіційний</w:t>
      </w:r>
      <w:proofErr w:type="spellEnd"/>
      <w:r w:rsidRPr="00023E5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журнал посилання 311, 28.11.2001).</w:t>
      </w:r>
    </w:p>
    <w:p w14:paraId="0DA99C55" w14:textId="77E93948" w:rsidR="00B162C4" w:rsidRPr="00B02BAD" w:rsidRDefault="00536DD1" w:rsidP="00F22A8B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E5C">
        <w:rPr>
          <w:rFonts w:ascii="Times New Roman" w:hAnsi="Times New Roman"/>
          <w:sz w:val="28"/>
          <w:szCs w:val="28"/>
        </w:rPr>
        <w:t xml:space="preserve">EMEA/CHMP/VWP/164653/05 </w:t>
      </w:r>
      <w:proofErr w:type="spellStart"/>
      <w:r w:rsidRPr="00023E5C">
        <w:rPr>
          <w:rFonts w:ascii="Times New Roman" w:hAnsi="Times New Roman"/>
          <w:sz w:val="28"/>
          <w:szCs w:val="28"/>
        </w:rPr>
        <w:t>Rev</w:t>
      </w:r>
      <w:proofErr w:type="spellEnd"/>
      <w:r w:rsidRPr="00023E5C">
        <w:rPr>
          <w:rFonts w:ascii="Times New Roman" w:hAnsi="Times New Roman"/>
          <w:sz w:val="28"/>
          <w:szCs w:val="28"/>
        </w:rPr>
        <w:t>. 1 «</w:t>
      </w:r>
      <w:proofErr w:type="spellStart"/>
      <w:r w:rsidRPr="00023E5C">
        <w:rPr>
          <w:rFonts w:ascii="Times New Roman" w:hAnsi="Times New Roman"/>
          <w:sz w:val="28"/>
          <w:szCs w:val="28"/>
        </w:rPr>
        <w:t>Guideline</w:t>
      </w:r>
      <w:proofErr w:type="spellEnd"/>
      <w:r w:rsidRPr="00023E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3E5C">
        <w:rPr>
          <w:rFonts w:ascii="Times New Roman" w:hAnsi="Times New Roman"/>
          <w:sz w:val="28"/>
          <w:szCs w:val="28"/>
        </w:rPr>
        <w:t>on</w:t>
      </w:r>
      <w:proofErr w:type="spellEnd"/>
      <w:r w:rsidRPr="00023E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3E5C">
        <w:rPr>
          <w:rFonts w:ascii="Times New Roman" w:hAnsi="Times New Roman"/>
          <w:sz w:val="28"/>
          <w:szCs w:val="28"/>
        </w:rPr>
        <w:t>clinical</w:t>
      </w:r>
      <w:proofErr w:type="spellEnd"/>
      <w:r w:rsidRPr="00023E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3E5C">
        <w:rPr>
          <w:rFonts w:ascii="Times New Roman" w:hAnsi="Times New Roman"/>
          <w:sz w:val="28"/>
          <w:szCs w:val="28"/>
        </w:rPr>
        <w:t>evaluation</w:t>
      </w:r>
      <w:proofErr w:type="spellEnd"/>
      <w:r w:rsidRPr="00023E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3E5C">
        <w:rPr>
          <w:rFonts w:ascii="Times New Roman" w:hAnsi="Times New Roman"/>
          <w:sz w:val="28"/>
          <w:szCs w:val="28"/>
        </w:rPr>
        <w:t>of</w:t>
      </w:r>
      <w:proofErr w:type="spellEnd"/>
      <w:r w:rsidRPr="00023E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3E5C">
        <w:rPr>
          <w:rFonts w:ascii="Times New Roman" w:hAnsi="Times New Roman"/>
          <w:sz w:val="28"/>
          <w:szCs w:val="28"/>
        </w:rPr>
        <w:t>vaccines</w:t>
      </w:r>
      <w:proofErr w:type="spellEnd"/>
      <w:r w:rsidR="00AE1E82" w:rsidRPr="00023E5C">
        <w:rPr>
          <w:rFonts w:ascii="Times New Roman" w:hAnsi="Times New Roman"/>
          <w:sz w:val="28"/>
          <w:szCs w:val="28"/>
        </w:rPr>
        <w:t>»,</w:t>
      </w:r>
      <w:r w:rsidRPr="00023E5C">
        <w:rPr>
          <w:rFonts w:ascii="Times New Roman" w:hAnsi="Times New Roman"/>
          <w:sz w:val="28"/>
          <w:szCs w:val="28"/>
        </w:rPr>
        <w:t xml:space="preserve"> </w:t>
      </w:r>
      <w:r w:rsidR="00AE1E82" w:rsidRPr="00023E5C">
        <w:rPr>
          <w:rFonts w:ascii="Times New Roman" w:hAnsi="Times New Roman"/>
          <w:sz w:val="28"/>
          <w:szCs w:val="28"/>
        </w:rPr>
        <w:t>—</w:t>
      </w:r>
      <w:r w:rsidRPr="00023E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3B12" w:rsidRPr="00023E5C">
        <w:rPr>
          <w:rFonts w:ascii="Times New Roman" w:hAnsi="Times New Roman" w:cs="Times New Roman"/>
          <w:sz w:val="28"/>
          <w:szCs w:val="28"/>
        </w:rPr>
        <w:t>August</w:t>
      </w:r>
      <w:proofErr w:type="spellEnd"/>
      <w:r w:rsidR="00B63B12" w:rsidRPr="00023E5C">
        <w:rPr>
          <w:rFonts w:ascii="Times New Roman" w:hAnsi="Times New Roman" w:cs="Times New Roman"/>
          <w:sz w:val="28"/>
          <w:szCs w:val="28"/>
        </w:rPr>
        <w:t xml:space="preserve"> 2023</w:t>
      </w:r>
      <w:r w:rsidRPr="00023E5C">
        <w:rPr>
          <w:rFonts w:ascii="Times New Roman" w:hAnsi="Times New Roman"/>
          <w:sz w:val="28"/>
          <w:szCs w:val="28"/>
        </w:rPr>
        <w:t xml:space="preserve"> (</w:t>
      </w:r>
      <w:r w:rsidR="00AE1E82" w:rsidRPr="00023E5C">
        <w:rPr>
          <w:rFonts w:ascii="Times New Roman" w:hAnsi="Times New Roman"/>
          <w:sz w:val="28"/>
          <w:szCs w:val="28"/>
        </w:rPr>
        <w:t>«</w:t>
      </w:r>
      <w:r w:rsidRPr="00023E5C">
        <w:rPr>
          <w:rFonts w:ascii="Times New Roman" w:hAnsi="Times New Roman"/>
          <w:sz w:val="28"/>
          <w:szCs w:val="28"/>
        </w:rPr>
        <w:t>Керівництво щодо клінічної оцінки вакцин</w:t>
      </w:r>
      <w:r w:rsidR="00AE1E82" w:rsidRPr="00023E5C">
        <w:rPr>
          <w:rFonts w:ascii="Times New Roman" w:hAnsi="Times New Roman"/>
          <w:sz w:val="28"/>
          <w:szCs w:val="28"/>
        </w:rPr>
        <w:t>»,</w:t>
      </w:r>
      <w:r w:rsidRPr="00023E5C">
        <w:rPr>
          <w:rFonts w:ascii="Times New Roman" w:hAnsi="Times New Roman"/>
          <w:sz w:val="28"/>
          <w:szCs w:val="28"/>
        </w:rPr>
        <w:t xml:space="preserve"> </w:t>
      </w:r>
      <w:r w:rsidR="00AE1E82" w:rsidRPr="00023E5C">
        <w:rPr>
          <w:rFonts w:ascii="Times New Roman" w:hAnsi="Times New Roman"/>
          <w:sz w:val="28"/>
          <w:szCs w:val="28"/>
        </w:rPr>
        <w:t>—</w:t>
      </w:r>
      <w:r w:rsidRPr="00B02BAD">
        <w:rPr>
          <w:rFonts w:ascii="Times New Roman" w:hAnsi="Times New Roman"/>
          <w:sz w:val="28"/>
          <w:szCs w:val="28"/>
        </w:rPr>
        <w:t xml:space="preserve"> </w:t>
      </w:r>
      <w:r w:rsidR="00684CD7" w:rsidRPr="00B02BAD">
        <w:rPr>
          <w:rFonts w:ascii="Times New Roman" w:hAnsi="Times New Roman"/>
          <w:sz w:val="28"/>
          <w:szCs w:val="28"/>
        </w:rPr>
        <w:t>серпень</w:t>
      </w:r>
      <w:r w:rsidRPr="00B02BAD">
        <w:rPr>
          <w:rFonts w:ascii="Times New Roman" w:hAnsi="Times New Roman"/>
          <w:sz w:val="28"/>
          <w:szCs w:val="28"/>
        </w:rPr>
        <w:t xml:space="preserve"> 2023)</w:t>
      </w:r>
      <w:r w:rsidR="00B162C4" w:rsidRPr="00B02B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DF1D67" w14:textId="77777777" w:rsidR="00B162C4" w:rsidRPr="00B02BAD" w:rsidRDefault="00B162C4" w:rsidP="00B162C4">
      <w:pPr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02BA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br w:type="page"/>
      </w:r>
    </w:p>
    <w:p w14:paraId="1077DEEC" w14:textId="05974B25" w:rsidR="00B162C4" w:rsidRPr="00B02BAD" w:rsidRDefault="00023E5C" w:rsidP="00B162C4">
      <w:pPr>
        <w:pStyle w:val="1"/>
        <w:jc w:val="center"/>
      </w:pPr>
      <w:r w:rsidRPr="00023E5C">
        <w:lastRenderedPageBreak/>
        <w:t>ПОЗНАКИ ТА</w:t>
      </w:r>
      <w:r w:rsidR="00AE1E82" w:rsidRPr="00023E5C">
        <w:t xml:space="preserve"> </w:t>
      </w:r>
      <w:r w:rsidR="00B162C4" w:rsidRPr="00023E5C">
        <w:t>СКОРОЧЕННЯ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5840"/>
      </w:tblGrid>
      <w:tr w:rsidR="00023E5C" w:rsidRPr="00B02BAD" w14:paraId="568ED928" w14:textId="77777777" w:rsidTr="00B82C94">
        <w:tc>
          <w:tcPr>
            <w:tcW w:w="1526" w:type="dxa"/>
            <w:shd w:val="clear" w:color="auto" w:fill="auto"/>
          </w:tcPr>
          <w:p w14:paraId="61AFC9CA" w14:textId="26775C4F" w:rsidR="00023E5C" w:rsidRPr="00B02BAD" w:rsidRDefault="00023E5C" w:rsidP="00023E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5619">
              <w:rPr>
                <w:rFonts w:ascii="Times New Roman" w:hAnsi="Times New Roman" w:cs="Times New Roman"/>
                <w:sz w:val="28"/>
                <w:szCs w:val="28"/>
              </w:rPr>
              <w:t>AE</w:t>
            </w:r>
          </w:p>
        </w:tc>
        <w:tc>
          <w:tcPr>
            <w:tcW w:w="5840" w:type="dxa"/>
            <w:shd w:val="clear" w:color="auto" w:fill="auto"/>
          </w:tcPr>
          <w:p w14:paraId="2FDD4438" w14:textId="77777777" w:rsidR="00023E5C" w:rsidRPr="00B02BAD" w:rsidRDefault="00023E5C" w:rsidP="00023E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>Побічне явище</w:t>
            </w:r>
          </w:p>
        </w:tc>
      </w:tr>
      <w:tr w:rsidR="00023E5C" w:rsidRPr="00B02BAD" w14:paraId="37590ACC" w14:textId="77777777" w:rsidTr="00B82C94">
        <w:tc>
          <w:tcPr>
            <w:tcW w:w="1526" w:type="dxa"/>
            <w:shd w:val="clear" w:color="auto" w:fill="auto"/>
          </w:tcPr>
          <w:p w14:paraId="412DB1F1" w14:textId="1213A05F" w:rsidR="00023E5C" w:rsidRPr="00B02BAD" w:rsidRDefault="00023E5C" w:rsidP="00023E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5619">
              <w:rPr>
                <w:rFonts w:ascii="Times New Roman" w:hAnsi="Times New Roman" w:cs="Times New Roman"/>
                <w:sz w:val="28"/>
                <w:szCs w:val="28"/>
              </w:rPr>
              <w:t>AR</w:t>
            </w:r>
          </w:p>
        </w:tc>
        <w:tc>
          <w:tcPr>
            <w:tcW w:w="5840" w:type="dxa"/>
            <w:shd w:val="clear" w:color="auto" w:fill="auto"/>
          </w:tcPr>
          <w:p w14:paraId="11103F4C" w14:textId="77777777" w:rsidR="00023E5C" w:rsidRPr="00B02BAD" w:rsidRDefault="00023E5C" w:rsidP="00023E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>Показник ураженості</w:t>
            </w:r>
          </w:p>
        </w:tc>
      </w:tr>
      <w:tr w:rsidR="00023E5C" w:rsidRPr="00023E5C" w14:paraId="75E72B3E" w14:textId="77777777" w:rsidTr="00B82C94">
        <w:tc>
          <w:tcPr>
            <w:tcW w:w="1526" w:type="dxa"/>
            <w:shd w:val="clear" w:color="auto" w:fill="auto"/>
          </w:tcPr>
          <w:p w14:paraId="6DFFF2D2" w14:textId="0262CA0F" w:rsidR="00023E5C" w:rsidRPr="00023E5C" w:rsidRDefault="00023E5C" w:rsidP="00023E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E5C">
              <w:rPr>
                <w:rFonts w:ascii="Times New Roman" w:hAnsi="Times New Roman" w:cs="Times New Roman"/>
                <w:sz w:val="28"/>
                <w:szCs w:val="28"/>
              </w:rPr>
              <w:t>GMC</w:t>
            </w:r>
          </w:p>
        </w:tc>
        <w:tc>
          <w:tcPr>
            <w:tcW w:w="5840" w:type="dxa"/>
            <w:shd w:val="clear" w:color="auto" w:fill="auto"/>
          </w:tcPr>
          <w:p w14:paraId="0F1363C5" w14:textId="35F7E0B3" w:rsidR="00B82C94" w:rsidRPr="00023E5C" w:rsidRDefault="00023E5C" w:rsidP="00B82C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E5C">
              <w:rPr>
                <w:rFonts w:ascii="Times New Roman" w:hAnsi="Times New Roman" w:cs="Times New Roman"/>
                <w:sz w:val="28"/>
                <w:szCs w:val="28"/>
              </w:rPr>
              <w:t>Середнє геометричне</w:t>
            </w:r>
            <w:r w:rsidR="000D0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057A" w:rsidRPr="00EF23BD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r w:rsidRPr="00023E5C">
              <w:rPr>
                <w:rFonts w:ascii="Times New Roman" w:hAnsi="Times New Roman" w:cs="Times New Roman"/>
                <w:sz w:val="28"/>
                <w:szCs w:val="28"/>
              </w:rPr>
              <w:t xml:space="preserve"> концентрації</w:t>
            </w:r>
          </w:p>
        </w:tc>
      </w:tr>
      <w:tr w:rsidR="00B82C94" w:rsidRPr="00023E5C" w14:paraId="595E6625" w14:textId="77777777" w:rsidTr="00B82C94">
        <w:tc>
          <w:tcPr>
            <w:tcW w:w="1526" w:type="dxa"/>
            <w:shd w:val="clear" w:color="auto" w:fill="auto"/>
          </w:tcPr>
          <w:p w14:paraId="539E9226" w14:textId="352FC38A" w:rsidR="00B82C94" w:rsidRPr="00023E5C" w:rsidRDefault="00B82C94" w:rsidP="00023E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29A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GMR</w:t>
            </w:r>
          </w:p>
        </w:tc>
        <w:tc>
          <w:tcPr>
            <w:tcW w:w="5840" w:type="dxa"/>
            <w:shd w:val="clear" w:color="auto" w:fill="auto"/>
          </w:tcPr>
          <w:p w14:paraId="05599965" w14:textId="163B7A87" w:rsidR="00B82C94" w:rsidRPr="00023E5C" w:rsidRDefault="00B82C94" w:rsidP="00023E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C</w:t>
            </w:r>
            <w:proofErr w:type="spellStart"/>
            <w:r w:rsidRPr="00B82C94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ереднє</w:t>
            </w:r>
            <w:proofErr w:type="spellEnd"/>
            <w:r w:rsidRPr="00B82C94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 xml:space="preserve"> геометричне </w:t>
            </w:r>
            <w:r w:rsidR="00AA01EE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 xml:space="preserve">значення </w:t>
            </w:r>
            <w:r w:rsidRPr="00B82C94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співвідношень</w:t>
            </w:r>
          </w:p>
        </w:tc>
      </w:tr>
      <w:tr w:rsidR="00023E5C" w:rsidRPr="00B02BAD" w14:paraId="0B3C7695" w14:textId="77777777" w:rsidTr="00B82C94">
        <w:tc>
          <w:tcPr>
            <w:tcW w:w="1526" w:type="dxa"/>
            <w:shd w:val="clear" w:color="auto" w:fill="auto"/>
          </w:tcPr>
          <w:p w14:paraId="4072EFF2" w14:textId="2D8D2AA4" w:rsidR="00023E5C" w:rsidRPr="00023E5C" w:rsidRDefault="00023E5C" w:rsidP="00023E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E5C">
              <w:rPr>
                <w:rFonts w:ascii="Times New Roman" w:hAnsi="Times New Roman" w:cs="Times New Roman"/>
                <w:sz w:val="28"/>
                <w:szCs w:val="28"/>
              </w:rPr>
              <w:t>GMT</w:t>
            </w:r>
          </w:p>
        </w:tc>
        <w:tc>
          <w:tcPr>
            <w:tcW w:w="5840" w:type="dxa"/>
            <w:shd w:val="clear" w:color="auto" w:fill="auto"/>
          </w:tcPr>
          <w:p w14:paraId="146BEBA9" w14:textId="4CA30720" w:rsidR="00023E5C" w:rsidRPr="00B02BAD" w:rsidRDefault="00023E5C" w:rsidP="00023E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E5C">
              <w:rPr>
                <w:rFonts w:ascii="Times New Roman" w:hAnsi="Times New Roman" w:cs="Times New Roman"/>
                <w:sz w:val="28"/>
                <w:szCs w:val="28"/>
              </w:rPr>
              <w:t xml:space="preserve">Середнє геометричне </w:t>
            </w:r>
            <w:r w:rsidR="000D057A" w:rsidRPr="00EF23BD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r w:rsidR="000D0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3E5C">
              <w:rPr>
                <w:rFonts w:ascii="Times New Roman" w:hAnsi="Times New Roman" w:cs="Times New Roman"/>
                <w:sz w:val="28"/>
                <w:szCs w:val="28"/>
              </w:rPr>
              <w:t>титру</w:t>
            </w:r>
          </w:p>
        </w:tc>
      </w:tr>
      <w:tr w:rsidR="00023E5C" w:rsidRPr="00B02BAD" w14:paraId="08384E2D" w14:textId="77777777" w:rsidTr="00B82C94">
        <w:tc>
          <w:tcPr>
            <w:tcW w:w="1526" w:type="dxa"/>
            <w:shd w:val="clear" w:color="auto" w:fill="auto"/>
          </w:tcPr>
          <w:p w14:paraId="299DF0D8" w14:textId="57D82C40" w:rsidR="00023E5C" w:rsidRPr="00B02BAD" w:rsidRDefault="00023E5C" w:rsidP="00023E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5619">
              <w:rPr>
                <w:rFonts w:ascii="Times New Roman" w:hAnsi="Times New Roman" w:cs="Times New Roman"/>
                <w:sz w:val="28"/>
                <w:szCs w:val="28"/>
              </w:rPr>
              <w:t>ICP</w:t>
            </w:r>
          </w:p>
        </w:tc>
        <w:tc>
          <w:tcPr>
            <w:tcW w:w="5840" w:type="dxa"/>
            <w:shd w:val="clear" w:color="auto" w:fill="auto"/>
          </w:tcPr>
          <w:p w14:paraId="2B2D6995" w14:textId="77777777" w:rsidR="00023E5C" w:rsidRPr="00B02BAD" w:rsidRDefault="00023E5C" w:rsidP="00023E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>Імунний корелят захисту</w:t>
            </w:r>
          </w:p>
        </w:tc>
      </w:tr>
      <w:tr w:rsidR="00023E5C" w:rsidRPr="00B02BAD" w14:paraId="2F6C8D8B" w14:textId="77777777" w:rsidTr="00B82C94">
        <w:tc>
          <w:tcPr>
            <w:tcW w:w="1526" w:type="dxa"/>
            <w:shd w:val="clear" w:color="auto" w:fill="auto"/>
          </w:tcPr>
          <w:p w14:paraId="731BCE0A" w14:textId="2BB562B8" w:rsidR="00023E5C" w:rsidRPr="00B02BAD" w:rsidRDefault="00023E5C" w:rsidP="00023E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5619">
              <w:rPr>
                <w:rFonts w:ascii="Times New Roman" w:hAnsi="Times New Roman" w:cs="Times New Roman"/>
                <w:sz w:val="28"/>
                <w:szCs w:val="28"/>
              </w:rPr>
              <w:t>SAE</w:t>
            </w:r>
          </w:p>
        </w:tc>
        <w:tc>
          <w:tcPr>
            <w:tcW w:w="5840" w:type="dxa"/>
            <w:shd w:val="clear" w:color="auto" w:fill="auto"/>
          </w:tcPr>
          <w:p w14:paraId="0CBC5098" w14:textId="77777777" w:rsidR="00023E5C" w:rsidRPr="00B02BAD" w:rsidRDefault="00023E5C" w:rsidP="00023E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>Серйозне побічне явище</w:t>
            </w:r>
          </w:p>
        </w:tc>
      </w:tr>
      <w:tr w:rsidR="00023E5C" w:rsidRPr="00B02BAD" w14:paraId="35B0E8DC" w14:textId="77777777" w:rsidTr="00C67D96">
        <w:tc>
          <w:tcPr>
            <w:tcW w:w="1526" w:type="dxa"/>
            <w:shd w:val="clear" w:color="auto" w:fill="auto"/>
          </w:tcPr>
          <w:p w14:paraId="727EDB6B" w14:textId="4FFE8C21" w:rsidR="00023E5C" w:rsidRPr="00B02BAD" w:rsidRDefault="00023E5C" w:rsidP="00023E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D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CMI</w:t>
            </w:r>
          </w:p>
        </w:tc>
        <w:tc>
          <w:tcPr>
            <w:tcW w:w="5840" w:type="dxa"/>
            <w:shd w:val="clear" w:color="auto" w:fill="auto"/>
          </w:tcPr>
          <w:p w14:paraId="07B4947B" w14:textId="77777777" w:rsidR="00023E5C" w:rsidRPr="00B02BAD" w:rsidRDefault="00023E5C" w:rsidP="00023E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BAD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Клітинно</w:t>
            </w:r>
            <w:proofErr w:type="spellEnd"/>
            <w:r w:rsidRPr="00B02BAD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-опосередкований імунітет</w:t>
            </w:r>
          </w:p>
        </w:tc>
      </w:tr>
      <w:tr w:rsidR="00023E5C" w:rsidRPr="00B02BAD" w14:paraId="2CF809B4" w14:textId="77777777" w:rsidTr="00C67D96">
        <w:tc>
          <w:tcPr>
            <w:tcW w:w="1526" w:type="dxa"/>
            <w:shd w:val="clear" w:color="auto" w:fill="auto"/>
          </w:tcPr>
          <w:p w14:paraId="5EE1FFE9" w14:textId="431A576A" w:rsidR="00023E5C" w:rsidRPr="00127286" w:rsidRDefault="00023E5C" w:rsidP="00023E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7D96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SmPC</w:t>
            </w:r>
            <w:proofErr w:type="spellEnd"/>
          </w:p>
        </w:tc>
        <w:tc>
          <w:tcPr>
            <w:tcW w:w="5840" w:type="dxa"/>
            <w:shd w:val="clear" w:color="auto" w:fill="auto"/>
          </w:tcPr>
          <w:p w14:paraId="1F236C22" w14:textId="77777777" w:rsidR="00023E5C" w:rsidRPr="00B02BAD" w:rsidRDefault="00023E5C" w:rsidP="00023E5C">
            <w:pPr>
              <w:spacing w:after="0" w:line="360" w:lineRule="auto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02BAD">
              <w:rPr>
                <w:rFonts w:ascii="Times New Roman" w:hAnsi="Times New Roman" w:cs="Times New Roman"/>
                <w:sz w:val="28"/>
                <w:szCs w:val="28"/>
              </w:rPr>
              <w:t>Коротка характеристика лікарського засобу</w:t>
            </w:r>
          </w:p>
        </w:tc>
      </w:tr>
      <w:tr w:rsidR="00B162C4" w:rsidRPr="00B02BAD" w14:paraId="3352D7D0" w14:textId="77777777" w:rsidTr="00C67D96">
        <w:tc>
          <w:tcPr>
            <w:tcW w:w="1526" w:type="dxa"/>
            <w:shd w:val="clear" w:color="auto" w:fill="auto"/>
          </w:tcPr>
          <w:p w14:paraId="4298FE74" w14:textId="77777777" w:rsidR="00B162C4" w:rsidRPr="00B02BAD" w:rsidRDefault="00B162C4" w:rsidP="00896EA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5840" w:type="dxa"/>
            <w:shd w:val="clear" w:color="auto" w:fill="auto"/>
          </w:tcPr>
          <w:p w14:paraId="02668D99" w14:textId="77777777" w:rsidR="00B162C4" w:rsidRPr="00B02BAD" w:rsidRDefault="00B162C4" w:rsidP="00896EA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2C4" w:rsidRPr="00B02BAD" w14:paraId="2005481C" w14:textId="77777777" w:rsidTr="00C67D96">
        <w:tc>
          <w:tcPr>
            <w:tcW w:w="1526" w:type="dxa"/>
            <w:shd w:val="clear" w:color="auto" w:fill="auto"/>
          </w:tcPr>
          <w:p w14:paraId="0C2E0702" w14:textId="77777777" w:rsidR="00B162C4" w:rsidRPr="00B02BAD" w:rsidRDefault="00B162C4" w:rsidP="00896EA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5840" w:type="dxa"/>
            <w:shd w:val="clear" w:color="auto" w:fill="auto"/>
          </w:tcPr>
          <w:p w14:paraId="5CCF83EF" w14:textId="77777777" w:rsidR="00B162C4" w:rsidRPr="00B02BAD" w:rsidRDefault="00B162C4" w:rsidP="00896EA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2C4" w:rsidRPr="00B02BAD" w14:paraId="4455455C" w14:textId="77777777" w:rsidTr="00C67D96">
        <w:tc>
          <w:tcPr>
            <w:tcW w:w="1526" w:type="dxa"/>
            <w:shd w:val="clear" w:color="auto" w:fill="auto"/>
          </w:tcPr>
          <w:p w14:paraId="05AC1D50" w14:textId="77777777" w:rsidR="00B162C4" w:rsidRPr="00B02BAD" w:rsidRDefault="00B162C4" w:rsidP="00896EA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5840" w:type="dxa"/>
            <w:shd w:val="clear" w:color="auto" w:fill="auto"/>
          </w:tcPr>
          <w:p w14:paraId="36ED2FF3" w14:textId="77777777" w:rsidR="00B162C4" w:rsidRPr="00B02BAD" w:rsidRDefault="00B162C4" w:rsidP="00896EA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52AA39" w14:textId="77777777" w:rsidR="00B162C4" w:rsidRPr="00B02BAD" w:rsidRDefault="00B162C4" w:rsidP="00B162C4">
      <w:pPr>
        <w:rPr>
          <w:lang w:eastAsia="uk-UA"/>
        </w:rPr>
      </w:pPr>
    </w:p>
    <w:p w14:paraId="7C591157" w14:textId="77777777" w:rsidR="00B162C4" w:rsidRPr="00B02BAD" w:rsidRDefault="00B162C4" w:rsidP="00B162C4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B02BAD"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14:paraId="7FFB1F20" w14:textId="62F03805" w:rsidR="00B162C4" w:rsidRPr="00B02BAD" w:rsidRDefault="00B162C4" w:rsidP="00447D53">
      <w:pPr>
        <w:pStyle w:val="1"/>
        <w:jc w:val="center"/>
        <w:rPr>
          <w:sz w:val="32"/>
        </w:rPr>
      </w:pPr>
      <w:r w:rsidRPr="00B02BAD">
        <w:rPr>
          <w:sz w:val="32"/>
        </w:rPr>
        <w:lastRenderedPageBreak/>
        <w:t>КЛІНІЧН</w:t>
      </w:r>
      <w:r w:rsidR="00785671">
        <w:rPr>
          <w:sz w:val="32"/>
        </w:rPr>
        <w:t>А</w:t>
      </w:r>
      <w:r w:rsidRPr="00B02BAD">
        <w:rPr>
          <w:sz w:val="32"/>
        </w:rPr>
        <w:t xml:space="preserve"> ОЦІНК</w:t>
      </w:r>
      <w:r w:rsidR="00785671">
        <w:rPr>
          <w:sz w:val="32"/>
        </w:rPr>
        <w:t>А</w:t>
      </w:r>
      <w:r w:rsidRPr="00B02BAD">
        <w:rPr>
          <w:sz w:val="32"/>
        </w:rPr>
        <w:t xml:space="preserve"> ВАКЦИН</w:t>
      </w:r>
    </w:p>
    <w:p w14:paraId="5FE61DD0" w14:textId="77777777" w:rsidR="00B162C4" w:rsidRPr="00B02BAD" w:rsidRDefault="00B162C4" w:rsidP="00B162C4">
      <w:pPr>
        <w:pStyle w:val="1"/>
        <w:jc w:val="center"/>
      </w:pPr>
      <w:r w:rsidRPr="00B02BAD">
        <w:t>ЗАГАЛЬНІ ПОЛОЖЕННЯ</w:t>
      </w:r>
    </w:p>
    <w:p w14:paraId="1A1292E6" w14:textId="77777777" w:rsidR="00B162C4" w:rsidRPr="00B02BAD" w:rsidRDefault="00B162C4" w:rsidP="00B162C4">
      <w:pPr>
        <w:spacing w:line="360" w:lineRule="auto"/>
        <w:ind w:left="-5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B02BAD">
        <w:rPr>
          <w:rFonts w:ascii="Times New Roman" w:hAnsi="Times New Roman" w:cs="Times New Roman"/>
          <w:sz w:val="28"/>
          <w:szCs w:val="28"/>
        </w:rPr>
        <w:t>Ця настанова описує загальні принципи та підходи до дизайну, проведення та оцінки досліджень вакцин.</w:t>
      </w:r>
    </w:p>
    <w:p w14:paraId="559A4F54" w14:textId="77777777" w:rsidR="00B162C4" w:rsidRPr="00B02BAD" w:rsidRDefault="00B162C4" w:rsidP="00156779">
      <w:pPr>
        <w:pStyle w:val="1"/>
        <w:numPr>
          <w:ilvl w:val="0"/>
          <w:numId w:val="3"/>
        </w:numPr>
        <w:ind w:left="567" w:hanging="567"/>
      </w:pPr>
      <w:r w:rsidRPr="00B02BAD">
        <w:t xml:space="preserve">ВСТУП </w:t>
      </w:r>
    </w:p>
    <w:p w14:paraId="1BE23830" w14:textId="69006143" w:rsidR="00896EAB" w:rsidRPr="005B57BF" w:rsidRDefault="00896EAB" w:rsidP="00896EA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Ця настанова стосується клінічної оцінки вакцин, призначених для профілактики інфекційних захворювань. Вона </w:t>
      </w:r>
      <w:r w:rsidR="00D82FD7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містить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міркування щодо випробувань, </w:t>
      </w:r>
      <w:r w:rsidR="00B16B68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метою яких є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документування безпеки, </w:t>
      </w:r>
      <w:proofErr w:type="spellStart"/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імуногенності</w:t>
      </w:r>
      <w:proofErr w:type="spellEnd"/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та ефективності </w:t>
      </w:r>
      <w:r w:rsidR="000D057A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(</w:t>
      </w:r>
      <w:r w:rsidR="000D057A" w:rsidRPr="005B57BF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efficacy</w:t>
      </w:r>
      <w:r w:rsidR="000D057A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нових вакцин-кандидатів </w:t>
      </w:r>
      <w:r w:rsidR="00F23336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16B68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обґрунтування внесення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змін </w:t>
      </w:r>
      <w:r w:rsidR="00D5484B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до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інформації </w:t>
      </w:r>
      <w:r w:rsidR="00B16B68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про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призначення зареєстрованих вакцин. </w:t>
      </w:r>
      <w:r w:rsidR="000D057A" w:rsidRPr="005B57BF">
        <w:rPr>
          <w:rFonts w:ascii="Times New Roman" w:hAnsi="Times New Roman" w:cs="Times New Roman"/>
          <w:sz w:val="28"/>
          <w:szCs w:val="28"/>
        </w:rPr>
        <w:t>Вона також враховує питання потреби та використання досліджень дієвості (</w:t>
      </w:r>
      <w:proofErr w:type="spellStart"/>
      <w:r w:rsidR="000D057A" w:rsidRPr="005B57BF">
        <w:rPr>
          <w:rFonts w:ascii="Times New Roman" w:hAnsi="Times New Roman" w:cs="Times New Roman"/>
          <w:sz w:val="28"/>
          <w:szCs w:val="28"/>
        </w:rPr>
        <w:t>effectiveness</w:t>
      </w:r>
      <w:proofErr w:type="spellEnd"/>
      <w:r w:rsidR="000D057A" w:rsidRPr="005B57BF">
        <w:rPr>
          <w:rFonts w:ascii="Times New Roman" w:hAnsi="Times New Roman" w:cs="Times New Roman"/>
          <w:sz w:val="28"/>
          <w:szCs w:val="28"/>
        </w:rPr>
        <w:t xml:space="preserve"> – цей термін зустрічається у контексті ефективності вакцини на </w:t>
      </w:r>
      <w:proofErr w:type="spellStart"/>
      <w:r w:rsidR="000D057A" w:rsidRPr="005B57BF">
        <w:rPr>
          <w:rFonts w:ascii="Times New Roman" w:hAnsi="Times New Roman" w:cs="Times New Roman"/>
          <w:sz w:val="28"/>
          <w:szCs w:val="28"/>
        </w:rPr>
        <w:t>післяреєстраційному</w:t>
      </w:r>
      <w:proofErr w:type="spellEnd"/>
      <w:r w:rsidR="000D057A" w:rsidRPr="005B57BF">
        <w:rPr>
          <w:rFonts w:ascii="Times New Roman" w:hAnsi="Times New Roman" w:cs="Times New Roman"/>
          <w:sz w:val="28"/>
          <w:szCs w:val="28"/>
        </w:rPr>
        <w:t xml:space="preserve"> етапі, тоді як</w:t>
      </w:r>
      <w:r w:rsidR="000D057A" w:rsidRPr="005B57BF">
        <w:rPr>
          <w:sz w:val="28"/>
          <w:szCs w:val="28"/>
        </w:rPr>
        <w:t xml:space="preserve"> </w:t>
      </w:r>
      <w:proofErr w:type="spellStart"/>
      <w:r w:rsidR="000D057A" w:rsidRPr="005B57BF">
        <w:rPr>
          <w:rFonts w:ascii="Times New Roman" w:hAnsi="Times New Roman" w:cs="Times New Roman"/>
          <w:sz w:val="28"/>
          <w:szCs w:val="28"/>
        </w:rPr>
        <w:t>efficacy</w:t>
      </w:r>
      <w:proofErr w:type="spellEnd"/>
      <w:r w:rsidR="000D057A" w:rsidRPr="005B57BF">
        <w:rPr>
          <w:rFonts w:ascii="Times New Roman" w:hAnsi="Times New Roman" w:cs="Times New Roman"/>
          <w:sz w:val="28"/>
          <w:szCs w:val="28"/>
        </w:rPr>
        <w:t xml:space="preserve"> – у контексті ефективності на </w:t>
      </w:r>
      <w:proofErr w:type="spellStart"/>
      <w:r w:rsidR="000D057A" w:rsidRPr="005B57BF">
        <w:rPr>
          <w:rFonts w:ascii="Times New Roman" w:hAnsi="Times New Roman" w:cs="Times New Roman"/>
          <w:sz w:val="28"/>
          <w:szCs w:val="28"/>
        </w:rPr>
        <w:t>передреєстраційному</w:t>
      </w:r>
      <w:proofErr w:type="spellEnd"/>
      <w:r w:rsidR="000D057A" w:rsidRPr="005B57BF">
        <w:rPr>
          <w:rFonts w:ascii="Times New Roman" w:hAnsi="Times New Roman" w:cs="Times New Roman"/>
          <w:sz w:val="28"/>
          <w:szCs w:val="28"/>
        </w:rPr>
        <w:t xml:space="preserve"> етапі) вакцини</w:t>
      </w:r>
      <w:r w:rsidRPr="005B57BF">
        <w:rPr>
          <w:rFonts w:ascii="Times New Roman" w:hAnsi="Times New Roman" w:cs="Times New Roman"/>
          <w:sz w:val="28"/>
          <w:szCs w:val="28"/>
        </w:rPr>
        <w:t>.</w:t>
      </w:r>
    </w:p>
    <w:p w14:paraId="509247C7" w14:textId="2007B308" w:rsidR="00684CD7" w:rsidRPr="005B57BF" w:rsidRDefault="00684CD7" w:rsidP="00FF65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57BF">
        <w:rPr>
          <w:rFonts w:ascii="Times New Roman" w:hAnsi="Times New Roman" w:cs="Times New Roman"/>
          <w:sz w:val="28"/>
          <w:szCs w:val="28"/>
        </w:rPr>
        <w:t xml:space="preserve">Керівництво щодо клінічної оцінки вакцин (EMEA/CHMP/VWP/164653/2005) охоплювало клінічну розробку вакцин, призначених для профілактики інфекційних захворювань до </w:t>
      </w:r>
      <w:r w:rsidR="00EF1371" w:rsidRPr="005B57BF">
        <w:rPr>
          <w:rFonts w:ascii="Times New Roman" w:hAnsi="Times New Roman" w:cs="Times New Roman"/>
          <w:sz w:val="28"/>
          <w:szCs w:val="28"/>
        </w:rPr>
        <w:t>і</w:t>
      </w:r>
      <w:r w:rsidRPr="00B02BAD">
        <w:rPr>
          <w:rFonts w:ascii="Times New Roman" w:hAnsi="Times New Roman" w:cs="Times New Roman"/>
          <w:sz w:val="28"/>
          <w:szCs w:val="28"/>
        </w:rPr>
        <w:t xml:space="preserve"> після </w:t>
      </w:r>
      <w:r w:rsidR="00EF1371" w:rsidRPr="00EF23BD">
        <w:rPr>
          <w:rFonts w:ascii="Times New Roman" w:hAnsi="Times New Roman" w:cs="Times New Roman"/>
          <w:sz w:val="28"/>
          <w:szCs w:val="28"/>
        </w:rPr>
        <w:t xml:space="preserve">впливу </w:t>
      </w:r>
      <w:r w:rsidR="00EF23BD" w:rsidRPr="00EF23BD">
        <w:rPr>
          <w:rFonts w:ascii="Times New Roman" w:hAnsi="Times New Roman" w:cs="Times New Roman"/>
          <w:sz w:val="28"/>
          <w:szCs w:val="28"/>
        </w:rPr>
        <w:t xml:space="preserve">(експозиції) </w:t>
      </w:r>
      <w:r w:rsidR="00EF1371" w:rsidRPr="00EF23BD">
        <w:rPr>
          <w:rFonts w:ascii="Times New Roman" w:hAnsi="Times New Roman" w:cs="Times New Roman"/>
          <w:sz w:val="28"/>
          <w:szCs w:val="28"/>
        </w:rPr>
        <w:t>збудника</w:t>
      </w:r>
      <w:r w:rsidRPr="00EF23BD">
        <w:rPr>
          <w:rFonts w:ascii="Times New Roman" w:hAnsi="Times New Roman" w:cs="Times New Roman"/>
          <w:sz w:val="28"/>
          <w:szCs w:val="28"/>
        </w:rPr>
        <w:t>.</w:t>
      </w:r>
      <w:r w:rsidRPr="00B02BAD">
        <w:rPr>
          <w:rFonts w:ascii="Times New Roman" w:hAnsi="Times New Roman" w:cs="Times New Roman"/>
          <w:sz w:val="28"/>
          <w:szCs w:val="28"/>
        </w:rPr>
        <w:t xml:space="preserve"> Керівництво щодо </w:t>
      </w:r>
      <w:proofErr w:type="spellStart"/>
      <w:r w:rsidRPr="00B02BAD">
        <w:rPr>
          <w:rFonts w:ascii="Times New Roman" w:hAnsi="Times New Roman" w:cs="Times New Roman"/>
          <w:sz w:val="28"/>
          <w:szCs w:val="28"/>
        </w:rPr>
        <w:t>адʼювантів</w:t>
      </w:r>
      <w:proofErr w:type="spellEnd"/>
      <w:r w:rsidRPr="00B02BAD">
        <w:rPr>
          <w:rFonts w:ascii="Times New Roman" w:hAnsi="Times New Roman" w:cs="Times New Roman"/>
          <w:sz w:val="28"/>
          <w:szCs w:val="28"/>
        </w:rPr>
        <w:t xml:space="preserve"> у вакцинах для людини (EMEA/CHMP/VEG/134716/</w:t>
      </w:r>
      <w:r w:rsidR="000D057A">
        <w:rPr>
          <w:rFonts w:ascii="Times New Roman" w:hAnsi="Times New Roman" w:cs="Times New Roman"/>
          <w:sz w:val="28"/>
          <w:szCs w:val="28"/>
        </w:rPr>
        <w:t>20</w:t>
      </w:r>
      <w:r w:rsidRPr="00B02BAD">
        <w:rPr>
          <w:rFonts w:ascii="Times New Roman" w:hAnsi="Times New Roman" w:cs="Times New Roman"/>
          <w:sz w:val="28"/>
          <w:szCs w:val="28"/>
        </w:rPr>
        <w:t xml:space="preserve">04) містило розділ про клінічну оцінку вакцин, до </w:t>
      </w:r>
      <w:r w:rsidRPr="005B57BF">
        <w:rPr>
          <w:rFonts w:ascii="Times New Roman" w:hAnsi="Times New Roman" w:cs="Times New Roman"/>
          <w:sz w:val="28"/>
          <w:szCs w:val="28"/>
        </w:rPr>
        <w:t xml:space="preserve">складу яких запропоновано включити </w:t>
      </w:r>
      <w:proofErr w:type="spellStart"/>
      <w:r w:rsidRPr="005B57BF">
        <w:rPr>
          <w:rFonts w:ascii="Times New Roman" w:hAnsi="Times New Roman" w:cs="Times New Roman"/>
          <w:sz w:val="28"/>
          <w:szCs w:val="28"/>
        </w:rPr>
        <w:t>адʼюванти</w:t>
      </w:r>
      <w:proofErr w:type="spellEnd"/>
      <w:r w:rsidRPr="005B57BF">
        <w:rPr>
          <w:rFonts w:ascii="Times New Roman" w:hAnsi="Times New Roman" w:cs="Times New Roman"/>
          <w:sz w:val="28"/>
          <w:szCs w:val="28"/>
        </w:rPr>
        <w:t xml:space="preserve">. </w:t>
      </w:r>
      <w:r w:rsidR="00C04D1F" w:rsidRPr="005B57BF">
        <w:rPr>
          <w:rFonts w:ascii="Times New Roman" w:hAnsi="Times New Roman" w:cs="Times New Roman"/>
          <w:sz w:val="28"/>
          <w:szCs w:val="28"/>
        </w:rPr>
        <w:t>Оновлен</w:t>
      </w:r>
      <w:r w:rsidR="00117429" w:rsidRPr="005B57BF">
        <w:rPr>
          <w:rFonts w:ascii="Times New Roman" w:hAnsi="Times New Roman" w:cs="Times New Roman"/>
          <w:sz w:val="28"/>
          <w:szCs w:val="28"/>
        </w:rPr>
        <w:t>а</w:t>
      </w:r>
      <w:r w:rsidR="00C04D1F" w:rsidRPr="005B57BF">
        <w:rPr>
          <w:rFonts w:ascii="Times New Roman" w:hAnsi="Times New Roman" w:cs="Times New Roman"/>
          <w:sz w:val="28"/>
          <w:szCs w:val="28"/>
        </w:rPr>
        <w:t xml:space="preserve"> </w:t>
      </w:r>
      <w:r w:rsidR="00117429" w:rsidRPr="005B57BF">
        <w:rPr>
          <w:rFonts w:ascii="Times New Roman" w:hAnsi="Times New Roman" w:cs="Times New Roman"/>
          <w:sz w:val="28"/>
          <w:szCs w:val="28"/>
        </w:rPr>
        <w:t>редакція</w:t>
      </w:r>
      <w:r w:rsidRPr="005B57BF">
        <w:rPr>
          <w:rFonts w:ascii="Times New Roman" w:hAnsi="Times New Roman" w:cs="Times New Roman"/>
          <w:sz w:val="28"/>
          <w:szCs w:val="28"/>
        </w:rPr>
        <w:t xml:space="preserve"> поєднує клінічні рекомендації, наведені в цих двох документах. </w:t>
      </w:r>
    </w:p>
    <w:p w14:paraId="16D87BEE" w14:textId="2E4EEF20" w:rsidR="00896EAB" w:rsidRPr="00B02BAD" w:rsidRDefault="00896EAB" w:rsidP="00FF6506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</w:pP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З моменту прийняття EMEA/CHMP/VWP/164653/</w:t>
      </w:r>
      <w:r w:rsidR="00C04D1F" w:rsidRPr="005B57BF">
        <w:rPr>
          <w:rFonts w:ascii="Times New Roman" w:hAnsi="Times New Roman" w:cs="Times New Roman"/>
          <w:sz w:val="28"/>
          <w:szCs w:val="28"/>
        </w:rPr>
        <w:t>2005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багато нових вакцин були схвалені в ЄС або отримали позитивний висновок відповідно до статті 58 Регламенту (ЄС) № 726/2004, </w:t>
      </w:r>
      <w:r w:rsidR="00C04D1F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зокрема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кілька вакцин для профілактики інфекційних захворювань, </w:t>
      </w:r>
      <w:r w:rsidR="00C04D1F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проти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яких раніше не було доступної вакцини. Деякі з цих вакцин </w:t>
      </w:r>
      <w:r w:rsidR="00F12E45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включають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антигени кількох збудників хвороби або кількох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підтипів одного збудника. </w:t>
      </w:r>
      <w:r w:rsidR="00F12E4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Їхнє застосування порушило </w:t>
      </w:r>
      <w:r w:rsidR="00E5377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низку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питань щодо програм клінічної розробки вакцин, які не були розглянуті в попередньому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керівництві. Крім того, надходили запити на отримання наукових консультацій щодо програм клінічної розробки вакцин, які вказували на необхідність надання оновлених або додаткових рекомендацій з </w:t>
      </w:r>
      <w:r w:rsidR="00E5377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окремих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питань. Наприклад, з питань проведення досліджень ефективності вакцин, ви</w:t>
      </w:r>
      <w:r w:rsidR="00524D0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явлен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ня імунних корелятів захисту, вакцин, призначених для використання </w:t>
      </w:r>
      <w:r w:rsidR="00113B61" w:rsidRPr="00B02BAD">
        <w:rPr>
          <w:rFonts w:ascii="Times New Roman" w:hAnsi="Times New Roman" w:cs="Times New Roman"/>
          <w:sz w:val="28"/>
          <w:szCs w:val="28"/>
        </w:rPr>
        <w:t>в різних схемах первинного підсилення імунної відповіді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а також вакцин для введення вагітним жінкам для захисту їхніх немовлят протягом перших місяців життя.</w:t>
      </w:r>
    </w:p>
    <w:p w14:paraId="0A171CC0" w14:textId="59D2FDC8" w:rsidR="00896EAB" w:rsidRPr="00B02BAD" w:rsidRDefault="00896EAB" w:rsidP="009D71E8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 відповідь на </w:t>
      </w:r>
      <w:r w:rsidR="00975CD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поточні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питання, що виникають </w:t>
      </w:r>
      <w:r w:rsidR="00975CD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під час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наукових 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консультаці</w:t>
      </w:r>
      <w:r w:rsidR="00975CDA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й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27084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 матеріалах реєстраційних досьє, ц</w:t>
      </w:r>
      <w:r w:rsidR="00524D0F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я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27084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оновлена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24D0F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настанова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27084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містить</w:t>
      </w:r>
      <w:r w:rsidR="0022708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обговорення факторів, </w:t>
      </w:r>
      <w:r w:rsidR="0094222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пов’язаних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із захворюванням та пацієнтом, які слід враховувати при плануванні та інтерпретації результатів порівняльних досліджень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імуногенності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 Наприклад, важлив</w:t>
      </w:r>
      <w:r w:rsidR="00792AB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врах</w:t>
      </w:r>
      <w:r w:rsidR="00792AB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овувати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тяжк</w:t>
      </w:r>
      <w:r w:rsidR="00792AB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ість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смертн</w:t>
      </w:r>
      <w:r w:rsidR="00792ABE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ість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та/або ризик не</w:t>
      </w:r>
      <w:r w:rsidR="00227084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об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оротних наслідків інфекційного захворювання, як</w:t>
      </w:r>
      <w:r w:rsidR="00792ABE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е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04222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слід </w:t>
      </w:r>
      <w:r w:rsidR="00792ABE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попередити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, а також надійн</w:t>
      </w:r>
      <w:r w:rsidR="00792ABE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ість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аналізів для визначення імунної відповіді при виборі меж </w:t>
      </w:r>
      <w:r w:rsidRPr="005B57BF">
        <w:rPr>
          <w:rFonts w:ascii="Times New Roman" w:hAnsi="Times New Roman" w:cs="Times New Roman"/>
          <w:sz w:val="28"/>
          <w:szCs w:val="28"/>
        </w:rPr>
        <w:t>не меншої ефективності</w:t>
      </w:r>
      <w:r w:rsidR="005B57BF" w:rsidRPr="005B57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B57BF" w:rsidRPr="005B57BF">
        <w:rPr>
          <w:rFonts w:ascii="Times New Roman" w:hAnsi="Times New Roman" w:cs="Times New Roman"/>
          <w:sz w:val="28"/>
          <w:szCs w:val="28"/>
        </w:rPr>
        <w:t>non-inferiority</w:t>
      </w:r>
      <w:proofErr w:type="spellEnd"/>
      <w:r w:rsidR="005B57BF" w:rsidRPr="005B57BF">
        <w:rPr>
          <w:rFonts w:ascii="Times New Roman" w:hAnsi="Times New Roman" w:cs="Times New Roman"/>
          <w:sz w:val="28"/>
          <w:szCs w:val="28"/>
        </w:rPr>
        <w:t>)</w:t>
      </w:r>
      <w:r w:rsidR="005B57BF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27084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й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оцінки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невідповідності клінічних результатів попередньо визначеним критеріям. У 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випробуваннях, </w:t>
      </w:r>
      <w:r w:rsidR="00227084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яких порівнюють вакцини-кандидати </w:t>
      </w:r>
      <w:r w:rsidR="00227084"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5B57B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зареєстровані вакцини,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що містять антигени різної кількості підтипів одного і того ж організму, </w:t>
      </w:r>
      <w:r w:rsidR="0098499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враховується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інтерпретаці</w:t>
      </w:r>
      <w:r w:rsidR="0098499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імунн</w:t>
      </w:r>
      <w:r w:rsidR="0098499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ої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відповід</w:t>
      </w:r>
      <w:r w:rsidR="0098499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 </w:t>
      </w:r>
      <w:r w:rsidR="00113B61" w:rsidRPr="00713A14">
        <w:rPr>
          <w:rFonts w:ascii="Times New Roman" w:hAnsi="Times New Roman" w:cs="Times New Roman"/>
          <w:sz w:val="28"/>
          <w:szCs w:val="28"/>
        </w:rPr>
        <w:t>різні</w:t>
      </w:r>
      <w:r w:rsidR="00AD6729" w:rsidRPr="00713A14">
        <w:rPr>
          <w:rFonts w:ascii="Times New Roman" w:hAnsi="Times New Roman" w:cs="Times New Roman"/>
          <w:sz w:val="28"/>
          <w:szCs w:val="28"/>
        </w:rPr>
        <w:t xml:space="preserve"> </w:t>
      </w:r>
      <w:r w:rsidR="005B57BF" w:rsidRPr="00713A1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B57BF" w:rsidRPr="00713A14">
        <w:rPr>
          <w:rFonts w:ascii="Times New Roman" w:hAnsi="Times New Roman" w:cs="Times New Roman"/>
          <w:sz w:val="28"/>
          <w:szCs w:val="28"/>
        </w:rPr>
        <w:t>non-shared</w:t>
      </w:r>
      <w:proofErr w:type="spellEnd"/>
      <w:r w:rsidR="005B57BF" w:rsidRPr="00713A14">
        <w:rPr>
          <w:rFonts w:ascii="Times New Roman" w:hAnsi="Times New Roman" w:cs="Times New Roman"/>
          <w:sz w:val="28"/>
          <w:szCs w:val="28"/>
        </w:rPr>
        <w:t>)</w:t>
      </w:r>
      <w:r w:rsidR="00713A14">
        <w:rPr>
          <w:rFonts w:ascii="Times New Roman" w:hAnsi="Times New Roman" w:cs="Times New Roman"/>
          <w:sz w:val="28"/>
          <w:szCs w:val="28"/>
        </w:rPr>
        <w:t xml:space="preserve"> </w:t>
      </w:r>
      <w:r w:rsidRPr="00713A14">
        <w:rPr>
          <w:rFonts w:ascii="Times New Roman" w:hAnsi="Times New Roman" w:cs="Times New Roman"/>
          <w:sz w:val="28"/>
          <w:szCs w:val="28"/>
        </w:rPr>
        <w:t>підтипи</w:t>
      </w:r>
      <w:r w:rsidRPr="00B02BAD">
        <w:rPr>
          <w:rStyle w:val="ad"/>
          <w:rFonts w:ascii="Times New Roman" w:hAnsi="Times New Roman" w:cs="Times New Roman"/>
          <w:sz w:val="28"/>
          <w:szCs w:val="28"/>
        </w:rPr>
        <w:t xml:space="preserve">. </w:t>
      </w:r>
    </w:p>
    <w:p w14:paraId="33B6A993" w14:textId="0618A18F" w:rsidR="00896EAB" w:rsidRPr="00B02BAD" w:rsidRDefault="00896EAB" w:rsidP="00896EAB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Настанова також </w:t>
      </w:r>
      <w:r w:rsidR="00407B1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розглядає питання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щодо дизайну випробувань </w:t>
      </w:r>
      <w:r w:rsidRPr="00FB64A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ефективності вакцин, </w:t>
      </w:r>
      <w:r w:rsidR="00BF2FCD" w:rsidRPr="00FB64AC">
        <w:rPr>
          <w:rStyle w:val="ad"/>
          <w:rFonts w:ascii="Times New Roman" w:hAnsi="Times New Roman" w:cs="Times New Roman"/>
          <w:i w:val="0"/>
          <w:sz w:val="28"/>
          <w:szCs w:val="28"/>
        </w:rPr>
        <w:t>зокрема</w:t>
      </w:r>
      <w:r w:rsidRPr="00FB64A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вибір відповідних контрольних груп за різних обставин. Крім того, </w:t>
      </w:r>
      <w:proofErr w:type="spellStart"/>
      <w:r w:rsidRPr="00FB64AC">
        <w:rPr>
          <w:rStyle w:val="ad"/>
          <w:rFonts w:ascii="Times New Roman" w:hAnsi="Times New Roman" w:cs="Times New Roman"/>
          <w:i w:val="0"/>
          <w:sz w:val="28"/>
          <w:szCs w:val="28"/>
        </w:rPr>
        <w:t>переглянуто</w:t>
      </w:r>
      <w:proofErr w:type="spellEnd"/>
      <w:r w:rsidRPr="00FB64A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роль спонсорів у наданні </w:t>
      </w:r>
      <w:r w:rsidR="00BF2FCD" w:rsidRPr="00FB64AC">
        <w:rPr>
          <w:rStyle w:val="ad"/>
          <w:rFonts w:ascii="Times New Roman" w:hAnsi="Times New Roman" w:cs="Times New Roman"/>
          <w:i w:val="0"/>
          <w:sz w:val="28"/>
          <w:szCs w:val="28"/>
        </w:rPr>
        <w:t>інформації</w:t>
      </w:r>
      <w:r w:rsidRPr="00FB64A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про дієвість вакцин у </w:t>
      </w:r>
      <w:proofErr w:type="spellStart"/>
      <w:r w:rsidRPr="00FB64AC">
        <w:rPr>
          <w:rStyle w:val="ad"/>
          <w:rFonts w:ascii="Times New Roman" w:hAnsi="Times New Roman" w:cs="Times New Roman"/>
          <w:i w:val="0"/>
          <w:sz w:val="28"/>
          <w:szCs w:val="28"/>
        </w:rPr>
        <w:t>післяреєстраційний</w:t>
      </w:r>
      <w:proofErr w:type="spellEnd"/>
      <w:r w:rsidRPr="00FB64A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період</w:t>
      </w:r>
      <w:r w:rsidR="00635082" w:rsidRPr="00FB64A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огляду на те</w:t>
      </w:r>
      <w:r w:rsidRPr="00FB64AC">
        <w:rPr>
          <w:rStyle w:val="ad"/>
          <w:rFonts w:ascii="Times New Roman" w:hAnsi="Times New Roman" w:cs="Times New Roman"/>
          <w:i w:val="0"/>
          <w:sz w:val="28"/>
          <w:szCs w:val="28"/>
        </w:rPr>
        <w:t>, що дослідження ефективності зазвичай проводять органи охорони здоров’я.</w:t>
      </w:r>
    </w:p>
    <w:p w14:paraId="01942C3F" w14:textId="480E9E42" w:rsidR="00896EAB" w:rsidRPr="00B02BAD" w:rsidRDefault="00896EAB" w:rsidP="00896EAB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Існують деякі особливі </w:t>
      </w:r>
      <w:r w:rsidR="00251DF8"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>аспекти</w:t>
      </w:r>
      <w:r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оцінки безпеки вакцин</w:t>
      </w:r>
      <w:r w:rsidR="00C533B8"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533B8"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під час </w:t>
      </w:r>
      <w:r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>клінічних випробуван</w:t>
      </w:r>
      <w:r w:rsidR="00C533B8"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>ь</w:t>
      </w:r>
      <w:r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251DF8"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>зокрема</w:t>
      </w:r>
      <w:r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параметри, які </w:t>
      </w:r>
      <w:r w:rsidR="00C533B8"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>мають</w:t>
      </w:r>
      <w:r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бути задокументовані в конкретних вікових підгрупах. У настанові </w:t>
      </w:r>
      <w:r w:rsidR="00251DF8"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>наведено</w:t>
      </w:r>
      <w:r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загальні міркування </w:t>
      </w:r>
      <w:r w:rsidR="00193160"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>про</w:t>
      </w:r>
      <w:r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533B8"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>розмір</w:t>
      </w:r>
      <w:r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бази </w:t>
      </w:r>
      <w:proofErr w:type="spellStart"/>
      <w:r w:rsidR="008C6457"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>дореєстраційних</w:t>
      </w:r>
      <w:proofErr w:type="spellEnd"/>
      <w:r w:rsidR="008C6457"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даних з безпеки, </w:t>
      </w:r>
      <w:r w:rsidR="00193160"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>наприклад щодо</w:t>
      </w:r>
      <w:r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93160"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>конструкції</w:t>
      </w:r>
      <w:r w:rsidRPr="00C51F3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вакцини та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використання антигенів або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адʼювантів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які раніше не входили до складу зареєстрованих вакцин.</w:t>
      </w:r>
    </w:p>
    <w:p w14:paraId="2C721713" w14:textId="77777777" w:rsidR="00B162C4" w:rsidRPr="00B02BAD" w:rsidRDefault="00B162C4" w:rsidP="00156779">
      <w:pPr>
        <w:pStyle w:val="1"/>
        <w:numPr>
          <w:ilvl w:val="0"/>
          <w:numId w:val="3"/>
        </w:numPr>
        <w:ind w:left="567" w:hanging="567"/>
      </w:pPr>
      <w:r w:rsidRPr="00B02BAD">
        <w:lastRenderedPageBreak/>
        <w:t xml:space="preserve">СФЕРА ДІЇ </w:t>
      </w:r>
    </w:p>
    <w:p w14:paraId="2FEBF17F" w14:textId="1683A66A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Ця настанова </w:t>
      </w:r>
      <w:r w:rsidR="00525B3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акцентує увагу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 клінічній розробці вакцин, де вакцини визначаються як лікарські засоби, призначені для профілактики,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постконтактної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профілактики та/або лікування захворювань, спричинених інфекційним збудник</w:t>
      </w:r>
      <w:r w:rsidR="007E233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ом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які містять антиген(и) </w:t>
      </w:r>
      <w:r w:rsidR="00751668" w:rsidRPr="00C37005">
        <w:rPr>
          <w:rStyle w:val="ad"/>
          <w:rFonts w:ascii="Times New Roman" w:hAnsi="Times New Roman" w:cs="Times New Roman"/>
          <w:i w:val="0"/>
          <w:sz w:val="28"/>
          <w:szCs w:val="28"/>
        </w:rPr>
        <w:t>чи</w:t>
      </w:r>
      <w:r w:rsidRPr="00C3700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генетичну інформацію про антиген(и), біологічного або штучного походження, що індукують специфічну імунну відповідь проти збудника(</w:t>
      </w:r>
      <w:proofErr w:type="spellStart"/>
      <w:r w:rsidRPr="00C37005">
        <w:rPr>
          <w:rStyle w:val="ad"/>
          <w:rFonts w:ascii="Times New Roman" w:hAnsi="Times New Roman" w:cs="Times New Roman"/>
          <w:i w:val="0"/>
          <w:sz w:val="28"/>
          <w:szCs w:val="28"/>
        </w:rPr>
        <w:t>ів</w:t>
      </w:r>
      <w:proofErr w:type="spellEnd"/>
      <w:r w:rsidRPr="00C3700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інфекційного </w:t>
      </w:r>
      <w:proofErr w:type="spellStart"/>
      <w:r w:rsidR="007E2332" w:rsidRPr="00C37005">
        <w:rPr>
          <w:rStyle w:val="ad"/>
          <w:rFonts w:ascii="Times New Roman" w:hAnsi="Times New Roman" w:cs="Times New Roman"/>
          <w:i w:val="0"/>
          <w:sz w:val="28"/>
          <w:szCs w:val="28"/>
        </w:rPr>
        <w:t>агента</w:t>
      </w:r>
      <w:proofErr w:type="spellEnd"/>
      <w:r w:rsidR="007E2332" w:rsidRPr="00C37005">
        <w:rPr>
          <w:rStyle w:val="ad"/>
          <w:rFonts w:ascii="Times New Roman" w:hAnsi="Times New Roman" w:cs="Times New Roman"/>
          <w:i w:val="0"/>
          <w:sz w:val="28"/>
          <w:szCs w:val="28"/>
        </w:rPr>
        <w:t>(</w:t>
      </w:r>
      <w:proofErr w:type="spellStart"/>
      <w:r w:rsidR="007E2332" w:rsidRPr="00C37005">
        <w:rPr>
          <w:rStyle w:val="ad"/>
          <w:rFonts w:ascii="Times New Roman" w:hAnsi="Times New Roman" w:cs="Times New Roman"/>
          <w:i w:val="0"/>
          <w:sz w:val="28"/>
          <w:szCs w:val="28"/>
        </w:rPr>
        <w:t>ів</w:t>
      </w:r>
      <w:proofErr w:type="spellEnd"/>
      <w:r w:rsidR="007E2332" w:rsidRPr="00C3700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</w:t>
      </w:r>
      <w:r w:rsidR="00751668" w:rsidRPr="00C37005">
        <w:rPr>
          <w:rStyle w:val="ad"/>
          <w:rFonts w:ascii="Times New Roman" w:hAnsi="Times New Roman" w:cs="Times New Roman"/>
          <w:i w:val="0"/>
          <w:sz w:val="28"/>
          <w:szCs w:val="28"/>
        </w:rPr>
        <w:t>чи</w:t>
      </w:r>
      <w:r w:rsidRPr="00C3700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його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токсинів. </w:t>
      </w:r>
    </w:p>
    <w:p w14:paraId="099C5FF5" w14:textId="77777777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Настанова стосується вакцин, </w:t>
      </w:r>
      <w:r w:rsidR="00525B3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що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містять один або декілька компонентів:</w:t>
      </w:r>
    </w:p>
    <w:p w14:paraId="4F19E86C" w14:textId="7214D63B" w:rsidR="00896EAB" w:rsidRPr="00C37005" w:rsidRDefault="00896EAB" w:rsidP="00156779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організми, які були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інактивовані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хімічними </w:t>
      </w:r>
      <w:r w:rsidR="00751668" w:rsidRPr="00C37005">
        <w:rPr>
          <w:rStyle w:val="ad"/>
          <w:rFonts w:ascii="Times New Roman" w:hAnsi="Times New Roman" w:cs="Times New Roman"/>
          <w:i w:val="0"/>
          <w:sz w:val="28"/>
          <w:szCs w:val="28"/>
        </w:rPr>
        <w:t>чи</w:t>
      </w:r>
      <w:r w:rsidRPr="00C3700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фізичними засобами;</w:t>
      </w:r>
    </w:p>
    <w:p w14:paraId="2FF65216" w14:textId="67A999B6" w:rsidR="00896EAB" w:rsidRPr="00B02BAD" w:rsidRDefault="00896EAB" w:rsidP="00156779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C3700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живі організми, які </w:t>
      </w:r>
      <w:r w:rsidR="007C1FDB" w:rsidRPr="00C37005">
        <w:rPr>
          <w:rStyle w:val="ad"/>
          <w:rFonts w:ascii="Times New Roman" w:hAnsi="Times New Roman" w:cs="Times New Roman"/>
          <w:i w:val="0"/>
          <w:sz w:val="28"/>
          <w:szCs w:val="28"/>
        </w:rPr>
        <w:t>природно</w:t>
      </w:r>
      <w:r w:rsidRPr="00C3700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не є вірулентн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ими для людини або були оброблені чи генетично модифіковані для</w:t>
      </w:r>
      <w:r w:rsidR="004D638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D638C" w:rsidRPr="00AB3152">
        <w:rPr>
          <w:rStyle w:val="ad"/>
          <w:rFonts w:ascii="Times New Roman" w:hAnsi="Times New Roman" w:cs="Times New Roman"/>
          <w:i w:val="0"/>
          <w:sz w:val="28"/>
          <w:szCs w:val="28"/>
        </w:rPr>
        <w:t>зниження</w:t>
      </w:r>
      <w:r w:rsidRPr="00AB315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ї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хньої вірулентності;</w:t>
      </w:r>
    </w:p>
    <w:p w14:paraId="17B7E5DE" w14:textId="62BCA5D5" w:rsidR="00896EAB" w:rsidRPr="00B02BAD" w:rsidRDefault="00896EAB" w:rsidP="00156779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антигени, виділені </w:t>
      </w:r>
      <w:r w:rsidR="004D638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 </w:t>
      </w:r>
      <w:r w:rsidR="0018466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збудників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або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секретовані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ними, які можуть використовуватися в природному стані,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детоксиковані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C1FD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хімічними </w:t>
      </w:r>
      <w:r w:rsidR="000C1497" w:rsidRPr="00C37005">
        <w:rPr>
          <w:rStyle w:val="ad"/>
          <w:rFonts w:ascii="Times New Roman" w:hAnsi="Times New Roman" w:cs="Times New Roman"/>
          <w:i w:val="0"/>
          <w:sz w:val="28"/>
          <w:szCs w:val="28"/>
        </w:rPr>
        <w:t>чи</w:t>
      </w:r>
      <w:r w:rsidR="007C1FD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фізичними методами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агреговані, полімеризовані або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конʼюговані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носієм для підвищення </w:t>
      </w:r>
      <w:r w:rsidRPr="00C37005">
        <w:rPr>
          <w:rStyle w:val="ad"/>
          <w:rFonts w:ascii="Times New Roman" w:hAnsi="Times New Roman" w:cs="Times New Roman"/>
          <w:i w:val="0"/>
          <w:sz w:val="28"/>
          <w:szCs w:val="28"/>
        </w:rPr>
        <w:t>їх</w:t>
      </w:r>
      <w:r w:rsidR="000C1497" w:rsidRPr="00C37005">
        <w:rPr>
          <w:rStyle w:val="ad"/>
          <w:rFonts w:ascii="Times New Roman" w:hAnsi="Times New Roman" w:cs="Times New Roman"/>
          <w:i w:val="0"/>
          <w:sz w:val="28"/>
          <w:szCs w:val="28"/>
        </w:rPr>
        <w:t>ньої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імуногенності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;</w:t>
      </w:r>
    </w:p>
    <w:p w14:paraId="04FA4141" w14:textId="77777777" w:rsidR="00896EAB" w:rsidRPr="00B02BAD" w:rsidRDefault="00896EAB" w:rsidP="00156779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антигени, отримані </w:t>
      </w:r>
      <w:r w:rsidR="007C1FD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методом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генної інженерії або хімічного синтезу;</w:t>
      </w:r>
    </w:p>
    <w:p w14:paraId="0FA618A8" w14:textId="2BCC05FA" w:rsidR="00896EAB" w:rsidRPr="00B02BAD" w:rsidRDefault="00896EAB" w:rsidP="00156779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живі бактеріальні </w:t>
      </w:r>
      <w:r w:rsidR="000C1497" w:rsidRPr="00C37005">
        <w:rPr>
          <w:rStyle w:val="ad"/>
          <w:rFonts w:ascii="Times New Roman" w:hAnsi="Times New Roman" w:cs="Times New Roman"/>
          <w:i w:val="0"/>
          <w:sz w:val="28"/>
          <w:szCs w:val="28"/>
        </w:rPr>
        <w:t>чи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вірусні векторні вакцини, що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експресують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чужорідні антигени;</w:t>
      </w:r>
    </w:p>
    <w:p w14:paraId="720CA7CA" w14:textId="45C77A57" w:rsidR="00896EAB" w:rsidRPr="00B02BAD" w:rsidRDefault="00896EAB" w:rsidP="00156779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нуклеїнов</w:t>
      </w:r>
      <w:r w:rsidR="007A5D5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кислот</w:t>
      </w:r>
      <w:r w:rsidR="007A5D5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0C1497" w:rsidRPr="00C37005">
        <w:rPr>
          <w:rStyle w:val="ad"/>
          <w:rFonts w:ascii="Times New Roman" w:hAnsi="Times New Roman" w:cs="Times New Roman"/>
          <w:i w:val="0"/>
          <w:sz w:val="28"/>
          <w:szCs w:val="28"/>
        </w:rPr>
        <w:t>зокрема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плазміди, </w:t>
      </w:r>
      <w:r w:rsidR="007C1FD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створені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для експресії специфічних антигенів.</w:t>
      </w:r>
    </w:p>
    <w:p w14:paraId="6A8DEA83" w14:textId="3A995BFC" w:rsidR="00896EAB" w:rsidRPr="00B02BAD" w:rsidRDefault="00E75D89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 настанові </w:t>
      </w:r>
      <w:r w:rsidRPr="00C37005">
        <w:rPr>
          <w:rStyle w:val="ad"/>
          <w:rFonts w:ascii="Times New Roman" w:hAnsi="Times New Roman" w:cs="Times New Roman"/>
          <w:i w:val="0"/>
          <w:sz w:val="28"/>
          <w:szCs w:val="28"/>
        </w:rPr>
        <w:t>розгля</w:t>
      </w:r>
      <w:r w:rsidR="000C1497" w:rsidRPr="00C37005">
        <w:rPr>
          <w:rStyle w:val="ad"/>
          <w:rFonts w:ascii="Times New Roman" w:hAnsi="Times New Roman" w:cs="Times New Roman"/>
          <w:i w:val="0"/>
          <w:sz w:val="28"/>
          <w:szCs w:val="28"/>
        </w:rPr>
        <w:t>нуто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програми клінічних розробок для підтримки </w:t>
      </w:r>
      <w:r w:rsidR="00FA053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схвалення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вакцин-кандидатів (тобто незареєстрованих вакцин), </w:t>
      </w:r>
      <w:r w:rsidR="00FA053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 </w:t>
      </w:r>
      <w:proofErr w:type="spellStart"/>
      <w:r w:rsidR="00FA053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ад’ювантом</w:t>
      </w:r>
      <w:proofErr w:type="spellEnd"/>
      <w:r w:rsidR="00FA053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або без </w:t>
      </w:r>
      <w:proofErr w:type="spellStart"/>
      <w:r w:rsidR="00FA053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ад’юванту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а також для підтримки модифікацій вакцин у </w:t>
      </w:r>
      <w:proofErr w:type="spellStart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післяреєстраційний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період (наприклад, зміни </w:t>
      </w:r>
      <w:r w:rsidR="007A4AED" w:rsidRPr="00C37005">
        <w:rPr>
          <w:rStyle w:val="ad"/>
          <w:rFonts w:ascii="Times New Roman" w:hAnsi="Times New Roman" w:cs="Times New Roman"/>
          <w:i w:val="0"/>
          <w:sz w:val="28"/>
          <w:szCs w:val="28"/>
        </w:rPr>
        <w:t>чи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доповнення до </w:t>
      </w:r>
      <w:r w:rsidR="00985BC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дозування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вікового діапазону для </w:t>
      </w:r>
      <w:r w:rsidR="00985BC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використання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або рекомендацій щодо супутньої вакцинації).</w:t>
      </w:r>
    </w:p>
    <w:p w14:paraId="616AA6CA" w14:textId="77777777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Настанова стосується випробувань для документування безпеки,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імуногенності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та/або ефективності вакцин. У ній розглядаються ситуації, в яких вимагається або не вимагається демонстрація ефективності вакцини, дизайн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>дореєстраційних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випробувань для оцінки ефективності вакцини та оцінка дієвості вакцини у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післяреєстраційний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період.</w:t>
      </w:r>
    </w:p>
    <w:p w14:paraId="538D6F3E" w14:textId="4C525242" w:rsidR="009306FD" w:rsidRPr="00B02BAD" w:rsidRDefault="009306FD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Настанова також розглядає докази, які можуть бути отримані </w:t>
      </w:r>
      <w:r w:rsidR="006E6A6E" w:rsidRPr="0000230D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Pr="0000230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567CB" w:rsidRPr="0000230D">
        <w:rPr>
          <w:rStyle w:val="ad"/>
          <w:rFonts w:ascii="Times New Roman" w:hAnsi="Times New Roman" w:cs="Times New Roman"/>
          <w:i w:val="0"/>
          <w:sz w:val="28"/>
          <w:szCs w:val="28"/>
        </w:rPr>
        <w:t>до</w:t>
      </w:r>
      <w:r w:rsidRPr="0000230D">
        <w:rPr>
          <w:rStyle w:val="ad"/>
          <w:rFonts w:ascii="Times New Roman" w:hAnsi="Times New Roman" w:cs="Times New Roman"/>
          <w:i w:val="0"/>
          <w:sz w:val="28"/>
          <w:szCs w:val="28"/>
        </w:rPr>
        <w:t>клінічних</w:t>
      </w:r>
      <w:proofErr w:type="spellEnd"/>
      <w:r w:rsidRPr="0000230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досліджен</w:t>
      </w:r>
      <w:r w:rsidR="006E6A6E" w:rsidRPr="0000230D">
        <w:rPr>
          <w:rStyle w:val="ad"/>
          <w:rFonts w:ascii="Times New Roman" w:hAnsi="Times New Roman" w:cs="Times New Roman"/>
          <w:i w:val="0"/>
          <w:sz w:val="28"/>
          <w:szCs w:val="28"/>
        </w:rPr>
        <w:t>нях, метою яких є підтвердження</w:t>
      </w:r>
      <w:r w:rsidRPr="0000230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ефективності вакцин,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але не </w:t>
      </w:r>
      <w:r w:rsidR="00485EA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враховує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інші види </w:t>
      </w:r>
      <w:proofErr w:type="spellStart"/>
      <w:r w:rsidR="00E567C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доклінічних</w:t>
      </w:r>
      <w:proofErr w:type="spellEnd"/>
      <w:r w:rsidR="00E567C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досліджень. Вони </w:t>
      </w:r>
      <w:r w:rsidR="00485EA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описані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 інших </w:t>
      </w:r>
      <w:r w:rsidR="00485EA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керівництвах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що стосуються вакцин.</w:t>
      </w:r>
    </w:p>
    <w:p w14:paraId="73F191E2" w14:textId="0084FEAE" w:rsidR="00896EAB" w:rsidRPr="00B02BAD" w:rsidRDefault="00896EAB" w:rsidP="000A527A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2BAD">
        <w:rPr>
          <w:rFonts w:ascii="Times New Roman" w:hAnsi="Times New Roman" w:cs="Times New Roman"/>
          <w:sz w:val="28"/>
          <w:szCs w:val="28"/>
        </w:rPr>
        <w:t xml:space="preserve">Клінічні </w:t>
      </w:r>
      <w:proofErr w:type="spellStart"/>
      <w:r w:rsidRPr="00B02BAD">
        <w:rPr>
          <w:rFonts w:ascii="Times New Roman" w:hAnsi="Times New Roman" w:cs="Times New Roman"/>
          <w:sz w:val="28"/>
          <w:szCs w:val="28"/>
        </w:rPr>
        <w:t>фармакокінетичні</w:t>
      </w:r>
      <w:proofErr w:type="spellEnd"/>
      <w:r w:rsidRPr="00B02BAD">
        <w:rPr>
          <w:rFonts w:ascii="Times New Roman" w:hAnsi="Times New Roman" w:cs="Times New Roman"/>
          <w:sz w:val="28"/>
          <w:szCs w:val="28"/>
        </w:rPr>
        <w:t xml:space="preserve"> дослідження не розглядаються в цій настанові, </w:t>
      </w:r>
      <w:r w:rsidRPr="009E6114">
        <w:rPr>
          <w:rFonts w:ascii="Times New Roman" w:hAnsi="Times New Roman" w:cs="Times New Roman"/>
          <w:sz w:val="28"/>
          <w:szCs w:val="28"/>
        </w:rPr>
        <w:t xml:space="preserve">оскільки вони не є </w:t>
      </w:r>
      <w:proofErr w:type="spellStart"/>
      <w:r w:rsidRPr="009E6114">
        <w:rPr>
          <w:rFonts w:ascii="Times New Roman" w:hAnsi="Times New Roman" w:cs="Times New Roman"/>
          <w:sz w:val="28"/>
          <w:szCs w:val="28"/>
        </w:rPr>
        <w:t>обовʼязковими</w:t>
      </w:r>
      <w:proofErr w:type="spellEnd"/>
      <w:r w:rsidRPr="009E6114">
        <w:rPr>
          <w:rFonts w:ascii="Times New Roman" w:hAnsi="Times New Roman" w:cs="Times New Roman"/>
          <w:sz w:val="28"/>
          <w:szCs w:val="28"/>
        </w:rPr>
        <w:t xml:space="preserve"> для вакцин. </w:t>
      </w:r>
      <w:r w:rsidR="006E6A6E" w:rsidRPr="009E6114">
        <w:rPr>
          <w:rFonts w:ascii="Times New Roman" w:hAnsi="Times New Roman" w:cs="Times New Roman"/>
          <w:sz w:val="28"/>
          <w:szCs w:val="28"/>
        </w:rPr>
        <w:t>Водночас</w:t>
      </w:r>
      <w:r w:rsidR="004924CA" w:rsidRPr="009E611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567CB" w:rsidRPr="009E6114">
        <w:rPr>
          <w:rStyle w:val="ad"/>
          <w:rFonts w:ascii="Times New Roman" w:hAnsi="Times New Roman" w:cs="Times New Roman"/>
          <w:i w:val="0"/>
          <w:sz w:val="28"/>
          <w:szCs w:val="28"/>
        </w:rPr>
        <w:t>доклінічні</w:t>
      </w:r>
      <w:proofErr w:type="spellEnd"/>
      <w:r w:rsidR="00E567CB" w:rsidRPr="009E611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9E6114">
        <w:rPr>
          <w:rFonts w:ascii="Times New Roman" w:hAnsi="Times New Roman" w:cs="Times New Roman"/>
          <w:sz w:val="28"/>
          <w:szCs w:val="28"/>
        </w:rPr>
        <w:t>фармакокінетичні</w:t>
      </w:r>
      <w:proofErr w:type="spellEnd"/>
      <w:r w:rsidRPr="009E6114">
        <w:rPr>
          <w:rFonts w:ascii="Times New Roman" w:hAnsi="Times New Roman" w:cs="Times New Roman"/>
          <w:sz w:val="28"/>
          <w:szCs w:val="28"/>
        </w:rPr>
        <w:t xml:space="preserve"> дослідження мож</w:t>
      </w:r>
      <w:r w:rsidR="006E6A6E" w:rsidRPr="009E6114">
        <w:rPr>
          <w:rFonts w:ascii="Times New Roman" w:hAnsi="Times New Roman" w:cs="Times New Roman"/>
          <w:sz w:val="28"/>
          <w:szCs w:val="28"/>
        </w:rPr>
        <w:t>на</w:t>
      </w:r>
      <w:r w:rsidRPr="009E6114">
        <w:rPr>
          <w:rFonts w:ascii="Times New Roman" w:hAnsi="Times New Roman" w:cs="Times New Roman"/>
          <w:sz w:val="28"/>
          <w:szCs w:val="28"/>
        </w:rPr>
        <w:t xml:space="preserve"> </w:t>
      </w:r>
      <w:r w:rsidR="000010E8" w:rsidRPr="009E6114">
        <w:rPr>
          <w:rFonts w:ascii="Times New Roman" w:hAnsi="Times New Roman" w:cs="Times New Roman"/>
          <w:sz w:val="28"/>
          <w:szCs w:val="28"/>
        </w:rPr>
        <w:t xml:space="preserve">застосовувати у </w:t>
      </w:r>
      <w:r w:rsidR="006E6A6E" w:rsidRPr="009E6114">
        <w:rPr>
          <w:rFonts w:ascii="Times New Roman" w:hAnsi="Times New Roman" w:cs="Times New Roman"/>
          <w:sz w:val="28"/>
          <w:szCs w:val="28"/>
        </w:rPr>
        <w:t>разі</w:t>
      </w:r>
      <w:r w:rsidRPr="009E6114">
        <w:rPr>
          <w:rFonts w:ascii="Times New Roman" w:hAnsi="Times New Roman" w:cs="Times New Roman"/>
          <w:sz w:val="28"/>
          <w:szCs w:val="28"/>
        </w:rPr>
        <w:t xml:space="preserve"> використ</w:t>
      </w:r>
      <w:r w:rsidR="000010E8" w:rsidRPr="009E6114">
        <w:rPr>
          <w:rFonts w:ascii="Times New Roman" w:hAnsi="Times New Roman" w:cs="Times New Roman"/>
          <w:sz w:val="28"/>
          <w:szCs w:val="28"/>
        </w:rPr>
        <w:t>ання</w:t>
      </w:r>
      <w:r w:rsidRPr="009E6114">
        <w:rPr>
          <w:rFonts w:ascii="Times New Roman" w:hAnsi="Times New Roman" w:cs="Times New Roman"/>
          <w:sz w:val="28"/>
          <w:szCs w:val="28"/>
        </w:rPr>
        <w:t xml:space="preserve"> нов</w:t>
      </w:r>
      <w:r w:rsidR="000010E8" w:rsidRPr="009E6114">
        <w:rPr>
          <w:rFonts w:ascii="Times New Roman" w:hAnsi="Times New Roman" w:cs="Times New Roman"/>
          <w:sz w:val="28"/>
          <w:szCs w:val="28"/>
        </w:rPr>
        <w:t>их</w:t>
      </w:r>
      <w:r w:rsidR="000010E8" w:rsidRPr="00B02BAD">
        <w:rPr>
          <w:rFonts w:ascii="Times New Roman" w:hAnsi="Times New Roman" w:cs="Times New Roman"/>
          <w:sz w:val="28"/>
          <w:szCs w:val="28"/>
        </w:rPr>
        <w:t xml:space="preserve"> способів</w:t>
      </w:r>
      <w:r w:rsidRPr="00B02BAD">
        <w:rPr>
          <w:rFonts w:ascii="Times New Roman" w:hAnsi="Times New Roman" w:cs="Times New Roman"/>
          <w:sz w:val="28"/>
          <w:szCs w:val="28"/>
        </w:rPr>
        <w:t xml:space="preserve"> введення вакцини або </w:t>
      </w:r>
      <w:r w:rsidR="000010E8" w:rsidRPr="00B02BAD">
        <w:rPr>
          <w:rFonts w:ascii="Times New Roman" w:hAnsi="Times New Roman" w:cs="Times New Roman"/>
          <w:sz w:val="28"/>
          <w:szCs w:val="28"/>
        </w:rPr>
        <w:t xml:space="preserve">включення до складу </w:t>
      </w:r>
      <w:r w:rsidRPr="00B02BAD">
        <w:rPr>
          <w:rFonts w:ascii="Times New Roman" w:hAnsi="Times New Roman" w:cs="Times New Roman"/>
          <w:sz w:val="28"/>
          <w:szCs w:val="28"/>
        </w:rPr>
        <w:t>вакцин</w:t>
      </w:r>
      <w:r w:rsidR="000010E8" w:rsidRPr="00B02BAD">
        <w:rPr>
          <w:rFonts w:ascii="Times New Roman" w:hAnsi="Times New Roman" w:cs="Times New Roman"/>
          <w:sz w:val="28"/>
          <w:szCs w:val="28"/>
        </w:rPr>
        <w:t>и</w:t>
      </w:r>
      <w:r w:rsidRPr="00B02BAD">
        <w:rPr>
          <w:rFonts w:ascii="Times New Roman" w:hAnsi="Times New Roman" w:cs="Times New Roman"/>
          <w:sz w:val="28"/>
          <w:szCs w:val="28"/>
        </w:rPr>
        <w:t xml:space="preserve"> нов</w:t>
      </w:r>
      <w:r w:rsidR="000010E8" w:rsidRPr="00B02BAD">
        <w:rPr>
          <w:rFonts w:ascii="Times New Roman" w:hAnsi="Times New Roman" w:cs="Times New Roman"/>
          <w:sz w:val="28"/>
          <w:szCs w:val="28"/>
        </w:rPr>
        <w:t>их</w:t>
      </w:r>
      <w:r w:rsidRPr="00B02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BAD">
        <w:rPr>
          <w:rFonts w:ascii="Times New Roman" w:hAnsi="Times New Roman" w:cs="Times New Roman"/>
          <w:sz w:val="28"/>
          <w:szCs w:val="28"/>
        </w:rPr>
        <w:t>адʼювант</w:t>
      </w:r>
      <w:r w:rsidR="000010E8" w:rsidRPr="00B02BAD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B02BAD">
        <w:rPr>
          <w:rFonts w:ascii="Times New Roman" w:hAnsi="Times New Roman" w:cs="Times New Roman"/>
          <w:sz w:val="28"/>
          <w:szCs w:val="28"/>
        </w:rPr>
        <w:t xml:space="preserve"> чи допоміжн</w:t>
      </w:r>
      <w:r w:rsidR="000010E8" w:rsidRPr="00B02BAD">
        <w:rPr>
          <w:rFonts w:ascii="Times New Roman" w:hAnsi="Times New Roman" w:cs="Times New Roman"/>
          <w:sz w:val="28"/>
          <w:szCs w:val="28"/>
        </w:rPr>
        <w:t>их</w:t>
      </w:r>
      <w:r w:rsidR="004924CA" w:rsidRPr="00B02BAD">
        <w:rPr>
          <w:rFonts w:ascii="Times New Roman" w:hAnsi="Times New Roman" w:cs="Times New Roman"/>
          <w:sz w:val="28"/>
          <w:szCs w:val="28"/>
        </w:rPr>
        <w:t xml:space="preserve"> речовин</w:t>
      </w:r>
      <w:r w:rsidRPr="00B02B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768EAE" w14:textId="1DB23004" w:rsidR="00896EAB" w:rsidRPr="00B02BAD" w:rsidRDefault="008302DF" w:rsidP="000A52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6114">
        <w:rPr>
          <w:rFonts w:ascii="Times New Roman" w:hAnsi="Times New Roman" w:cs="Times New Roman"/>
          <w:sz w:val="28"/>
          <w:szCs w:val="28"/>
        </w:rPr>
        <w:t>Ф</w:t>
      </w:r>
      <w:r w:rsidR="00896EAB" w:rsidRPr="009E6114">
        <w:rPr>
          <w:rFonts w:ascii="Times New Roman" w:hAnsi="Times New Roman" w:cs="Times New Roman"/>
          <w:sz w:val="28"/>
          <w:szCs w:val="28"/>
        </w:rPr>
        <w:t>армакодинамічні</w:t>
      </w:r>
      <w:proofErr w:type="spellEnd"/>
      <w:r w:rsidR="00896EAB" w:rsidRPr="009E6114">
        <w:rPr>
          <w:rFonts w:ascii="Times New Roman" w:hAnsi="Times New Roman" w:cs="Times New Roman"/>
          <w:sz w:val="28"/>
          <w:szCs w:val="28"/>
        </w:rPr>
        <w:t xml:space="preserve"> дослідження </w:t>
      </w:r>
      <w:r w:rsidRPr="009E6114">
        <w:rPr>
          <w:rFonts w:ascii="Times New Roman" w:hAnsi="Times New Roman" w:cs="Times New Roman"/>
          <w:sz w:val="28"/>
          <w:szCs w:val="28"/>
        </w:rPr>
        <w:t xml:space="preserve">вакцин </w:t>
      </w:r>
      <w:r w:rsidR="00896EAB" w:rsidRPr="009E6114">
        <w:rPr>
          <w:rFonts w:ascii="Times New Roman" w:hAnsi="Times New Roman" w:cs="Times New Roman"/>
          <w:sz w:val="28"/>
          <w:szCs w:val="28"/>
        </w:rPr>
        <w:t xml:space="preserve">включають дослідження </w:t>
      </w:r>
      <w:proofErr w:type="spellStart"/>
      <w:r w:rsidR="00896EAB" w:rsidRPr="009E6114">
        <w:rPr>
          <w:rFonts w:ascii="Times New Roman" w:hAnsi="Times New Roman" w:cs="Times New Roman"/>
          <w:sz w:val="28"/>
          <w:szCs w:val="28"/>
        </w:rPr>
        <w:t>імуногенності</w:t>
      </w:r>
      <w:proofErr w:type="spellEnd"/>
      <w:r w:rsidR="00896EAB" w:rsidRPr="009E6114">
        <w:rPr>
          <w:rFonts w:ascii="Times New Roman" w:hAnsi="Times New Roman" w:cs="Times New Roman"/>
          <w:sz w:val="28"/>
          <w:szCs w:val="28"/>
        </w:rPr>
        <w:t xml:space="preserve">, які </w:t>
      </w:r>
      <w:r w:rsidRPr="009E6114">
        <w:rPr>
          <w:rFonts w:ascii="Times New Roman" w:hAnsi="Times New Roman" w:cs="Times New Roman"/>
          <w:sz w:val="28"/>
          <w:szCs w:val="28"/>
        </w:rPr>
        <w:t>вивчають</w:t>
      </w:r>
      <w:r w:rsidR="00896EAB" w:rsidRPr="009E6114">
        <w:rPr>
          <w:rFonts w:ascii="Times New Roman" w:hAnsi="Times New Roman" w:cs="Times New Roman"/>
          <w:sz w:val="28"/>
          <w:szCs w:val="28"/>
        </w:rPr>
        <w:t xml:space="preserve"> імунну відповідь на вакцину, </w:t>
      </w:r>
      <w:r w:rsidRPr="009E6114">
        <w:rPr>
          <w:rFonts w:ascii="Times New Roman" w:hAnsi="Times New Roman" w:cs="Times New Roman"/>
          <w:sz w:val="28"/>
          <w:szCs w:val="28"/>
        </w:rPr>
        <w:t xml:space="preserve">про </w:t>
      </w:r>
      <w:r w:rsidR="000010E8" w:rsidRPr="009E6114">
        <w:rPr>
          <w:rFonts w:ascii="Times New Roman" w:hAnsi="Times New Roman" w:cs="Times New Roman"/>
          <w:sz w:val="28"/>
          <w:szCs w:val="28"/>
        </w:rPr>
        <w:t xml:space="preserve">що </w:t>
      </w:r>
      <w:r w:rsidRPr="009E6114">
        <w:rPr>
          <w:rFonts w:ascii="Times New Roman" w:hAnsi="Times New Roman" w:cs="Times New Roman"/>
          <w:sz w:val="28"/>
          <w:szCs w:val="28"/>
        </w:rPr>
        <w:t>йдеться</w:t>
      </w:r>
      <w:r w:rsidR="000010E8" w:rsidRPr="009E6114">
        <w:rPr>
          <w:rFonts w:ascii="Times New Roman" w:hAnsi="Times New Roman" w:cs="Times New Roman"/>
          <w:sz w:val="28"/>
          <w:szCs w:val="28"/>
        </w:rPr>
        <w:t xml:space="preserve"> в</w:t>
      </w:r>
      <w:r w:rsidR="000010E8" w:rsidRPr="00B02BAD">
        <w:rPr>
          <w:rFonts w:ascii="Times New Roman" w:hAnsi="Times New Roman" w:cs="Times New Roman"/>
          <w:sz w:val="28"/>
          <w:szCs w:val="28"/>
        </w:rPr>
        <w:t xml:space="preserve"> розділі 3</w:t>
      </w:r>
      <w:r w:rsidR="00896EAB" w:rsidRPr="00B02BAD">
        <w:rPr>
          <w:rFonts w:ascii="Times New Roman" w:hAnsi="Times New Roman" w:cs="Times New Roman"/>
          <w:sz w:val="28"/>
          <w:szCs w:val="28"/>
        </w:rPr>
        <w:t>.</w:t>
      </w:r>
    </w:p>
    <w:p w14:paraId="004C5B31" w14:textId="3FFBCC1C" w:rsidR="00896EAB" w:rsidRPr="00B02BAD" w:rsidRDefault="00896EAB" w:rsidP="000A52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2BAD">
        <w:rPr>
          <w:rFonts w:ascii="Times New Roman" w:hAnsi="Times New Roman" w:cs="Times New Roman"/>
          <w:sz w:val="28"/>
          <w:szCs w:val="28"/>
        </w:rPr>
        <w:t>Фармаконагляд</w:t>
      </w:r>
      <w:proofErr w:type="spellEnd"/>
      <w:r w:rsidRPr="00B02BAD">
        <w:rPr>
          <w:rFonts w:ascii="Times New Roman" w:hAnsi="Times New Roman" w:cs="Times New Roman"/>
          <w:sz w:val="28"/>
          <w:szCs w:val="28"/>
        </w:rPr>
        <w:t xml:space="preserve"> за вакцинами не розглядається в цій настанові, оскільки </w:t>
      </w:r>
      <w:r w:rsidRPr="009E6114">
        <w:rPr>
          <w:rFonts w:ascii="Times New Roman" w:hAnsi="Times New Roman" w:cs="Times New Roman"/>
          <w:sz w:val="28"/>
          <w:szCs w:val="28"/>
        </w:rPr>
        <w:t>він детально розглядається в окремому керівництві CHMP</w:t>
      </w:r>
      <w:r w:rsidR="000705F3" w:rsidRPr="009E61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705F3" w:rsidRPr="009E6114">
        <w:rPr>
          <w:rFonts w:ascii="Times New Roman" w:hAnsi="Times New Roman" w:cs="Times New Roman"/>
          <w:i/>
          <w:iCs/>
          <w:sz w:val="28"/>
          <w:szCs w:val="28"/>
        </w:rPr>
        <w:t>англ</w:t>
      </w:r>
      <w:proofErr w:type="spellEnd"/>
      <w:r w:rsidR="000705F3" w:rsidRPr="009E611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705F3" w:rsidRPr="009E6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5F3" w:rsidRPr="009E6114">
        <w:rPr>
          <w:rFonts w:ascii="Times New Roman" w:hAnsi="Times New Roman" w:cs="Times New Roman"/>
          <w:sz w:val="28"/>
          <w:szCs w:val="28"/>
        </w:rPr>
        <w:t>Committee</w:t>
      </w:r>
      <w:proofErr w:type="spellEnd"/>
      <w:r w:rsidR="000705F3" w:rsidRPr="009E6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5F3" w:rsidRPr="009E611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0705F3" w:rsidRPr="009E6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5F3" w:rsidRPr="009E6114">
        <w:rPr>
          <w:rFonts w:ascii="Times New Roman" w:hAnsi="Times New Roman" w:cs="Times New Roman"/>
          <w:sz w:val="28"/>
          <w:szCs w:val="28"/>
        </w:rPr>
        <w:t>Medicinal</w:t>
      </w:r>
      <w:proofErr w:type="spellEnd"/>
      <w:r w:rsidR="000705F3" w:rsidRPr="009E6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5F3" w:rsidRPr="009E6114">
        <w:rPr>
          <w:rFonts w:ascii="Times New Roman" w:hAnsi="Times New Roman" w:cs="Times New Roman"/>
          <w:sz w:val="28"/>
          <w:szCs w:val="28"/>
        </w:rPr>
        <w:t>Products</w:t>
      </w:r>
      <w:proofErr w:type="spellEnd"/>
      <w:r w:rsidR="000705F3" w:rsidRPr="009E6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5F3" w:rsidRPr="009E611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0705F3" w:rsidRPr="009E6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5F3" w:rsidRPr="009E6114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="000705F3" w:rsidRPr="009E6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5F3" w:rsidRPr="009E6114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="000705F3" w:rsidRPr="009E6114">
        <w:rPr>
          <w:rFonts w:ascii="Times New Roman" w:hAnsi="Times New Roman" w:cs="Times New Roman"/>
          <w:sz w:val="28"/>
          <w:szCs w:val="28"/>
        </w:rPr>
        <w:t xml:space="preserve"> — Комітет з лікарських засобів для людини)</w:t>
      </w:r>
      <w:r w:rsidRPr="009E6114">
        <w:rPr>
          <w:rFonts w:ascii="Times New Roman" w:hAnsi="Times New Roman" w:cs="Times New Roman"/>
          <w:sz w:val="28"/>
          <w:szCs w:val="28"/>
        </w:rPr>
        <w:t>.</w:t>
      </w:r>
    </w:p>
    <w:p w14:paraId="0C532033" w14:textId="77777777" w:rsidR="007A5D50" w:rsidRPr="00B02BAD" w:rsidRDefault="007A5D50" w:rsidP="000A527A">
      <w:pPr>
        <w:spacing w:after="0" w:line="360" w:lineRule="auto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</w:p>
    <w:p w14:paraId="6C06FD3F" w14:textId="77777777" w:rsidR="00896EAB" w:rsidRPr="00B02BAD" w:rsidRDefault="00896EAB" w:rsidP="000A527A">
      <w:pPr>
        <w:spacing w:after="0" w:line="360" w:lineRule="auto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3. ІМУНОГЕННІСТЬ</w:t>
      </w:r>
    </w:p>
    <w:p w14:paraId="632E555B" w14:textId="77777777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38D8251" w14:textId="77777777" w:rsidR="00896EAB" w:rsidRPr="00B02BAD" w:rsidRDefault="00896EAB" w:rsidP="000A527A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bookmarkStart w:id="2" w:name="_bookmark5"/>
      <w:bookmarkEnd w:id="2"/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3.1</w:t>
      </w:r>
      <w:r w:rsidR="00A15587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.</w:t>
      </w: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 Характеристика імунної відповіді</w:t>
      </w:r>
    </w:p>
    <w:p w14:paraId="66CD135F" w14:textId="77777777" w:rsidR="00FB65A8" w:rsidRPr="00B02BAD" w:rsidRDefault="00FB65A8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646D1B52" w14:textId="1CA592A3" w:rsidR="00896EAB" w:rsidRPr="00B02BAD" w:rsidRDefault="00FB65A8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>Для кожного антигенного компонента вакцини-кандидата</w:t>
      </w:r>
      <w:r w:rsidR="00912198"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>залежно від доступної інформації про імунн</w:t>
      </w:r>
      <w:r w:rsidR="00912198"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відповід</w:t>
      </w:r>
      <w:r w:rsidR="00912198"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>ь</w:t>
      </w:r>
      <w:r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 </w:t>
      </w:r>
      <w:r w:rsidR="00912198"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>ті самі</w:t>
      </w:r>
      <w:r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чи подібні антигенні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компоненти в </w:t>
      </w:r>
      <w:r w:rsidR="00896EAB"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>зареєстрованих вакцин</w:t>
      </w:r>
      <w:r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>ах</w:t>
      </w:r>
      <w:r w:rsidR="00896EAB"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912198"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>визначення</w:t>
      </w:r>
      <w:r w:rsidR="00896EAB"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імунної відповіді </w:t>
      </w:r>
      <w:r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 сироватці, плазмі, цільній крові, </w:t>
      </w:r>
      <w:proofErr w:type="spellStart"/>
      <w:r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>мононуклеарних</w:t>
      </w:r>
      <w:proofErr w:type="spellEnd"/>
      <w:r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клітинах </w:t>
      </w:r>
      <w:r w:rsidR="00896EAB"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>периферичної крові</w:t>
      </w:r>
      <w:r w:rsidR="000A527A"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або іноді в іншому біологічному матеріалі (наприклад, мазки з носа, змиви з носа, зразки слизових оболонок) може включати </w:t>
      </w:r>
      <w:r w:rsidR="00912198"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>такі</w:t>
      </w:r>
      <w:r w:rsidR="00896EAB"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досліджен</w:t>
      </w:r>
      <w:r w:rsidR="00912198"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>ня</w:t>
      </w:r>
      <w:r w:rsidR="00896EAB"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>:</w:t>
      </w:r>
    </w:p>
    <w:p w14:paraId="48BE03A3" w14:textId="5EFD898A" w:rsidR="00896EAB" w:rsidRPr="00B02BAD" w:rsidRDefault="003121CD" w:rsidP="00156779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851" w:hanging="851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вимірювання функціональних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антитіл (наприклад, </w:t>
      </w:r>
      <w:proofErr w:type="spellStart"/>
      <w:r w:rsidR="00896EAB"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>нейтралізу</w:t>
      </w:r>
      <w:r w:rsidR="00912198"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>вальн</w:t>
      </w:r>
      <w:r w:rsidRPr="00F25731">
        <w:rPr>
          <w:rStyle w:val="ad"/>
          <w:rFonts w:ascii="Times New Roman" w:hAnsi="Times New Roman" w:cs="Times New Roman"/>
          <w:i w:val="0"/>
          <w:sz w:val="28"/>
          <w:szCs w:val="28"/>
        </w:rPr>
        <w:t>их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антитіл, бактерицидної активності або </w:t>
      </w:r>
      <w:proofErr w:type="spellStart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опсонофагоцитарної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активності)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та/або </w:t>
      </w:r>
      <w:r w:rsidR="00BE4CDE" w:rsidRPr="00AB3152">
        <w:rPr>
          <w:rStyle w:val="ad"/>
          <w:rFonts w:ascii="Times New Roman" w:hAnsi="Times New Roman" w:cs="Times New Roman"/>
          <w:i w:val="0"/>
          <w:sz w:val="28"/>
          <w:szCs w:val="28"/>
        </w:rPr>
        <w:t>зв’язувальних</w:t>
      </w:r>
      <w:r w:rsidR="00896EAB" w:rsidRPr="00AB315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антитіл (наприклад, </w:t>
      </w:r>
      <w:r w:rsidR="000F565B" w:rsidRPr="00AB315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загальний рівень </w:t>
      </w:r>
      <w:proofErr w:type="spellStart"/>
      <w:r w:rsidR="000F565B" w:rsidRPr="00AB3152">
        <w:rPr>
          <w:rStyle w:val="ad"/>
          <w:rFonts w:ascii="Times New Roman" w:hAnsi="Times New Roman" w:cs="Times New Roman"/>
          <w:i w:val="0"/>
          <w:sz w:val="28"/>
          <w:szCs w:val="28"/>
        </w:rPr>
        <w:t>звʼязу</w:t>
      </w:r>
      <w:r w:rsidR="00BE4CDE" w:rsidRPr="00AB3152">
        <w:rPr>
          <w:rStyle w:val="ad"/>
          <w:rFonts w:ascii="Times New Roman" w:hAnsi="Times New Roman" w:cs="Times New Roman"/>
          <w:i w:val="0"/>
          <w:sz w:val="28"/>
          <w:szCs w:val="28"/>
        </w:rPr>
        <w:t>вальн</w:t>
      </w:r>
      <w:r w:rsidR="000F565B" w:rsidRPr="00AB3152">
        <w:rPr>
          <w:rStyle w:val="ad"/>
          <w:rFonts w:ascii="Times New Roman" w:hAnsi="Times New Roman" w:cs="Times New Roman"/>
          <w:i w:val="0"/>
          <w:sz w:val="28"/>
          <w:szCs w:val="28"/>
        </w:rPr>
        <w:t>их</w:t>
      </w:r>
      <w:proofErr w:type="spellEnd"/>
      <w:r w:rsidR="000F565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IgG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IgA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підкласів </w:t>
      </w:r>
      <w:proofErr w:type="spellStart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Ig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); </w:t>
      </w:r>
    </w:p>
    <w:p w14:paraId="3C9E5ECE" w14:textId="77777777" w:rsidR="00896EAB" w:rsidRPr="00B02BAD" w:rsidRDefault="00896EAB" w:rsidP="00156779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851" w:hanging="851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опис кінетики імунної відповіді (наприклад, час досягнення пікових рівнів антитіл та крива розпаду антитіл);</w:t>
      </w:r>
    </w:p>
    <w:p w14:paraId="22A7CF77" w14:textId="77777777" w:rsidR="00896EAB" w:rsidRPr="00B02BAD" w:rsidRDefault="00896EAB" w:rsidP="00156779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851" w:hanging="851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індукція імунної </w:t>
      </w:r>
      <w:r w:rsidR="000F565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пам’яті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;</w:t>
      </w:r>
    </w:p>
    <w:p w14:paraId="1ACEDEC6" w14:textId="77777777" w:rsidR="00896EAB" w:rsidRPr="00B02BAD" w:rsidRDefault="00896EAB" w:rsidP="00156779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851" w:hanging="851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дослідження імунологічних факторів, які можуть впли</w:t>
      </w:r>
      <w:r w:rsidR="000F565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ти на гуморальну імунну відповідь (наприклад, рів</w:t>
      </w:r>
      <w:r w:rsidR="000F565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антитіл до вакцинації</w:t>
      </w:r>
      <w:r w:rsidR="000F565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що є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F565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результатом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попере</w:t>
      </w:r>
      <w:r w:rsidR="00D1727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дньої вакцинації та/або природн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ого впливу);</w:t>
      </w:r>
    </w:p>
    <w:p w14:paraId="0D4523E8" w14:textId="2B9AD55A" w:rsidR="00896EAB" w:rsidRPr="00B02BAD" w:rsidRDefault="000F565B" w:rsidP="00156779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851" w:hanging="851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оцінка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перехресно-реактивного антитіла (наприклад, антитіл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що виникає внаслідок дії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антиген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що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перехресно реагує з антигеном(</w:t>
      </w:r>
      <w:proofErr w:type="spellStart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ами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одного </w:t>
      </w:r>
      <w:r w:rsidR="00BE4CDE" w:rsidRPr="004D20FD">
        <w:rPr>
          <w:rStyle w:val="ad"/>
          <w:rFonts w:ascii="Times New Roman" w:hAnsi="Times New Roman" w:cs="Times New Roman"/>
          <w:i w:val="0"/>
          <w:sz w:val="28"/>
          <w:szCs w:val="28"/>
        </w:rPr>
        <w:t>чи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декількох інших видів або підтипів в межах одного виду);</w:t>
      </w:r>
    </w:p>
    <w:p w14:paraId="307F23D2" w14:textId="6DEA64A2" w:rsidR="00896EAB" w:rsidRPr="004D20FD" w:rsidRDefault="00896EAB" w:rsidP="00156779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851" w:hanging="851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оцінк</w:t>
      </w:r>
      <w:r w:rsidR="00E567C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перехресного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праймінгу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(наприклад, здатність одного антиге</w:t>
      </w:r>
      <w:r w:rsidR="000F565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ну викликати імунну пам’ять </w:t>
      </w:r>
      <w:r w:rsidR="0067214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на</w:t>
      </w:r>
      <w:r w:rsidR="000F565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інш</w:t>
      </w:r>
      <w:r w:rsidR="0067214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ий</w:t>
      </w:r>
      <w:r w:rsidR="000F565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F565B" w:rsidRPr="004D20FD">
        <w:rPr>
          <w:rStyle w:val="ad"/>
          <w:rFonts w:ascii="Times New Roman" w:hAnsi="Times New Roman" w:cs="Times New Roman"/>
          <w:i w:val="0"/>
          <w:sz w:val="28"/>
          <w:szCs w:val="28"/>
        </w:rPr>
        <w:t>антиген</w:t>
      </w:r>
      <w:r w:rsidR="00BF12A4" w:rsidRPr="004D20FD">
        <w:rPr>
          <w:rStyle w:val="ad"/>
          <w:rFonts w:ascii="Times New Roman" w:hAnsi="Times New Roman" w:cs="Times New Roman"/>
          <w:i w:val="0"/>
          <w:sz w:val="28"/>
          <w:szCs w:val="28"/>
          <w:lang w:val="ru-RU"/>
        </w:rPr>
        <w:t>[</w:t>
      </w:r>
      <w:r w:rsidR="00893CC7" w:rsidRPr="004D20FD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="00BF12A4" w:rsidRPr="004D20FD">
        <w:rPr>
          <w:rStyle w:val="ad"/>
          <w:rFonts w:ascii="Times New Roman" w:hAnsi="Times New Roman" w:cs="Times New Roman"/>
          <w:i w:val="0"/>
          <w:sz w:val="28"/>
          <w:szCs w:val="28"/>
          <w:lang w:val="ru-RU"/>
        </w:rPr>
        <w:t>]</w:t>
      </w:r>
      <w:r w:rsidRPr="004D20FD">
        <w:rPr>
          <w:rStyle w:val="ad"/>
          <w:rFonts w:ascii="Times New Roman" w:hAnsi="Times New Roman" w:cs="Times New Roman"/>
          <w:i w:val="0"/>
          <w:sz w:val="28"/>
          <w:szCs w:val="28"/>
        </w:rPr>
        <w:t>);</w:t>
      </w:r>
    </w:p>
    <w:p w14:paraId="188DED08" w14:textId="49B921AD" w:rsidR="00896EAB" w:rsidRPr="00B02BAD" w:rsidRDefault="00896EAB" w:rsidP="00156779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851" w:hanging="851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оцінка </w:t>
      </w:r>
      <w:proofErr w:type="spellStart"/>
      <w:r w:rsidRPr="00EF23BD">
        <w:rPr>
          <w:rStyle w:val="ad"/>
          <w:rFonts w:ascii="Times New Roman" w:hAnsi="Times New Roman" w:cs="Times New Roman"/>
          <w:i w:val="0"/>
          <w:sz w:val="28"/>
          <w:szCs w:val="28"/>
        </w:rPr>
        <w:t>клітинно</w:t>
      </w:r>
      <w:proofErr w:type="spellEnd"/>
      <w:r w:rsidRPr="00EF23BD">
        <w:rPr>
          <w:rStyle w:val="ad"/>
          <w:rFonts w:ascii="Times New Roman" w:hAnsi="Times New Roman" w:cs="Times New Roman"/>
          <w:i w:val="0"/>
          <w:sz w:val="28"/>
          <w:szCs w:val="28"/>
        </w:rPr>
        <w:t>-опосередкованого імун</w:t>
      </w:r>
      <w:r w:rsidR="00EF23BD" w:rsidRPr="00EF23BD">
        <w:rPr>
          <w:rStyle w:val="ad"/>
          <w:rFonts w:ascii="Times New Roman" w:hAnsi="Times New Roman" w:cs="Times New Roman"/>
          <w:i w:val="0"/>
          <w:sz w:val="28"/>
          <w:szCs w:val="28"/>
        </w:rPr>
        <w:t>ітету</w:t>
      </w:r>
      <w:r w:rsidR="00BF12A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B315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(СМІ)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імунної відповіді (наприклад, шляхом </w:t>
      </w:r>
      <w:r w:rsidRPr="00E569D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визначення </w:t>
      </w:r>
      <w:r w:rsidR="00BF12A4" w:rsidRPr="00E569DE">
        <w:rPr>
          <w:rStyle w:val="ad"/>
          <w:rFonts w:ascii="Times New Roman" w:hAnsi="Times New Roman" w:cs="Times New Roman"/>
          <w:i w:val="0"/>
          <w:sz w:val="28"/>
          <w:szCs w:val="28"/>
        </w:rPr>
        <w:t>кількості</w:t>
      </w:r>
      <w:r w:rsidR="00BF12A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Т-кліт</w:t>
      </w:r>
      <w:r w:rsidR="001C648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ин, специфічних для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вакцинного антигену(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ів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) та/або антигенів, отриманих з організмів</w:t>
      </w:r>
      <w:r w:rsidR="001C648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дикого типу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02BAD">
        <w:rPr>
          <w:rStyle w:val="ad"/>
          <w:rFonts w:ascii="Times New Roman" w:hAnsi="Times New Roman" w:cs="Times New Roman"/>
          <w:sz w:val="28"/>
          <w:szCs w:val="28"/>
        </w:rPr>
        <w:t>in</w:t>
      </w:r>
      <w:proofErr w:type="spellEnd"/>
      <w:r w:rsidRPr="00B02BAD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BAD">
        <w:rPr>
          <w:rStyle w:val="ad"/>
          <w:rFonts w:ascii="Times New Roman" w:hAnsi="Times New Roman" w:cs="Times New Roman"/>
          <w:sz w:val="28"/>
          <w:szCs w:val="28"/>
        </w:rPr>
        <w:t>vitro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C03010" w:rsidRPr="004D20FD">
        <w:rPr>
          <w:rStyle w:val="ad"/>
          <w:rFonts w:ascii="Times New Roman" w:hAnsi="Times New Roman" w:cs="Times New Roman"/>
          <w:i w:val="0"/>
          <w:sz w:val="28"/>
          <w:szCs w:val="28"/>
        </w:rPr>
        <w:t>через</w:t>
      </w:r>
      <w:r w:rsidRPr="004D20F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прям</w:t>
      </w:r>
      <w:r w:rsidR="00C03010" w:rsidRPr="004D20FD">
        <w:rPr>
          <w:rStyle w:val="ad"/>
          <w:rFonts w:ascii="Times New Roman" w:hAnsi="Times New Roman" w:cs="Times New Roman"/>
          <w:i w:val="0"/>
          <w:sz w:val="28"/>
          <w:szCs w:val="28"/>
        </w:rPr>
        <w:t>е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C648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маркування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або на основі вивільнення цитокінів);</w:t>
      </w:r>
    </w:p>
    <w:p w14:paraId="17CB1929" w14:textId="7E3DAE61" w:rsidR="00896EAB" w:rsidRPr="00B02BAD" w:rsidRDefault="00896EAB" w:rsidP="00156779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851" w:hanging="851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дослідження кореляції між профілями експресії цитокінів або генів (наприклад, вроджен</w:t>
      </w:r>
      <w:r w:rsidR="003C4BC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імунн</w:t>
      </w:r>
      <w:r w:rsidR="003C4BC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або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плазм</w:t>
      </w:r>
      <w:r w:rsidR="003C4BC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оклітинні</w:t>
      </w:r>
      <w:proofErr w:type="spellEnd"/>
      <w:r w:rsidR="003C4BC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сигнатури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</w:t>
      </w:r>
      <w:r w:rsidR="00C03010" w:rsidRPr="004D20FD">
        <w:rPr>
          <w:rStyle w:val="ad"/>
          <w:rFonts w:ascii="Times New Roman" w:hAnsi="Times New Roman" w:cs="Times New Roman"/>
          <w:i w:val="0"/>
          <w:sz w:val="28"/>
          <w:szCs w:val="28"/>
        </w:rPr>
        <w:t>й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імунним корелятом захисту, рівнями антитіл або клінічними </w:t>
      </w:r>
      <w:r w:rsidR="003C4BC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явищами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такими як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імуноопосередковані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C4BC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побічні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ефекти.</w:t>
      </w:r>
    </w:p>
    <w:p w14:paraId="6590F7C9" w14:textId="77777777" w:rsidR="00313F75" w:rsidRPr="00B02BAD" w:rsidRDefault="001B52EA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Якщо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можливо, бажано, щоб кожен </w:t>
      </w:r>
      <w:r w:rsidR="004D638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імун</w:t>
      </w:r>
      <w:r w:rsidR="008A340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ний</w:t>
      </w:r>
      <w:r w:rsidR="004D638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A340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параметр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визначався в одній центральній лабораторії і щоб одні й ті ж лабораторії використовувалися впродовж усієї програми клінічних випробувань. Якщо це неможливо, в реєстраційному досьє необхідно вказати потенційний вплив </w:t>
      </w:r>
      <w:proofErr w:type="spellStart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міжлабораторної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варіабельності на результати і висновки клінічних випробувань.</w:t>
      </w:r>
      <w:r w:rsidR="000A527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057EB536" w14:textId="55AB071A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 протоколах </w:t>
      </w:r>
      <w:r w:rsidR="001F0EDD" w:rsidRPr="004D20FD">
        <w:rPr>
          <w:rStyle w:val="ad"/>
          <w:rFonts w:ascii="Times New Roman" w:hAnsi="Times New Roman" w:cs="Times New Roman"/>
          <w:i w:val="0"/>
          <w:sz w:val="28"/>
          <w:szCs w:val="28"/>
        </w:rPr>
        <w:t>слід вказати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аналізи, які будуть використовуватися для оцінки </w:t>
      </w:r>
      <w:r w:rsidR="004D638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імун</w:t>
      </w:r>
      <w:r w:rsidR="008A340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них параметрів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Аналізи, що використовуються у </w:t>
      </w:r>
      <w:r w:rsidR="002F118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базових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випробуваннях для вимірювання </w:t>
      </w:r>
      <w:r w:rsidR="008A340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імунних </w:t>
      </w:r>
      <w:r w:rsidR="002F118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параметрів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BD3C9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що слугують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як первинні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та/або основні вторинні кінцеві точки, повинні бути повністю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валідовані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Якщо існує прийнятий на міжнародному рівні референтний аналіз, будь-які зміни в методології референтного аналізу, що </w:t>
      </w:r>
      <w:r w:rsidR="001F0EDD" w:rsidRPr="004D20F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їх </w:t>
      </w:r>
      <w:r w:rsidRPr="004D20FD">
        <w:rPr>
          <w:rStyle w:val="ad"/>
          <w:rFonts w:ascii="Times New Roman" w:hAnsi="Times New Roman" w:cs="Times New Roman"/>
          <w:i w:val="0"/>
          <w:sz w:val="28"/>
          <w:szCs w:val="28"/>
        </w:rPr>
        <w:t>внос</w:t>
      </w:r>
      <w:r w:rsidR="001F0EDD" w:rsidRPr="004D20FD">
        <w:rPr>
          <w:rStyle w:val="ad"/>
          <w:rFonts w:ascii="Times New Roman" w:hAnsi="Times New Roman" w:cs="Times New Roman"/>
          <w:i w:val="0"/>
          <w:sz w:val="28"/>
          <w:szCs w:val="28"/>
        </w:rPr>
        <w:t>ить</w:t>
      </w:r>
      <w:r w:rsidRPr="004D20F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спонсор,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D3C9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мають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бути підтверджені </w:t>
      </w:r>
      <w:r w:rsidR="00BD3C9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додатковим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дослідженням. Аналізи повинні бути відкалібровані за </w:t>
      </w:r>
      <w:r w:rsidRPr="00264147">
        <w:rPr>
          <w:rStyle w:val="ad"/>
          <w:rFonts w:ascii="Times New Roman" w:hAnsi="Times New Roman" w:cs="Times New Roman"/>
          <w:i w:val="0"/>
          <w:sz w:val="28"/>
          <w:szCs w:val="28"/>
        </w:rPr>
        <w:t>відповідним</w:t>
      </w:r>
      <w:r w:rsidR="001F0EDD" w:rsidRPr="00264147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Pr="0026414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міжнародни</w:t>
      </w:r>
      <w:r w:rsidR="001F0EDD" w:rsidRPr="00264147">
        <w:rPr>
          <w:rStyle w:val="ad"/>
          <w:rFonts w:ascii="Times New Roman" w:hAnsi="Times New Roman" w:cs="Times New Roman"/>
          <w:i w:val="0"/>
          <w:sz w:val="28"/>
          <w:szCs w:val="28"/>
        </w:rPr>
        <w:t>м</w:t>
      </w:r>
      <w:r w:rsidRPr="00264147">
        <w:rPr>
          <w:rStyle w:val="ad"/>
          <w:rFonts w:ascii="Times New Roman" w:hAnsi="Times New Roman" w:cs="Times New Roman"/>
          <w:i w:val="0"/>
          <w:sz w:val="28"/>
          <w:szCs w:val="28"/>
        </w:rPr>
        <w:t>и стандартами, якщо такі існують. Якщо під час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програми клінічної розробки </w:t>
      </w:r>
      <w:r w:rsidRPr="00FA718E">
        <w:rPr>
          <w:rStyle w:val="ad"/>
          <w:rFonts w:ascii="Times New Roman" w:hAnsi="Times New Roman" w:cs="Times New Roman"/>
          <w:i w:val="0"/>
          <w:sz w:val="28"/>
          <w:szCs w:val="28"/>
        </w:rPr>
        <w:t>змін</w:t>
      </w:r>
      <w:r w:rsidR="001F0EDD" w:rsidRPr="00FA718E">
        <w:rPr>
          <w:rStyle w:val="ad"/>
          <w:rFonts w:ascii="Times New Roman" w:hAnsi="Times New Roman" w:cs="Times New Roman"/>
          <w:i w:val="0"/>
          <w:sz w:val="28"/>
          <w:szCs w:val="28"/>
        </w:rPr>
        <w:t>юється</w:t>
      </w:r>
      <w:r w:rsidRPr="00FA718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методологі</w:t>
      </w:r>
      <w:r w:rsidR="001F0EDD" w:rsidRPr="00FA718E">
        <w:rPr>
          <w:rStyle w:val="ad"/>
          <w:rFonts w:ascii="Times New Roman" w:hAnsi="Times New Roman" w:cs="Times New Roman"/>
          <w:i w:val="0"/>
          <w:sz w:val="28"/>
          <w:szCs w:val="28"/>
        </w:rPr>
        <w:t>я</w:t>
      </w:r>
      <w:r w:rsidRPr="00FA718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аналізу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необхідно </w:t>
      </w:r>
      <w:r w:rsidR="0037493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надати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дані, які підтверджують відсутність впливу на результати або </w:t>
      </w:r>
      <w:r w:rsidR="000B560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підтримують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B560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використання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</w:t>
      </w:r>
      <w:r w:rsidRPr="00FA718E">
        <w:rPr>
          <w:rStyle w:val="ad"/>
          <w:rFonts w:ascii="Times New Roman" w:hAnsi="Times New Roman" w:cs="Times New Roman"/>
          <w:i w:val="0"/>
          <w:sz w:val="28"/>
          <w:szCs w:val="28"/>
        </w:rPr>
        <w:t>оригу</w:t>
      </w:r>
      <w:r w:rsidR="001F0EDD" w:rsidRPr="00FA718E">
        <w:rPr>
          <w:rStyle w:val="ad"/>
          <w:rFonts w:ascii="Times New Roman" w:hAnsi="Times New Roman" w:cs="Times New Roman"/>
          <w:i w:val="0"/>
          <w:sz w:val="28"/>
          <w:szCs w:val="28"/>
        </w:rPr>
        <w:t>вальн</w:t>
      </w:r>
      <w:r w:rsidRPr="00FA718E">
        <w:rPr>
          <w:rStyle w:val="ad"/>
          <w:rFonts w:ascii="Times New Roman" w:hAnsi="Times New Roman" w:cs="Times New Roman"/>
          <w:i w:val="0"/>
          <w:sz w:val="28"/>
          <w:szCs w:val="28"/>
        </w:rPr>
        <w:t>ог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 коефіцієнта.</w:t>
      </w:r>
    </w:p>
    <w:p w14:paraId="68FA8E44" w14:textId="77777777" w:rsidR="00313F75" w:rsidRPr="00B02BAD" w:rsidRDefault="00313F75" w:rsidP="00A15587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bookmarkStart w:id="3" w:name="_bookmark6"/>
      <w:bookmarkEnd w:id="3"/>
    </w:p>
    <w:p w14:paraId="6F30A2A3" w14:textId="4EBE3BC8" w:rsidR="00896EAB" w:rsidRPr="00B02BAD" w:rsidRDefault="00896EAB" w:rsidP="00A15587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0952A8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3.2</w:t>
      </w:r>
      <w:r w:rsidR="00A40080" w:rsidRPr="000952A8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.</w:t>
      </w:r>
      <w:r w:rsidRPr="000952A8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 Імунні кореляти захисту</w:t>
      </w:r>
    </w:p>
    <w:p w14:paraId="37DC428C" w14:textId="77777777" w:rsidR="003C4BC9" w:rsidRPr="00B02BAD" w:rsidRDefault="003C4BC9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7F1CE1A" w14:textId="201AFCC4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У цій настанові імунний корелят захисту (</w:t>
      </w:r>
      <w:r w:rsidR="000952A8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визначається як тип та </w:t>
      </w:r>
      <w:r w:rsidR="00C332F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ступінь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імунологічної відповіді, що корелює з індукованим вакциною захистом від інфекційного захворювання і вважається </w:t>
      </w:r>
      <w:r w:rsidR="007F5F2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прогностичн</w:t>
      </w:r>
      <w:r w:rsidR="002B5E1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им</w:t>
      </w:r>
      <w:r w:rsidR="007F5F2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для клінічної ефективності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Широко визнані та добре </w:t>
      </w:r>
      <w:r w:rsidR="007F5F2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підтверджені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952A8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ICPs</w:t>
      </w:r>
      <w:r w:rsidR="000952A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існують для обмеженого кола інфекційних захворювань.</w:t>
      </w:r>
    </w:p>
    <w:p w14:paraId="327C7BBC" w14:textId="10DF0DC4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За відсутності встановленого </w:t>
      </w:r>
      <w:r w:rsidR="00D3131C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</w:t>
      </w:r>
      <w:r w:rsidR="00D3131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для конкретно</w:t>
      </w:r>
      <w:r w:rsidR="00DB646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го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інфекційно</w:t>
      </w:r>
      <w:r w:rsidR="00DB646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го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B646F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захворювання</w:t>
      </w:r>
      <w:r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C5B9B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слід</w:t>
      </w:r>
      <w:r w:rsidR="00DB646F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досліджувати </w:t>
      </w:r>
      <w:proofErr w:type="spellStart"/>
      <w:r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взаємозвʼязок</w:t>
      </w:r>
      <w:proofErr w:type="spellEnd"/>
      <w:r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між імунною відповіддю </w:t>
      </w:r>
      <w:r w:rsidR="00FC3741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захисною ефективністю (короткостроковою та/або довгостроковою)</w:t>
      </w:r>
      <w:r w:rsidR="00FC3741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B646F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як тільки виникає можливість</w:t>
      </w:r>
      <w:r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Наприклад, цей </w:t>
      </w:r>
      <w:proofErr w:type="spellStart"/>
      <w:r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взаємозвʼязок</w:t>
      </w:r>
      <w:proofErr w:type="spellEnd"/>
      <w:r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можна дослід</w:t>
      </w:r>
      <w:r w:rsidR="000C5B9B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жува</w:t>
      </w:r>
      <w:r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ти під час випробувань ефективності вакцини шляхом з</w:t>
      </w:r>
      <w:r w:rsidR="003903A2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бору сироваток</w:t>
      </w:r>
      <w:r w:rsidR="00DB646F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крові</w:t>
      </w:r>
      <w:r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 всіх або більшої частини </w:t>
      </w:r>
      <w:proofErr w:type="spellStart"/>
      <w:r w:rsidR="003903A2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субʼєктів</w:t>
      </w:r>
      <w:proofErr w:type="spellEnd"/>
      <w:r w:rsidR="003903A2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дослідження</w:t>
      </w:r>
      <w:r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</w:t>
      </w:r>
      <w:r w:rsidR="00DB646F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досліджуваної</w:t>
      </w:r>
      <w:r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та контрольної груп після за</w:t>
      </w:r>
      <w:r w:rsidR="00FC3741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стосування</w:t>
      </w:r>
      <w:r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призначеної схеми і порівняння імунних пар</w:t>
      </w:r>
      <w:r w:rsidR="000C5B9B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аметрів між тими</w:t>
      </w:r>
      <w:r w:rsidR="00FC3741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="003903A2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C5B9B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у кого розвивається</w:t>
      </w:r>
      <w:r w:rsidR="00FC3741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="000C5B9B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C3741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="000C5B9B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тими</w:t>
      </w:r>
      <w:r w:rsidR="00FC3741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="000C5B9B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 кого не розвивається</w:t>
      </w:r>
      <w:r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інфекційне захворювання, </w:t>
      </w:r>
      <w:r w:rsidR="00DB646F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яко</w:t>
      </w:r>
      <w:r w:rsidR="00121B98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му</w:t>
      </w:r>
      <w:r w:rsidR="00DB646F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21B98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треба</w:t>
      </w:r>
      <w:r w:rsidR="00DB646F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запобігти</w:t>
      </w:r>
      <w:r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. Повторний з</w:t>
      </w:r>
      <w:r w:rsidR="00DB646F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бір сироваток і визначення ефективності вакцини через певні проміжки часу (наприклад, щорічно) </w:t>
      </w:r>
      <w:r w:rsidR="00121B98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впродовж</w:t>
      </w:r>
      <w:r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подальшого спостереження також можуть бути використані для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виявлення </w:t>
      </w:r>
      <w:r w:rsidR="00B12750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6CA3AF4A" w14:textId="436D4D36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Крім того, якщо проведення випробування ефективності вакцини є неможливим (див. розділ 4.1) або якщо </w:t>
      </w:r>
      <w:r w:rsidR="00B12750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</w:t>
      </w:r>
      <w:r w:rsidR="00B1275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не був визначений за даними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випробування ефективності, можна отримати </w:t>
      </w:r>
      <w:r w:rsidR="00B12750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</w:t>
      </w:r>
      <w:r w:rsidR="00B1275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на осн</w:t>
      </w:r>
      <w:r w:rsidR="00627FE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ові </w:t>
      </w:r>
      <w:proofErr w:type="spellStart"/>
      <w:r w:rsidR="00627FE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</w:t>
      </w:r>
      <w:r w:rsidR="00627FE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спективного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дослідження </w:t>
      </w:r>
      <w:r w:rsidR="000C5B9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дієвості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вакцини (див. розділ 5). </w:t>
      </w:r>
      <w:r w:rsidR="00503169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Також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вказівку на імунний параметр, що має найбільше значення для захисту, а іноді і попередній </w:t>
      </w:r>
      <w:r w:rsidR="00B12750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</w:t>
      </w:r>
      <w:r w:rsidR="00B1275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можна от</w:t>
      </w:r>
      <w:r w:rsidR="000C5B9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римати з одного або декількох </w:t>
      </w:r>
      <w:proofErr w:type="spellStart"/>
      <w:r w:rsidR="000C5B9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клінічних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досліджень ефективності,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сероепідеміологічних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досліджень (тобто вивчення природного захисту) та випробувань </w:t>
      </w:r>
      <w:r w:rsidR="005E782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за участю людини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14:paraId="5E889B79" w14:textId="7AA02B79" w:rsidR="00896EAB" w:rsidRPr="00B02BAD" w:rsidRDefault="00B12750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не може застосовуватися поза межами вакцини та популяції, в якій він був ідентифікований. Наприклад, </w:t>
      </w:r>
      <w:r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проти </w:t>
      </w:r>
      <w:r w:rsidR="0075372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конкретного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інфекційного захворювання, що</w:t>
      </w:r>
      <w:r w:rsidR="0075372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ґрунтується на функціональній гуморальній імунній відповіді, не може застосовуватися до вакцин, призначених для п</w:t>
      </w:r>
      <w:r w:rsidR="002B5E1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рофілактики того ж </w:t>
      </w:r>
      <w:r w:rsidR="002B5E1A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захворювання</w:t>
      </w:r>
      <w:r w:rsidR="00097788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="00896EAB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які забезпечують захист за допомогою іншого імунного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механізму. Крім того, </w:t>
      </w:r>
      <w:r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отриманий в результаті </w:t>
      </w:r>
      <w:r w:rsidR="000C5B9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дослідження</w:t>
      </w:r>
      <w:r w:rsidR="005E782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ефективності у немовлят, не </w:t>
      </w:r>
      <w:r w:rsidR="002B5E1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обов’язково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може бути застосований до </w:t>
      </w:r>
      <w:r w:rsidR="00896EAB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дорослих</w:t>
      </w:r>
      <w:r w:rsidR="00097788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;</w:t>
      </w:r>
      <w:r w:rsidR="00896EAB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12750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встановлений для одного підтипу </w:t>
      </w:r>
      <w:r w:rsidR="00FC28A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збудника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не може бути застосований до всіх підтипів, а також не може бути застосований до всіх можливих шляхів введення одних і тих же антигенів.</w:t>
      </w:r>
    </w:p>
    <w:p w14:paraId="39C158E2" w14:textId="29B551CB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 деяких випадках неможливо визначити </w:t>
      </w:r>
      <w:r w:rsidR="00B12750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проте</w:t>
      </w:r>
      <w:r w:rsidR="0025381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дані клінічних випробувань можуть вказувати на порогове значення певного імунного параметра, як</w:t>
      </w:r>
      <w:r w:rsidR="0025381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ий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може слугувати для порівняння між вакцинами або групами населення (наприклад, щодо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серотип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-специфічного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IgG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викликаного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конʼюгованими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пневмококовими полісахаридами). Порогові значення можуть використовуватися як орієнтир</w:t>
      </w:r>
      <w:r w:rsidR="002005B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при інтерпретації імунологічних даних, отриманих в ході подальших випробувань певного типу вакцин.</w:t>
      </w:r>
    </w:p>
    <w:p w14:paraId="497BAD78" w14:textId="77777777" w:rsidR="00253814" w:rsidRPr="00B02BAD" w:rsidRDefault="00253814" w:rsidP="00B12750">
      <w:pPr>
        <w:spacing w:after="0" w:line="240" w:lineRule="auto"/>
        <w:jc w:val="both"/>
        <w:rPr>
          <w:rStyle w:val="ad"/>
          <w:rFonts w:ascii="Times New Roman" w:hAnsi="Times New Roman" w:cs="Times New Roman"/>
          <w:b/>
          <w:i w:val="0"/>
          <w:sz w:val="18"/>
          <w:szCs w:val="18"/>
        </w:rPr>
      </w:pPr>
      <w:bookmarkStart w:id="4" w:name="_bookmark7"/>
      <w:bookmarkEnd w:id="4"/>
    </w:p>
    <w:p w14:paraId="28BAA67E" w14:textId="3302AB87" w:rsidR="00896EAB" w:rsidRPr="00B02BAD" w:rsidRDefault="00896EAB" w:rsidP="00A15587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3.3</w:t>
      </w:r>
      <w:r w:rsidR="00A15587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.</w:t>
      </w: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 Дизайн порівняльних випробувань </w:t>
      </w:r>
      <w:proofErr w:type="spellStart"/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імуногенності</w:t>
      </w:r>
      <w:proofErr w:type="spellEnd"/>
    </w:p>
    <w:p w14:paraId="1B91F7B5" w14:textId="77777777" w:rsidR="000C5B9B" w:rsidRPr="00B02BAD" w:rsidRDefault="000C5B9B" w:rsidP="00B12750">
      <w:pPr>
        <w:spacing w:after="0" w:line="24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49D89C9E" w14:textId="77777777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 цьому розділі розглядаються загальні принципи проведення порівняльних випробувань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імуногенності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незалежно від цілей випробування.</w:t>
      </w:r>
    </w:p>
    <w:p w14:paraId="7958A3BD" w14:textId="77777777" w:rsidR="00B12750" w:rsidRDefault="00B12750" w:rsidP="00B12750">
      <w:pPr>
        <w:spacing w:after="0" w:line="24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bookmarkStart w:id="5" w:name="_bookmark8"/>
      <w:bookmarkEnd w:id="5"/>
    </w:p>
    <w:p w14:paraId="6E6341AE" w14:textId="4D07E5F5" w:rsidR="00896EAB" w:rsidRPr="00B02BAD" w:rsidRDefault="00896EAB" w:rsidP="00A15587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3.3.1</w:t>
      </w:r>
      <w:r w:rsidR="00A15587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.</w:t>
      </w: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 Первинні та вторинні кінцеві точки</w:t>
      </w:r>
    </w:p>
    <w:p w14:paraId="599D7D4C" w14:textId="77777777" w:rsidR="00B12750" w:rsidRDefault="00B12750" w:rsidP="00B12750">
      <w:pPr>
        <w:spacing w:after="0" w:line="24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371723BD" w14:textId="2C266FD8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Первинні та вторинні кінцеві точки, отримані в </w:t>
      </w:r>
      <w:r w:rsidR="00D3341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результаті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порівняльних </w:t>
      </w:r>
      <w:r w:rsidR="00D3341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досліджень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імуногенності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можуть </w:t>
      </w:r>
      <w:r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включати </w:t>
      </w:r>
      <w:r w:rsidR="00F3756B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такі</w:t>
      </w:r>
      <w:r w:rsidR="00D33413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показник</w:t>
      </w:r>
      <w:r w:rsidR="00F3756B"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Pr="00B12750">
        <w:rPr>
          <w:rStyle w:val="ad"/>
          <w:rFonts w:ascii="Times New Roman" w:hAnsi="Times New Roman" w:cs="Times New Roman"/>
          <w:i w:val="0"/>
          <w:sz w:val="28"/>
          <w:szCs w:val="28"/>
        </w:rPr>
        <w:t>:</w:t>
      </w:r>
    </w:p>
    <w:p w14:paraId="0DC2D99D" w14:textId="0204FEF4" w:rsidR="00896EAB" w:rsidRPr="00B02BAD" w:rsidRDefault="00896EAB" w:rsidP="00156779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відсоток </w:t>
      </w:r>
      <w:r w:rsidR="00E8309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суб’єктів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імунною відповіддю на вакцинацію, що перевищує визначений </w:t>
      </w:r>
      <w:r w:rsidR="00B12750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</w:t>
      </w:r>
      <w:r w:rsidR="00B1275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(тобто рівень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серопротекції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) або перевищує пороговий рівень;</w:t>
      </w:r>
    </w:p>
    <w:p w14:paraId="0723083F" w14:textId="78839EE8" w:rsidR="00896EAB" w:rsidRPr="00AD4254" w:rsidRDefault="00896EAB" w:rsidP="00156779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AD425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відсоток </w:t>
      </w:r>
      <w:proofErr w:type="spellStart"/>
      <w:r w:rsidR="001D73AE" w:rsidRPr="00AD4254">
        <w:rPr>
          <w:rStyle w:val="ad"/>
          <w:rFonts w:ascii="Times New Roman" w:hAnsi="Times New Roman" w:cs="Times New Roman"/>
          <w:i w:val="0"/>
          <w:sz w:val="28"/>
          <w:szCs w:val="28"/>
        </w:rPr>
        <w:t>субʼєктів</w:t>
      </w:r>
      <w:proofErr w:type="spellEnd"/>
      <w:r w:rsidR="001D73AE" w:rsidRPr="00AD425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D425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 попередньо визначеним приростом (наприклад, </w:t>
      </w:r>
      <w:r w:rsidR="001D73AE" w:rsidRPr="00AD4254">
        <w:rPr>
          <w:rStyle w:val="ad"/>
          <w:rFonts w:ascii="Times New Roman" w:hAnsi="Times New Roman" w:cs="Times New Roman"/>
          <w:i w:val="0"/>
          <w:sz w:val="28"/>
          <w:szCs w:val="28"/>
        </w:rPr>
        <w:t>принаймні</w:t>
      </w:r>
      <w:r w:rsidRPr="00AD425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4</w:t>
      </w:r>
      <w:r w:rsidR="001D73AE" w:rsidRPr="00AD4254">
        <w:rPr>
          <w:rStyle w:val="ad"/>
          <w:rFonts w:ascii="Times New Roman" w:hAnsi="Times New Roman" w:cs="Times New Roman"/>
          <w:i w:val="0"/>
          <w:sz w:val="28"/>
          <w:szCs w:val="28"/>
        </w:rPr>
        <w:t>-кратним підвищенням</w:t>
      </w:r>
      <w:r w:rsidRPr="00AD4254">
        <w:rPr>
          <w:rStyle w:val="ad"/>
          <w:rFonts w:ascii="Times New Roman" w:hAnsi="Times New Roman" w:cs="Times New Roman"/>
          <w:i w:val="0"/>
          <w:sz w:val="28"/>
          <w:szCs w:val="28"/>
        </w:rPr>
        <w:t>) концентрації/титр</w:t>
      </w:r>
      <w:r w:rsidR="001D73AE" w:rsidRPr="00AD4254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Pr="00AD425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антитіл до </w:t>
      </w:r>
      <w:r w:rsidR="001D73AE" w:rsidRPr="00AD4254">
        <w:rPr>
          <w:rStyle w:val="ad"/>
          <w:rFonts w:ascii="Times New Roman" w:hAnsi="Times New Roman" w:cs="Times New Roman"/>
          <w:i w:val="0"/>
          <w:sz w:val="28"/>
          <w:szCs w:val="28"/>
        </w:rPr>
        <w:t>вакцина</w:t>
      </w:r>
      <w:r w:rsidR="00F3756B" w:rsidRPr="00AD425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ції і після вакцинації </w:t>
      </w:r>
      <w:r w:rsidRPr="00AD425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(тобто рівень </w:t>
      </w:r>
      <w:proofErr w:type="spellStart"/>
      <w:r w:rsidRPr="00AD4254">
        <w:rPr>
          <w:rStyle w:val="ad"/>
          <w:rFonts w:ascii="Times New Roman" w:hAnsi="Times New Roman" w:cs="Times New Roman"/>
          <w:i w:val="0"/>
          <w:sz w:val="28"/>
          <w:szCs w:val="28"/>
        </w:rPr>
        <w:t>сероконверсії</w:t>
      </w:r>
      <w:proofErr w:type="spellEnd"/>
      <w:r w:rsidRPr="00AD4254">
        <w:rPr>
          <w:rStyle w:val="ad"/>
          <w:rFonts w:ascii="Times New Roman" w:hAnsi="Times New Roman" w:cs="Times New Roman"/>
          <w:i w:val="0"/>
          <w:sz w:val="28"/>
          <w:szCs w:val="28"/>
        </w:rPr>
        <w:t>);</w:t>
      </w:r>
    </w:p>
    <w:p w14:paraId="660012CE" w14:textId="77777777" w:rsidR="00896EAB" w:rsidRPr="00B02BAD" w:rsidRDefault="00896EAB" w:rsidP="00156779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відсоток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серонегативних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або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серопозитивних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1D73A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субʼєктів</w:t>
      </w:r>
      <w:proofErr w:type="spellEnd"/>
      <w:r w:rsidR="001D73A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(з визначенням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серостатусу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обґрунтованим щодо аналізу) до та після вакцинації;</w:t>
      </w:r>
    </w:p>
    <w:p w14:paraId="2BDE5256" w14:textId="1A7BE15D" w:rsidR="00896EAB" w:rsidRPr="00B02BAD" w:rsidRDefault="00896EAB" w:rsidP="00156779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показники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серопротекції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сероконверсії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після вакцинації </w:t>
      </w:r>
      <w:r w:rsidRPr="00FA718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окремо </w:t>
      </w:r>
      <w:r w:rsidR="00187FF3" w:rsidRPr="00FA718E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="00EF651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тих, хто був </w:t>
      </w:r>
      <w:proofErr w:type="spellStart"/>
      <w:r w:rsidR="00EF651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серонегативним</w:t>
      </w:r>
      <w:proofErr w:type="spellEnd"/>
      <w:r w:rsidR="00EF651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або </w:t>
      </w:r>
      <w:proofErr w:type="spellStart"/>
      <w:r w:rsidR="00EF651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серопозитивним</w:t>
      </w:r>
      <w:proofErr w:type="spellEnd"/>
      <w:r w:rsidR="00EF651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 початку</w:t>
      </w:r>
      <w:r w:rsidR="00EF6514" w:rsidRPr="00B02BAD">
        <w:rPr>
          <w:rStyle w:val="ad"/>
          <w:rFonts w:ascii="Times New Roman" w:hAnsi="Times New Roman" w:cs="Times New Roman"/>
          <w:i w:val="0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випробування;</w:t>
      </w:r>
    </w:p>
    <w:p w14:paraId="4E720D4C" w14:textId="7E1ADCF7" w:rsidR="00AA629A" w:rsidRPr="00B82C94" w:rsidRDefault="00896EAB" w:rsidP="008D3A7E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82C94">
        <w:rPr>
          <w:rStyle w:val="ad"/>
          <w:rFonts w:ascii="Times New Roman" w:hAnsi="Times New Roman" w:cs="Times New Roman"/>
          <w:i w:val="0"/>
          <w:sz w:val="28"/>
          <w:szCs w:val="28"/>
        </w:rPr>
        <w:t>середн</w:t>
      </w:r>
      <w:r w:rsidR="00A84BA1" w:rsidRPr="00B82C94">
        <w:rPr>
          <w:rStyle w:val="ad"/>
          <w:rFonts w:ascii="Times New Roman" w:hAnsi="Times New Roman" w:cs="Times New Roman"/>
          <w:i w:val="0"/>
          <w:sz w:val="28"/>
          <w:szCs w:val="28"/>
        </w:rPr>
        <w:t>є</w:t>
      </w:r>
      <w:r w:rsidR="00EF6514" w:rsidRPr="00B82C9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82C94">
        <w:rPr>
          <w:rStyle w:val="ad"/>
          <w:rFonts w:ascii="Times New Roman" w:hAnsi="Times New Roman" w:cs="Times New Roman"/>
          <w:i w:val="0"/>
          <w:sz w:val="28"/>
          <w:szCs w:val="28"/>
        </w:rPr>
        <w:t>геометричн</w:t>
      </w:r>
      <w:r w:rsidR="00A84BA1" w:rsidRPr="00B82C94">
        <w:rPr>
          <w:rStyle w:val="ad"/>
          <w:rFonts w:ascii="Times New Roman" w:hAnsi="Times New Roman" w:cs="Times New Roman"/>
          <w:i w:val="0"/>
          <w:sz w:val="28"/>
          <w:szCs w:val="28"/>
        </w:rPr>
        <w:t>е</w:t>
      </w:r>
      <w:r w:rsidRPr="00AA629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82C94" w:rsidRPr="00EF23B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значення </w:t>
      </w:r>
      <w:r w:rsidRPr="00EF23BD">
        <w:rPr>
          <w:rStyle w:val="ad"/>
          <w:rFonts w:ascii="Times New Roman" w:hAnsi="Times New Roman" w:cs="Times New Roman"/>
          <w:i w:val="0"/>
          <w:sz w:val="28"/>
          <w:szCs w:val="28"/>
        </w:rPr>
        <w:t>концентраці</w:t>
      </w:r>
      <w:r w:rsidR="00A84BA1" w:rsidRPr="00EF23BD">
        <w:rPr>
          <w:rStyle w:val="ad"/>
          <w:rFonts w:ascii="Times New Roman" w:hAnsi="Times New Roman" w:cs="Times New Roman"/>
          <w:i w:val="0"/>
          <w:sz w:val="28"/>
          <w:szCs w:val="28"/>
        </w:rPr>
        <w:t>й</w:t>
      </w:r>
      <w:r w:rsidRPr="00EF23B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84BA1" w:rsidRPr="00EF23BD">
        <w:rPr>
          <w:rStyle w:val="ad"/>
          <w:rFonts w:ascii="Times New Roman" w:hAnsi="Times New Roman" w:cs="Times New Roman"/>
          <w:i w:val="0"/>
          <w:sz w:val="28"/>
          <w:szCs w:val="28"/>
        </w:rPr>
        <w:t>(</w:t>
      </w:r>
      <w:r w:rsidR="00AA629A" w:rsidRPr="00EF23BD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GMCs</w:t>
      </w:r>
      <w:r w:rsidR="00A84BA1" w:rsidRPr="00EF23B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</w:t>
      </w:r>
      <w:r w:rsidRPr="00EF23B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антитіл або </w:t>
      </w:r>
      <w:r w:rsidR="00A84BA1" w:rsidRPr="00EF23B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середнє геометричне </w:t>
      </w:r>
      <w:r w:rsidR="00B82C94" w:rsidRPr="00EF23B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значення </w:t>
      </w:r>
      <w:r w:rsidRPr="00EF23BD">
        <w:rPr>
          <w:rStyle w:val="ad"/>
          <w:rFonts w:ascii="Times New Roman" w:hAnsi="Times New Roman" w:cs="Times New Roman"/>
          <w:i w:val="0"/>
          <w:sz w:val="28"/>
          <w:szCs w:val="28"/>
        </w:rPr>
        <w:t>титр</w:t>
      </w:r>
      <w:r w:rsidR="00A84BA1" w:rsidRPr="00EF23BD">
        <w:rPr>
          <w:rStyle w:val="ad"/>
          <w:rFonts w:ascii="Times New Roman" w:hAnsi="Times New Roman" w:cs="Times New Roman"/>
          <w:i w:val="0"/>
          <w:sz w:val="28"/>
          <w:szCs w:val="28"/>
        </w:rPr>
        <w:t>ів</w:t>
      </w:r>
      <w:r w:rsidRPr="00EF23B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(</w:t>
      </w:r>
      <w:r w:rsidR="00AA629A" w:rsidRPr="00EF23BD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GMTs</w:t>
      </w:r>
      <w:r w:rsidRPr="00EF23B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та </w:t>
      </w:r>
      <w:r w:rsidR="00A84BA1" w:rsidRPr="00EF23B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середнє геометричне </w:t>
      </w:r>
      <w:r w:rsidR="00B82C94" w:rsidRPr="00EF23BD">
        <w:rPr>
          <w:rStyle w:val="ad"/>
          <w:rFonts w:ascii="Times New Roman" w:hAnsi="Times New Roman" w:cs="Times New Roman"/>
          <w:i w:val="0"/>
          <w:sz w:val="28"/>
          <w:szCs w:val="28"/>
        </w:rPr>
        <w:t>значення</w:t>
      </w:r>
      <w:r w:rsidR="00B82C94" w:rsidRPr="00B82C9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82C94">
        <w:rPr>
          <w:rStyle w:val="ad"/>
          <w:rFonts w:ascii="Times New Roman" w:hAnsi="Times New Roman" w:cs="Times New Roman"/>
          <w:i w:val="0"/>
          <w:sz w:val="28"/>
          <w:szCs w:val="28"/>
        </w:rPr>
        <w:t>співвідношен</w:t>
      </w:r>
      <w:r w:rsidR="00A84BA1" w:rsidRPr="00B82C94">
        <w:rPr>
          <w:rStyle w:val="ad"/>
          <w:rFonts w:ascii="Times New Roman" w:hAnsi="Times New Roman" w:cs="Times New Roman"/>
          <w:i w:val="0"/>
          <w:sz w:val="28"/>
          <w:szCs w:val="28"/>
        </w:rPr>
        <w:t>ь (</w:t>
      </w:r>
      <w:r w:rsidR="00AA629A" w:rsidRPr="00B82C94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GMRs</w:t>
      </w:r>
      <w:r w:rsidR="00A84BA1" w:rsidRPr="00B82C94">
        <w:rPr>
          <w:rStyle w:val="ad"/>
          <w:rFonts w:ascii="Times New Roman" w:hAnsi="Times New Roman" w:cs="Times New Roman"/>
          <w:i w:val="0"/>
          <w:sz w:val="28"/>
          <w:szCs w:val="28"/>
        </w:rPr>
        <w:t>)</w:t>
      </w:r>
      <w:r w:rsidRPr="00B82C9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до/після вакцинації;</w:t>
      </w:r>
      <w:r w:rsidR="00AA629A" w:rsidRPr="00B82C9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 </w:t>
      </w:r>
    </w:p>
    <w:p w14:paraId="062012DC" w14:textId="25DBB21A" w:rsidR="00896EAB" w:rsidRPr="00B02BAD" w:rsidRDefault="00896EAB" w:rsidP="00156779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кількість або відсоток </w:t>
      </w:r>
      <w:proofErr w:type="spellStart"/>
      <w:r w:rsidR="00EF651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субʼєктів</w:t>
      </w:r>
      <w:proofErr w:type="spellEnd"/>
      <w:r w:rsidR="00EF651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із сенсибілізованими (тобто антиген-специфічними) Т-клітинами (включаючи сенсибілізовані CD4+ і CD8+ Т-клітини) до </w:t>
      </w:r>
      <w:r w:rsidR="00A84BA1" w:rsidRPr="00B82C94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після </w:t>
      </w:r>
      <w:r w:rsidR="00EF651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вакцинації, представлені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відповідно до антигену(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ів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), використаного(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их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для стимуляції, та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цитокіну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(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ів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), виявленого(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их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) в аналізі(ах)</w:t>
      </w:r>
      <w:r w:rsidR="000A527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17802B5C" w14:textId="77777777" w:rsidR="00EF6514" w:rsidRPr="00B02BAD" w:rsidRDefault="00EF6514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B0C2D0F" w14:textId="77777777" w:rsidR="00896EAB" w:rsidRPr="00B02BAD" w:rsidRDefault="00896EAB" w:rsidP="000A527A">
      <w:pPr>
        <w:spacing w:after="0" w:line="360" w:lineRule="auto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sz w:val="28"/>
          <w:szCs w:val="28"/>
        </w:rPr>
        <w:t>Первинна вакцинація</w:t>
      </w:r>
    </w:p>
    <w:p w14:paraId="0D295A9D" w14:textId="77777777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685FB6D" w14:textId="118DA64B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За наявності відповідного </w:t>
      </w:r>
      <w:r w:rsidR="00B82C94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</w:t>
      </w:r>
      <w:r w:rsidR="00B82C9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або порогового значення, як правило, </w:t>
      </w:r>
      <w:r w:rsidR="00D4167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основний інтерес представляє частка вакцинованих,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82C94">
        <w:rPr>
          <w:rStyle w:val="ad"/>
          <w:rFonts w:ascii="Times New Roman" w:hAnsi="Times New Roman" w:cs="Times New Roman"/>
          <w:i w:val="0"/>
          <w:sz w:val="28"/>
          <w:szCs w:val="28"/>
        </w:rPr>
        <w:t>які ймовірно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будуть захищені після одноразового введення первинної дози або після останньої дози первинної серії вакцин. Тому звичайною первинною кінцевою точкою є рівень </w:t>
      </w:r>
      <w:proofErr w:type="spellStart"/>
      <w:r w:rsidR="0013405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серопротекції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після вакцинації або відсоток </w:t>
      </w:r>
      <w:proofErr w:type="spellStart"/>
      <w:r w:rsidR="0013405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субʼєктів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імунною відповіддю на рівні або вище порогового значення. Якщо немає </w:t>
      </w:r>
      <w:r w:rsidR="00786339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</w:t>
      </w:r>
      <w:r w:rsidR="0078633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або порогового значення, первинною кінцевою точкою зазвичай є рівень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сероконверсії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Вторинними інформативними кінцевими точками можуть бути рівень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серопозитивності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після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вакцинації, а також </w:t>
      </w:r>
      <w:r w:rsidR="00786339" w:rsidRPr="00B82C94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GMC</w:t>
      </w:r>
      <w:r w:rsidR="0078633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або </w:t>
      </w:r>
      <w:r w:rsidR="00786339" w:rsidRPr="00AA629A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GMT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</w:t>
      </w:r>
      <w:r w:rsidRPr="00786339">
        <w:rPr>
          <w:rStyle w:val="ad"/>
          <w:rFonts w:ascii="Times New Roman" w:hAnsi="Times New Roman" w:cs="Times New Roman"/>
          <w:i w:val="0"/>
          <w:sz w:val="28"/>
          <w:szCs w:val="28"/>
        </w:rPr>
        <w:t>Винятк</w:t>
      </w:r>
      <w:r w:rsidR="00DA6B2C" w:rsidRPr="00786339">
        <w:rPr>
          <w:rStyle w:val="ad"/>
          <w:rFonts w:ascii="Times New Roman" w:hAnsi="Times New Roman" w:cs="Times New Roman"/>
          <w:i w:val="0"/>
          <w:sz w:val="28"/>
          <w:szCs w:val="28"/>
        </w:rPr>
        <w:t>ами</w:t>
      </w:r>
      <w:r w:rsidRPr="0078633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DA6B2C" w:rsidRPr="00786339">
        <w:rPr>
          <w:rStyle w:val="ad"/>
          <w:rFonts w:ascii="Times New Roman" w:hAnsi="Times New Roman" w:cs="Times New Roman"/>
          <w:i w:val="0"/>
          <w:sz w:val="28"/>
          <w:szCs w:val="28"/>
        </w:rPr>
        <w:t>коли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86339" w:rsidRPr="00B82C94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GMC</w:t>
      </w:r>
      <w:r w:rsidR="0078633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або </w:t>
      </w:r>
      <w:r w:rsidR="00786339" w:rsidRPr="00AA629A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GMT</w:t>
      </w:r>
      <w:r w:rsidR="0078633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можуть бути первинною кінцевою точкою</w:t>
      </w:r>
      <w:r w:rsidRPr="007A46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DA6B2C" w:rsidRPr="007A46AF">
        <w:rPr>
          <w:rStyle w:val="ad"/>
          <w:rFonts w:ascii="Times New Roman" w:hAnsi="Times New Roman" w:cs="Times New Roman"/>
          <w:i w:val="0"/>
          <w:sz w:val="28"/>
          <w:szCs w:val="28"/>
        </w:rPr>
        <w:t>є, наприклад,</w:t>
      </w:r>
      <w:r w:rsidRPr="007A46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випробування консистенції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від серії до серії.</w:t>
      </w:r>
    </w:p>
    <w:p w14:paraId="61C24F01" w14:textId="77777777" w:rsidR="00F7692A" w:rsidRDefault="00F7692A" w:rsidP="000A527A">
      <w:pPr>
        <w:spacing w:after="0" w:line="360" w:lineRule="auto"/>
        <w:jc w:val="both"/>
        <w:rPr>
          <w:rStyle w:val="ad"/>
          <w:rFonts w:ascii="Times New Roman" w:hAnsi="Times New Roman" w:cs="Times New Roman"/>
          <w:sz w:val="28"/>
          <w:szCs w:val="28"/>
        </w:rPr>
      </w:pPr>
    </w:p>
    <w:p w14:paraId="121146F9" w14:textId="4FF41479" w:rsidR="00896EAB" w:rsidRPr="00B02BAD" w:rsidRDefault="00896EAB" w:rsidP="000A527A">
      <w:pPr>
        <w:spacing w:after="0" w:line="360" w:lineRule="auto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sz w:val="28"/>
          <w:szCs w:val="28"/>
        </w:rPr>
        <w:t>Вакцинація після первинної вакцинації (ревакцинація)</w:t>
      </w:r>
    </w:p>
    <w:p w14:paraId="3BDC8A83" w14:textId="77777777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6BA8514" w14:textId="01FF38B1" w:rsidR="00896EAB" w:rsidRPr="00B02BAD" w:rsidRDefault="000A7B9E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В</w:t>
      </w:r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акцин</w:t>
      </w:r>
      <w:r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що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викликають імунну </w:t>
      </w:r>
      <w:proofErr w:type="spellStart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памʼять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під час первинної вакцинації </w:t>
      </w:r>
      <w:r w:rsidR="0081487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 </w:t>
      </w:r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невакцинованих осіб (див. розділи 3.1 та 3.3.2), </w:t>
      </w:r>
      <w:r w:rsidR="00052EB3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введені </w:t>
      </w:r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після первинної вакцинації</w:t>
      </w:r>
      <w:r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зазвичай </w:t>
      </w:r>
      <w:r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спричиняють</w:t>
      </w:r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дуже </w:t>
      </w:r>
      <w:r w:rsidR="00311E07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висок</w:t>
      </w:r>
      <w:r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ий</w:t>
      </w:r>
      <w:r w:rsidR="00311E07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рів</w:t>
      </w:r>
      <w:r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ень</w:t>
      </w:r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серо</w:t>
      </w:r>
      <w:r w:rsidR="00311E07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протекції</w:t>
      </w:r>
      <w:proofErr w:type="spellEnd"/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сероконверсії</w:t>
      </w:r>
      <w:proofErr w:type="spellEnd"/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серопозитивності</w:t>
      </w:r>
      <w:proofErr w:type="spellEnd"/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311E07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Таким чином </w:t>
      </w:r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ці кінцеві точки зазвичай не є чутливими для виявлення </w:t>
      </w:r>
      <w:r w:rsidR="000C5C99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якихось</w:t>
      </w:r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відмінностей між вакцинами, тому може бути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доцільним визначити </w:t>
      </w:r>
      <w:proofErr w:type="spellStart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післявакцинальн</w:t>
      </w:r>
      <w:r w:rsidR="0081487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52041" w:rsidRPr="00A52041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GMC</w:t>
      </w:r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чи</w:t>
      </w:r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52041" w:rsidRPr="00A52041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GMT</w:t>
      </w:r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</w:t>
      </w:r>
      <w:r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бо </w:t>
      </w:r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іноді</w:t>
      </w:r>
      <w:r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—</w:t>
      </w:r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52041" w:rsidRPr="00A52041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GMR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(до </w:t>
      </w:r>
      <w:r w:rsidR="0081487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та </w:t>
      </w:r>
      <w:r w:rsidR="0081487D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після</w:t>
      </w:r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81487D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бустерної</w:t>
      </w:r>
      <w:proofErr w:type="spellEnd"/>
      <w:r w:rsidR="0081487D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дози</w:t>
      </w:r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) як первинн</w:t>
      </w:r>
      <w:r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кінцев</w:t>
      </w:r>
      <w:r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точк</w:t>
      </w:r>
      <w:r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а показники </w:t>
      </w:r>
      <w:proofErr w:type="spellStart"/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сероконверсії</w:t>
      </w:r>
      <w:proofErr w:type="spellEnd"/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та/або </w:t>
      </w:r>
      <w:proofErr w:type="spellStart"/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серопозитивності</w:t>
      </w:r>
      <w:proofErr w:type="spellEnd"/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C5C99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слід</w:t>
      </w:r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визнач</w:t>
      </w:r>
      <w:r w:rsidR="000C5C99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ити</w:t>
      </w:r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як вторинн</w:t>
      </w:r>
      <w:r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кінцев</w:t>
      </w:r>
      <w:r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точ</w:t>
      </w:r>
      <w:r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ки</w:t>
      </w:r>
      <w:r w:rsidR="00896EAB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0C9020AB" w14:textId="0C406D68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Якщо вакцина не викликає імунної </w:t>
      </w:r>
      <w:r w:rsidR="000C5C9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пам’яті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первинна кінцева точка повинна бути такою ж, як і та, що була обрана для оцінки імунної відповіді на первинну вакцинацію.</w:t>
      </w:r>
    </w:p>
    <w:p w14:paraId="1041EFC7" w14:textId="77777777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4C986CD9" w14:textId="77777777" w:rsidR="00896EAB" w:rsidRPr="00B02BAD" w:rsidRDefault="00896EAB" w:rsidP="000A527A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bookmarkStart w:id="6" w:name="_bookmark9"/>
      <w:bookmarkEnd w:id="6"/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3.3.2</w:t>
      </w:r>
      <w:r w:rsidR="00A15587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.</w:t>
      </w: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 Первинні аналізи</w:t>
      </w:r>
    </w:p>
    <w:p w14:paraId="0E94AC95" w14:textId="77777777" w:rsidR="005A6758" w:rsidRPr="00B02BAD" w:rsidRDefault="005A6758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78AD8B3F" w14:textId="0CF01C85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Порівняльні випробування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імуногенності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що проводяться на </w:t>
      </w:r>
      <w:r w:rsidR="0051440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ранніх </w:t>
      </w:r>
      <w:r w:rsidR="00045D1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стадіях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розробки вакцини-кандидата (наприклад, для визначення складу, доз та схем введення для подальшого вивчення), можуть передбачати проведення </w:t>
      </w:r>
      <w:r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описового аналізу. У випробуваннях, призначених для перевір</w:t>
      </w:r>
      <w:r w:rsidR="00AE4BE9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ки</w:t>
      </w:r>
      <w:r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гіпотез, </w:t>
      </w:r>
      <w:r w:rsidR="0042261D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слід</w:t>
      </w:r>
      <w:r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дотримуватися рекомендацій CHMP щодо статистичних питань, включаючи, </w:t>
      </w:r>
      <w:r w:rsidR="00AE4BE9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у відповідних випадках</w:t>
      </w:r>
      <w:r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рандомізацію</w:t>
      </w:r>
      <w:proofErr w:type="spellEnd"/>
      <w:r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факторами стратифікації (наприклад</w:t>
      </w:r>
      <w:r w:rsidR="00AE4BE9" w:rsidRPr="00A52041">
        <w:rPr>
          <w:rStyle w:val="ad"/>
          <w:rFonts w:ascii="Times New Roman" w:hAnsi="Times New Roman" w:cs="Times New Roman"/>
          <w:i w:val="0"/>
          <w:sz w:val="28"/>
          <w:szCs w:val="28"/>
        </w:rPr>
        <w:t>: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вікові підгрупи, регіон, історія попередньої вакцинації</w:t>
      </w:r>
      <w:r w:rsidR="00045D1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)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 можливу потребу </w:t>
      </w:r>
      <w:r w:rsidR="00EF23BD">
        <w:rPr>
          <w:rStyle w:val="ad"/>
          <w:rFonts w:ascii="Times New Roman" w:hAnsi="Times New Roman" w:cs="Times New Roman"/>
          <w:i w:val="0"/>
          <w:sz w:val="28"/>
          <w:szCs w:val="28"/>
        </w:rPr>
        <w:t>коригування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 множинність</w:t>
      </w:r>
      <w:r w:rsidR="007701D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порівнянь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34C3D5CA" w14:textId="0462C922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Якщо основна мета полягає в тому, щоб продемонструвати </w:t>
      </w:r>
      <w:r w:rsidR="0003577C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не</w:t>
      </w:r>
      <w:r w:rsidR="00F277A3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3577C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меншу ефективність</w:t>
      </w:r>
      <w:r w:rsidR="00A52041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(</w:t>
      </w:r>
      <w:r w:rsidR="00A52041" w:rsidRPr="003576C5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non</w:t>
      </w:r>
      <w:r w:rsidR="00A52041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-</w:t>
      </w:r>
      <w:r w:rsidR="00A52041" w:rsidRPr="003576C5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inferiority</w:t>
      </w:r>
      <w:r w:rsidR="00A52041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)</w:t>
      </w:r>
      <w:r w:rsidR="00045D17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277A3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 </w:t>
      </w:r>
      <w:r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досліджуван</w:t>
      </w:r>
      <w:r w:rsidR="00F277A3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ій</w:t>
      </w:r>
      <w:r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груп</w:t>
      </w:r>
      <w:r w:rsidR="00F277A3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(</w:t>
      </w:r>
      <w:r w:rsidR="00F277A3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ах</w:t>
      </w:r>
      <w:r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порівняно з </w:t>
      </w:r>
      <w:r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>референтною</w:t>
      </w:r>
      <w:r w:rsidR="00F277A3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(</w:t>
      </w:r>
      <w:proofErr w:type="spellStart"/>
      <w:r w:rsidR="00F277A3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ими</w:t>
      </w:r>
      <w:proofErr w:type="spellEnd"/>
      <w:r w:rsidR="00F277A3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)</w:t>
      </w:r>
      <w:r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групою(</w:t>
      </w:r>
      <w:proofErr w:type="spellStart"/>
      <w:r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ами</w:t>
      </w:r>
      <w:proofErr w:type="spellEnd"/>
      <w:r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) щодо імунної відповіді на кожний або специфічний антиген</w:t>
      </w:r>
      <w:r w:rsidR="00F277A3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(и)</w:t>
      </w:r>
      <w:r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що становлять інтерес, </w:t>
      </w:r>
      <w:r w:rsidR="00F277A3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вибор</w:t>
      </w:r>
      <w:r w:rsidR="00F277A3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меж </w:t>
      </w:r>
      <w:r w:rsidR="007701DC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не</w:t>
      </w:r>
      <w:r w:rsidR="00F277A3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701DC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меншої ефективності</w:t>
      </w:r>
      <w:r w:rsidR="00F277A3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слід керуватися рекомендаціями CHMP</w:t>
      </w:r>
      <w:r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Клінічні міркування для вибору межі </w:t>
      </w:r>
      <w:r w:rsidR="00951813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не</w:t>
      </w:r>
      <w:r w:rsidR="00F277A3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701DC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меншої ефективності </w:t>
      </w:r>
      <w:r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повинні </w:t>
      </w:r>
      <w:r w:rsidR="00F277A3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охоплювати</w:t>
      </w:r>
      <w:r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рівень смертності та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ризик серйозних </w:t>
      </w:r>
      <w:r w:rsidRPr="00EF23BD">
        <w:rPr>
          <w:rStyle w:val="ad"/>
          <w:rFonts w:ascii="Times New Roman" w:hAnsi="Times New Roman" w:cs="Times New Roman"/>
          <w:i w:val="0"/>
          <w:sz w:val="28"/>
          <w:szCs w:val="28"/>
        </w:rPr>
        <w:t>не</w:t>
      </w:r>
      <w:r w:rsidR="00EF23BD" w:rsidRPr="00EF23BD">
        <w:rPr>
          <w:rStyle w:val="ad"/>
          <w:rFonts w:ascii="Times New Roman" w:hAnsi="Times New Roman" w:cs="Times New Roman"/>
          <w:i w:val="0"/>
          <w:sz w:val="28"/>
          <w:szCs w:val="28"/>
        </w:rPr>
        <w:t>з</w:t>
      </w:r>
      <w:r w:rsidR="00EF23BD">
        <w:rPr>
          <w:rStyle w:val="ad"/>
          <w:rFonts w:ascii="Times New Roman" w:hAnsi="Times New Roman" w:cs="Times New Roman"/>
          <w:i w:val="0"/>
          <w:sz w:val="28"/>
          <w:szCs w:val="28"/>
        </w:rPr>
        <w:t>воротних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наслідків захворювання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якому </w:t>
      </w:r>
      <w:r w:rsidR="00F277A3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потрібно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запобігти. Крім того, при виборі межі </w:t>
      </w:r>
      <w:r w:rsidR="007701DC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не</w:t>
      </w:r>
      <w:r w:rsidR="005E218C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701DC"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м</w:t>
      </w:r>
      <w:r w:rsidR="007701D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еншої ефективності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можна </w:t>
      </w:r>
      <w:r w:rsidRPr="003576C5">
        <w:rPr>
          <w:rStyle w:val="ad"/>
          <w:rFonts w:ascii="Times New Roman" w:hAnsi="Times New Roman" w:cs="Times New Roman"/>
          <w:i w:val="0"/>
          <w:sz w:val="28"/>
          <w:szCs w:val="28"/>
        </w:rPr>
        <w:t>врахувати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очікувану точність вимірювання та ефекти</w:t>
      </w:r>
      <w:r w:rsidR="00687F1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вність аналізу (наприклад, нижня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меж</w:t>
      </w:r>
      <w:r w:rsidR="00687F1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виявлення або кількісного визначення, відтворюваність), що застосовуються до первинного імунного параметра.</w:t>
      </w:r>
    </w:p>
    <w:p w14:paraId="57ED816B" w14:textId="4CFF64B9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Порівняльні випробування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імуногенності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можуть мати на меті продемонструвати перевагу імунної відповіді на один або декілька антигенів у досліджуваній групі порівняно з референтною групою. Наприклад, коли референтна група не отримує досліджуваний(і) антиген(и), </w:t>
      </w:r>
      <w:r w:rsidR="005E218C" w:rsidRPr="009B3534">
        <w:rPr>
          <w:rStyle w:val="ad"/>
          <w:rFonts w:ascii="Times New Roman" w:hAnsi="Times New Roman" w:cs="Times New Roman"/>
          <w:i w:val="0"/>
          <w:sz w:val="28"/>
          <w:szCs w:val="28"/>
        </w:rPr>
        <w:t>коли</w:t>
      </w:r>
      <w:r w:rsidRPr="009B353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порівн</w:t>
      </w:r>
      <w:r w:rsidR="005E218C" w:rsidRPr="009B3534">
        <w:rPr>
          <w:rStyle w:val="ad"/>
          <w:rFonts w:ascii="Times New Roman" w:hAnsi="Times New Roman" w:cs="Times New Roman"/>
          <w:i w:val="0"/>
          <w:sz w:val="28"/>
          <w:szCs w:val="28"/>
        </w:rPr>
        <w:t>юють</w:t>
      </w:r>
      <w:r w:rsidRPr="009B353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доз</w:t>
      </w:r>
      <w:r w:rsidR="005E218C" w:rsidRPr="009B3534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Pr="009B353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або схем</w:t>
      </w:r>
      <w:r w:rsidR="005E218C" w:rsidRPr="009B3534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Pr="009B353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введення однієї й тієї ж вакцини-канди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дата, а також коли оцінюється ефект від додавання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ад’юванту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Крім того, одне і те ж випробування може бути </w:t>
      </w:r>
      <w:r w:rsidR="007934C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сплановане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таким чином, щоб продемонструвати </w:t>
      </w:r>
      <w:r w:rsidR="00360E8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не меншу ефективність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імунних відповідей на одні антигени і </w:t>
      </w:r>
      <w:r w:rsidR="00360E8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перевагу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відповідей на інші, </w:t>
      </w:r>
      <w:r w:rsidRPr="0062115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або ж </w:t>
      </w:r>
      <w:r w:rsidR="005E218C" w:rsidRPr="00621152">
        <w:rPr>
          <w:rStyle w:val="ad"/>
          <w:rFonts w:ascii="Times New Roman" w:hAnsi="Times New Roman" w:cs="Times New Roman"/>
          <w:i w:val="0"/>
          <w:sz w:val="28"/>
          <w:szCs w:val="28"/>
        </w:rPr>
        <w:t>може плануватися</w:t>
      </w:r>
      <w:r w:rsidRPr="0062115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966FF" w:rsidRPr="00621152">
        <w:rPr>
          <w:rStyle w:val="ad"/>
          <w:rFonts w:ascii="Times New Roman" w:hAnsi="Times New Roman" w:cs="Times New Roman"/>
          <w:i w:val="0"/>
          <w:sz w:val="28"/>
          <w:szCs w:val="28"/>
        </w:rPr>
        <w:t>випробування</w:t>
      </w:r>
      <w:r w:rsidRPr="0062115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 </w:t>
      </w:r>
      <w:r w:rsidR="001966FF" w:rsidRPr="00621152">
        <w:rPr>
          <w:rStyle w:val="ad"/>
          <w:rFonts w:ascii="Times New Roman" w:hAnsi="Times New Roman" w:cs="Times New Roman"/>
          <w:i w:val="0"/>
          <w:sz w:val="28"/>
          <w:szCs w:val="28"/>
        </w:rPr>
        <w:t>не меншу ефективність</w:t>
      </w:r>
      <w:r w:rsidRPr="0062115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і, якщо критерій </w:t>
      </w:r>
      <w:r w:rsidR="00360E81" w:rsidRPr="00621152">
        <w:rPr>
          <w:rStyle w:val="ad"/>
          <w:rFonts w:ascii="Times New Roman" w:hAnsi="Times New Roman" w:cs="Times New Roman"/>
          <w:i w:val="0"/>
          <w:sz w:val="28"/>
          <w:szCs w:val="28"/>
        </w:rPr>
        <w:t>відповідає</w:t>
      </w:r>
      <w:r w:rsidRPr="0062115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5E218C" w:rsidRPr="00621152">
        <w:rPr>
          <w:rStyle w:val="ad"/>
          <w:rFonts w:ascii="Times New Roman" w:hAnsi="Times New Roman" w:cs="Times New Roman"/>
          <w:i w:val="0"/>
          <w:sz w:val="28"/>
          <w:szCs w:val="28"/>
        </w:rPr>
        <w:t>—</w:t>
      </w:r>
      <w:r w:rsidR="00590300" w:rsidRPr="0062115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подальше випробування</w:t>
      </w:r>
      <w:r w:rsidR="001966FF" w:rsidRPr="0062115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60E81" w:rsidRPr="00621152">
        <w:rPr>
          <w:rStyle w:val="ad"/>
          <w:rFonts w:ascii="Times New Roman" w:hAnsi="Times New Roman" w:cs="Times New Roman"/>
          <w:i w:val="0"/>
          <w:sz w:val="28"/>
          <w:szCs w:val="28"/>
        </w:rPr>
        <w:t>переваг</w:t>
      </w:r>
      <w:r w:rsidR="00590300" w:rsidRPr="00621152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Pr="00621152">
        <w:rPr>
          <w:rStyle w:val="ad"/>
          <w:rFonts w:ascii="Times New Roman" w:hAnsi="Times New Roman" w:cs="Times New Roman"/>
          <w:i w:val="0"/>
          <w:sz w:val="28"/>
          <w:szCs w:val="28"/>
        </w:rPr>
        <w:t>. Наприклад, якщо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вакцина-кандидат містить антигени більшої кількості підтипів збудника порівняно з зареєстрованою вакциною, метою може бути демонстрація </w:t>
      </w:r>
      <w:r w:rsidR="001966F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не меншої ефективності </w:t>
      </w:r>
      <w:r w:rsidR="00FC1670" w:rsidRPr="009B3534">
        <w:rPr>
          <w:rStyle w:val="ad"/>
          <w:rFonts w:ascii="Times New Roman" w:hAnsi="Times New Roman" w:cs="Times New Roman"/>
          <w:i w:val="0"/>
          <w:sz w:val="28"/>
          <w:szCs w:val="28"/>
        </w:rPr>
        <w:t>при</w:t>
      </w:r>
      <w:r w:rsidRPr="009B353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90300" w:rsidRPr="009B3534">
        <w:rPr>
          <w:rStyle w:val="ad"/>
          <w:rFonts w:ascii="Times New Roman" w:hAnsi="Times New Roman" w:cs="Times New Roman"/>
          <w:i w:val="0"/>
          <w:sz w:val="28"/>
          <w:szCs w:val="28"/>
        </w:rPr>
        <w:t>схожих підтип</w:t>
      </w:r>
      <w:r w:rsidR="00FC1670" w:rsidRPr="009B3534">
        <w:rPr>
          <w:rStyle w:val="ad"/>
          <w:rFonts w:ascii="Times New Roman" w:hAnsi="Times New Roman" w:cs="Times New Roman"/>
          <w:i w:val="0"/>
          <w:sz w:val="28"/>
          <w:szCs w:val="28"/>
        </w:rPr>
        <w:t>ах</w:t>
      </w:r>
      <w:r w:rsidR="00590300" w:rsidRPr="009B353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та</w:t>
      </w:r>
      <w:r w:rsidRPr="009B353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переваги </w:t>
      </w:r>
      <w:r w:rsidR="00FC1670" w:rsidRPr="009B3534">
        <w:rPr>
          <w:rStyle w:val="ad"/>
          <w:rFonts w:ascii="Times New Roman" w:hAnsi="Times New Roman" w:cs="Times New Roman"/>
          <w:i w:val="0"/>
          <w:sz w:val="28"/>
          <w:szCs w:val="28"/>
        </w:rPr>
        <w:t>при</w:t>
      </w:r>
      <w:r w:rsidRPr="009B353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90300" w:rsidRPr="009B353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різних </w:t>
      </w:r>
      <w:r w:rsidRPr="009B3534">
        <w:rPr>
          <w:rStyle w:val="ad"/>
          <w:rFonts w:ascii="Times New Roman" w:hAnsi="Times New Roman" w:cs="Times New Roman"/>
          <w:i w:val="0"/>
          <w:sz w:val="28"/>
          <w:szCs w:val="28"/>
        </w:rPr>
        <w:t>підтип</w:t>
      </w:r>
      <w:r w:rsidR="00FC1670" w:rsidRPr="009B3534">
        <w:rPr>
          <w:rStyle w:val="ad"/>
          <w:rFonts w:ascii="Times New Roman" w:hAnsi="Times New Roman" w:cs="Times New Roman"/>
          <w:i w:val="0"/>
          <w:sz w:val="28"/>
          <w:szCs w:val="28"/>
        </w:rPr>
        <w:t>ах</w:t>
      </w:r>
      <w:r w:rsidRPr="009B3534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751BE048" w14:textId="77777777" w:rsidR="00951813" w:rsidRPr="00B02BAD" w:rsidRDefault="00951813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bookmarkStart w:id="7" w:name="_bookmark10"/>
      <w:bookmarkEnd w:id="7"/>
    </w:p>
    <w:p w14:paraId="497817DA" w14:textId="77777777" w:rsidR="00896EAB" w:rsidRPr="00B02BAD" w:rsidRDefault="00896EAB" w:rsidP="000A527A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3.4</w:t>
      </w:r>
      <w:r w:rsidR="00A15587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.</w:t>
      </w: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 Склад, доза та графік застосування</w:t>
      </w:r>
    </w:p>
    <w:p w14:paraId="1F37DD0A" w14:textId="77777777" w:rsidR="002B5E1A" w:rsidRPr="00B02BAD" w:rsidRDefault="002B5E1A" w:rsidP="000A527A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</w:p>
    <w:p w14:paraId="3D27901D" w14:textId="77777777" w:rsidR="00896EAB" w:rsidRPr="00B02BAD" w:rsidRDefault="00896EAB" w:rsidP="000A527A">
      <w:pPr>
        <w:spacing w:after="0" w:line="360" w:lineRule="auto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3.4.1</w:t>
      </w:r>
      <w:r w:rsidR="00A15587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.</w:t>
      </w: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 Склад та доза</w:t>
      </w:r>
    </w:p>
    <w:p w14:paraId="31D08D51" w14:textId="77777777" w:rsidR="006E07A9" w:rsidRPr="00B02BAD" w:rsidRDefault="006E07A9" w:rsidP="006E07A9">
      <w:pPr>
        <w:spacing w:after="0" w:line="240" w:lineRule="auto"/>
        <w:ind w:firstLine="720"/>
        <w:jc w:val="both"/>
        <w:rPr>
          <w:rStyle w:val="ad"/>
          <w:rFonts w:ascii="Times New Roman" w:hAnsi="Times New Roman" w:cs="Times New Roman"/>
          <w:i w:val="0"/>
          <w:color w:val="FF0000"/>
          <w:sz w:val="28"/>
          <w:szCs w:val="28"/>
        </w:rPr>
      </w:pPr>
    </w:p>
    <w:p w14:paraId="28CA1BAB" w14:textId="00359D4A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Різні </w:t>
      </w:r>
      <w:r w:rsidR="00A40080" w:rsidRPr="00621152">
        <w:rPr>
          <w:rStyle w:val="ad"/>
          <w:rFonts w:ascii="Times New Roman" w:hAnsi="Times New Roman" w:cs="Times New Roman"/>
          <w:i w:val="0"/>
          <w:sz w:val="28"/>
          <w:szCs w:val="28"/>
        </w:rPr>
        <w:t>підходи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будуть застосовуватися залежно від того, чи містить вакцина: </w:t>
      </w:r>
    </w:p>
    <w:p w14:paraId="6C942E49" w14:textId="77777777" w:rsidR="00896EAB" w:rsidRPr="00B02BAD" w:rsidRDefault="00896EAB" w:rsidP="00156779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антиген, який раніше не був включений до зареєстрованої вакцини; </w:t>
      </w:r>
    </w:p>
    <w:p w14:paraId="0BC08515" w14:textId="77777777" w:rsidR="00896EAB" w:rsidRPr="00B02BAD" w:rsidRDefault="00896EAB" w:rsidP="00156779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один або більше антигенів, які раніше не були </w:t>
      </w:r>
      <w:r w:rsidR="00A274F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об’єднані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зареєстрованій вакцині; </w:t>
      </w:r>
    </w:p>
    <w:p w14:paraId="73BE3318" w14:textId="77777777" w:rsidR="00896EAB" w:rsidRPr="00B02BAD" w:rsidRDefault="00896EAB" w:rsidP="00156779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адʼювант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62BB0FF6" w14:textId="74DC001A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1) Для антигену, який раніше не був включений до складу зареєстрованої вакцини, зв’язок між діапазоном доз </w:t>
      </w:r>
      <w:r w:rsidR="00A40080" w:rsidRPr="00621152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імунною відповіддю необхідно</w:t>
      </w:r>
      <w:r w:rsidR="006E07A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дослідити в клінічних випро</w:t>
      </w:r>
      <w:r w:rsidR="006E07A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буваннях, враховуючи, що дані </w:t>
      </w:r>
      <w:proofErr w:type="spellStart"/>
      <w:r w:rsidR="006E07A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клінічних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досліджень </w:t>
      </w:r>
      <w:proofErr w:type="spellStart"/>
      <w:r w:rsidRPr="00B02BAD">
        <w:rPr>
          <w:rStyle w:val="ad"/>
          <w:rFonts w:ascii="Times New Roman" w:hAnsi="Times New Roman" w:cs="Times New Roman"/>
          <w:sz w:val="28"/>
          <w:szCs w:val="28"/>
        </w:rPr>
        <w:t>in</w:t>
      </w:r>
      <w:proofErr w:type="spellEnd"/>
      <w:r w:rsidRPr="00B02BAD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BAD">
        <w:rPr>
          <w:rStyle w:val="ad"/>
          <w:rFonts w:ascii="Times New Roman" w:hAnsi="Times New Roman" w:cs="Times New Roman"/>
          <w:sz w:val="28"/>
          <w:szCs w:val="28"/>
        </w:rPr>
        <w:t>vivo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зазвичай не </w:t>
      </w:r>
      <w:r w:rsidR="00A40080" w:rsidRPr="005023E4">
        <w:rPr>
          <w:rStyle w:val="ad"/>
          <w:rFonts w:ascii="Times New Roman" w:hAnsi="Times New Roman" w:cs="Times New Roman"/>
          <w:i w:val="0"/>
          <w:sz w:val="28"/>
          <w:szCs w:val="28"/>
        </w:rPr>
        <w:t>допомагають у</w:t>
      </w:r>
      <w:r w:rsidRPr="005023E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вибор</w:t>
      </w:r>
      <w:r w:rsidR="00A40080" w:rsidRPr="005023E4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дози для людини. Якщо невідомо, </w:t>
      </w:r>
      <w:r w:rsidR="00A40080" w:rsidRPr="005023E4">
        <w:rPr>
          <w:rStyle w:val="ad"/>
          <w:rFonts w:ascii="Times New Roman" w:hAnsi="Times New Roman" w:cs="Times New Roman"/>
          <w:i w:val="0"/>
          <w:sz w:val="28"/>
          <w:szCs w:val="28"/>
        </w:rPr>
        <w:t>якою</w:t>
      </w:r>
      <w:r w:rsidRPr="005023E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може </w:t>
      </w:r>
      <w:r w:rsidR="00A40080" w:rsidRPr="005023E4">
        <w:rPr>
          <w:rStyle w:val="ad"/>
          <w:rFonts w:ascii="Times New Roman" w:hAnsi="Times New Roman" w:cs="Times New Roman"/>
          <w:i w:val="0"/>
          <w:sz w:val="28"/>
          <w:szCs w:val="28"/>
        </w:rPr>
        <w:t>бути</w:t>
      </w:r>
      <w:r w:rsidR="00821B03" w:rsidRPr="005023E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5023E4">
        <w:rPr>
          <w:rStyle w:val="ad"/>
          <w:rFonts w:ascii="Times New Roman" w:hAnsi="Times New Roman" w:cs="Times New Roman"/>
          <w:i w:val="0"/>
          <w:sz w:val="28"/>
          <w:szCs w:val="28"/>
        </w:rPr>
        <w:t>захисн</w:t>
      </w:r>
      <w:r w:rsidR="00A40080" w:rsidRPr="005023E4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Pr="005023E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імунн</w:t>
      </w:r>
      <w:r w:rsidR="00A40080" w:rsidRPr="005023E4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відповідь, можна вибрати </w:t>
      </w:r>
      <w:r w:rsidR="00BB04F1" w:rsidRPr="00213C4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вищу дозу </w:t>
      </w:r>
      <w:r w:rsidRPr="00213C4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антигену, </w:t>
      </w:r>
      <w:r w:rsidR="00821B03" w:rsidRPr="00213C45">
        <w:rPr>
          <w:rStyle w:val="ad"/>
          <w:rFonts w:ascii="Times New Roman" w:hAnsi="Times New Roman" w:cs="Times New Roman"/>
          <w:i w:val="0"/>
          <w:sz w:val="28"/>
          <w:szCs w:val="28"/>
        </w:rPr>
        <w:t>при як</w:t>
      </w:r>
      <w:r w:rsidR="00BB04F1" w:rsidRPr="00213C45">
        <w:rPr>
          <w:rStyle w:val="ad"/>
          <w:rFonts w:ascii="Times New Roman" w:hAnsi="Times New Roman" w:cs="Times New Roman"/>
          <w:i w:val="0"/>
          <w:sz w:val="28"/>
          <w:szCs w:val="28"/>
        </w:rPr>
        <w:t>ій</w:t>
      </w:r>
      <w:r w:rsidR="00821B0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немає помітного посилення імунної відповіді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BB04F1" w:rsidRPr="005023E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крім випадків, </w:t>
      </w:r>
      <w:r w:rsidR="00EF23BD">
        <w:rPr>
          <w:rStyle w:val="ad"/>
          <w:rFonts w:ascii="Times New Roman" w:hAnsi="Times New Roman" w:cs="Times New Roman"/>
          <w:i w:val="0"/>
          <w:sz w:val="28"/>
          <w:szCs w:val="28"/>
        </w:rPr>
        <w:t>якщо тільки</w:t>
      </w:r>
      <w:r w:rsidRPr="005023E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цією дозою </w:t>
      </w:r>
      <w:r w:rsidR="00EF23BD" w:rsidRPr="00F375B7">
        <w:rPr>
          <w:rStyle w:val="ad"/>
          <w:rFonts w:ascii="Times New Roman" w:hAnsi="Times New Roman" w:cs="Times New Roman"/>
          <w:i w:val="0"/>
          <w:sz w:val="28"/>
          <w:szCs w:val="28"/>
        </w:rPr>
        <w:t>не існує</w:t>
      </w:r>
      <w:r w:rsidR="00423068" w:rsidRPr="00F375B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проблем</w:t>
      </w:r>
      <w:r w:rsidR="0042306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безпекою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BB04F1" w:rsidRPr="00213C4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що </w:t>
      </w:r>
      <w:r w:rsidR="00CE43B1" w:rsidRPr="00213C45">
        <w:rPr>
          <w:rStyle w:val="ad"/>
          <w:rFonts w:ascii="Times New Roman" w:hAnsi="Times New Roman" w:cs="Times New Roman"/>
          <w:i w:val="0"/>
          <w:sz w:val="28"/>
          <w:szCs w:val="28"/>
        </w:rPr>
        <w:t>обмежую</w:t>
      </w:r>
      <w:r w:rsidR="00BB04F1" w:rsidRPr="00213C45">
        <w:rPr>
          <w:rStyle w:val="ad"/>
          <w:rFonts w:ascii="Times New Roman" w:hAnsi="Times New Roman" w:cs="Times New Roman"/>
          <w:i w:val="0"/>
          <w:sz w:val="28"/>
          <w:szCs w:val="28"/>
        </w:rPr>
        <w:t>ть</w:t>
      </w:r>
      <w:r w:rsidR="00CE43B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дозу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Для вакцин-кандидатів, які </w:t>
      </w:r>
      <w:r w:rsidR="00D300AA" w:rsidRPr="00213C45">
        <w:rPr>
          <w:rStyle w:val="ad"/>
          <w:rFonts w:ascii="Times New Roman" w:hAnsi="Times New Roman" w:cs="Times New Roman"/>
          <w:i w:val="0"/>
          <w:sz w:val="28"/>
          <w:szCs w:val="28"/>
        </w:rPr>
        <w:t>містять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векторні антигени, випробування з визначення дози повинні оцінювати потенційний вплив уже існуючих, а також викликаних вакциною імунних </w:t>
      </w:r>
      <w:r w:rsidR="00B63CD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реакцій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на векто</w:t>
      </w:r>
      <w:r w:rsidRPr="00E66BC8">
        <w:rPr>
          <w:rStyle w:val="ad"/>
          <w:rFonts w:ascii="Times New Roman" w:hAnsi="Times New Roman" w:cs="Times New Roman"/>
          <w:i w:val="0"/>
          <w:sz w:val="28"/>
          <w:szCs w:val="28"/>
        </w:rPr>
        <w:t>р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 імунні відповіді на антигени, отримані від цільових </w:t>
      </w:r>
      <w:r w:rsidR="00B200C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збудників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3D602E1A" w14:textId="3C6E5495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2) Для вакцин-кандидатів, які містять один або </w:t>
      </w:r>
      <w:r w:rsidR="006855CB" w:rsidRPr="00E66BC8">
        <w:rPr>
          <w:rStyle w:val="ad"/>
          <w:rFonts w:ascii="Times New Roman" w:hAnsi="Times New Roman" w:cs="Times New Roman"/>
          <w:i w:val="0"/>
          <w:sz w:val="28"/>
          <w:szCs w:val="28"/>
        </w:rPr>
        <w:t>кілька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антигенів, що раніше </w:t>
      </w:r>
      <w:r w:rsidR="00F332E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не комбінувалися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 зареєстрованій вакцині, імунні відповіді </w:t>
      </w:r>
      <w:r w:rsidRPr="00E66BC8">
        <w:rPr>
          <w:rStyle w:val="ad"/>
          <w:rFonts w:ascii="Times New Roman" w:hAnsi="Times New Roman" w:cs="Times New Roman"/>
          <w:i w:val="0"/>
          <w:sz w:val="28"/>
          <w:szCs w:val="28"/>
        </w:rPr>
        <w:t>мож</w:t>
      </w:r>
      <w:r w:rsidR="006855CB" w:rsidRPr="00E66BC8">
        <w:rPr>
          <w:rStyle w:val="ad"/>
          <w:rFonts w:ascii="Times New Roman" w:hAnsi="Times New Roman" w:cs="Times New Roman"/>
          <w:i w:val="0"/>
          <w:sz w:val="28"/>
          <w:szCs w:val="28"/>
        </w:rPr>
        <w:t>на</w:t>
      </w:r>
      <w:r w:rsidRPr="00E66BC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порівнювати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тими, що спостерігалися після кожного окремого введення цих антигенів, щоб оцінити будь-який вплив нових комбінацій на імунну відповідь. </w:t>
      </w:r>
      <w:r w:rsidR="0011407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Проте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оцінка </w:t>
      </w:r>
      <w:r w:rsidR="00D724C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ефектів ко</w:t>
      </w:r>
      <w:r w:rsidR="002766E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мбінування</w:t>
      </w:r>
      <w:r w:rsidR="00D724C0" w:rsidRPr="00B02BAD">
        <w:rPr>
          <w:rStyle w:val="ad"/>
          <w:rFonts w:ascii="Times New Roman" w:hAnsi="Times New Roman" w:cs="Times New Roman"/>
          <w:i w:val="0"/>
          <w:color w:val="8EAADB" w:themeColor="accent5" w:themeTint="99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окремих антигенів може бути непотрібною </w:t>
      </w:r>
      <w:r w:rsidR="00D724C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або неможливою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якщо: </w:t>
      </w:r>
    </w:p>
    <w:p w14:paraId="2DD57E34" w14:textId="77777777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a) </w:t>
      </w:r>
      <w:r w:rsidR="00544D4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потрібно комбінувати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дуже велику кількість антигенів (напр</w:t>
      </w:r>
      <w:r w:rsidR="000D5B9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иклад,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декілька підтипів </w:t>
      </w:r>
      <w:r w:rsidR="000D5B9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збудника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); </w:t>
      </w:r>
    </w:p>
    <w:p w14:paraId="725753CD" w14:textId="2B1CE782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б) антиген(и), що розглядається(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ються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), буде</w:t>
      </w:r>
      <w:r w:rsidR="006855CB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(</w:t>
      </w:r>
      <w:proofErr w:type="spellStart"/>
      <w:r w:rsidR="006855CB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уть</w:t>
      </w:r>
      <w:proofErr w:type="spellEnd"/>
      <w:r w:rsidR="006855CB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)</w:t>
      </w: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доданий(</w:t>
      </w:r>
      <w:r w:rsidR="006855CB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)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 зареєстрованої комбінованої вакцини</w:t>
      </w:r>
      <w:r w:rsidR="0034045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40453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— в цьому</w:t>
      </w: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855CB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разі</w:t>
      </w: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</w:t>
      </w:r>
      <w:r w:rsidR="00340453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на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порівнювати комбіновану вакцину-кандидат</w:t>
      </w:r>
      <w:r w:rsidR="006855CB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окремими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введеннями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зареєстрованої комбінованої вакцини та додаткового(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их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) антигену(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ів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); </w:t>
      </w:r>
    </w:p>
    <w:p w14:paraId="7ABC6A5A" w14:textId="77777777" w:rsidR="00340453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в) комбінована вакцина-кандидат </w:t>
      </w:r>
      <w:r w:rsidR="00340453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містить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лише антигени, </w:t>
      </w:r>
      <w:r w:rsidR="002766E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які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вже </w:t>
      </w:r>
      <w:r w:rsidR="0011407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включені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до складу інших зареєстрованих вакцин, </w:t>
      </w:r>
      <w:r w:rsidR="00340453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—</w:t>
      </w: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 цьому </w:t>
      </w:r>
      <w:r w:rsidR="00340453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разі</w:t>
      </w: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</w:t>
      </w:r>
      <w:r w:rsidR="00340453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-кандидат</w:t>
      </w:r>
      <w:r w:rsidR="00340453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</w:t>
      </w:r>
      <w:r w:rsidR="00340453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на</w:t>
      </w: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порівнювати з окремими </w:t>
      </w:r>
      <w:proofErr w:type="spellStart"/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введеннями</w:t>
      </w:r>
      <w:proofErr w:type="spellEnd"/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зареєстрованих вакцин або, якщо вони вже схвалені для с</w:t>
      </w:r>
      <w:r w:rsidR="00340453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уміс</w:t>
      </w: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ного </w:t>
      </w:r>
      <w:r w:rsidR="00544D4E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введення</w:t>
      </w: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, вакцин</w:t>
      </w:r>
      <w:r w:rsidR="00340453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-кандидат</w:t>
      </w:r>
      <w:r w:rsidR="00340453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</w:t>
      </w:r>
      <w:r w:rsidR="00340453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на</w:t>
      </w: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порівнювати з супутнім введенням зареєстрованих вакцин.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1B36C12F" w14:textId="111863DF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Можуть бути </w:t>
      </w:r>
      <w:r w:rsidR="002A4D6C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застосовані</w:t>
      </w: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й інші </w:t>
      </w:r>
      <w:r w:rsidR="00A67960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схеми</w:t>
      </w: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544D4E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 </w:t>
      </w: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необхідність та обсяг випробувань </w:t>
      </w:r>
      <w:r w:rsidR="00544D4E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слід ви</w:t>
      </w:r>
      <w:r w:rsidR="00340453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знач</w:t>
      </w:r>
      <w:r w:rsidR="00544D4E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ати</w:t>
      </w:r>
      <w:r w:rsidR="002766EA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5233C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окремо </w:t>
      </w: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в кожному випадку.</w:t>
      </w:r>
    </w:p>
    <w:p w14:paraId="1E9DD628" w14:textId="31AC5520" w:rsidR="00896EAB" w:rsidRPr="008D1C6B" w:rsidRDefault="002A4D6C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Спостерігався н</w:t>
      </w:r>
      <w:r w:rsidR="00896EAB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епередбачуван</w:t>
      </w:r>
      <w:r w:rsidR="00471813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ий</w:t>
      </w:r>
      <w:r w:rsidR="00896EAB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вплив на імунн</w:t>
      </w: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="00896EAB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відповід</w:t>
      </w: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ь</w:t>
      </w:r>
      <w:r w:rsidR="00896EAB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коли </w:t>
      </w: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певні</w:t>
      </w:r>
      <w:r w:rsidR="00896EAB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білково-</w:t>
      </w:r>
      <w:proofErr w:type="spellStart"/>
      <w:r w:rsidR="00896EAB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сахаридні</w:t>
      </w:r>
      <w:proofErr w:type="spellEnd"/>
      <w:r w:rsidR="00896EAB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896EAB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конʼюгати</w:t>
      </w:r>
      <w:proofErr w:type="spellEnd"/>
      <w:r w:rsidR="00896EAB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були </w:t>
      </w:r>
      <w:r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>додані</w:t>
      </w:r>
      <w:r w:rsidR="00896EAB" w:rsidRPr="0072049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 складу комбінованих вакцин-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кандидатів з деякими іншими антигенами, </w:t>
      </w:r>
      <w:r w:rsidR="0047181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включаючи інші </w:t>
      </w:r>
      <w:proofErr w:type="spellStart"/>
      <w:r w:rsidR="0047181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конʼюгати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Наприклад, </w:t>
      </w:r>
      <w:r w:rsidR="002766E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може бути посилена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імунна відповідь на антигени, </w:t>
      </w:r>
      <w:r w:rsidR="00C0349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які є такими ж, як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білок-носій у </w:t>
      </w:r>
      <w:proofErr w:type="spellStart"/>
      <w:r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>конʼюгаті</w:t>
      </w:r>
      <w:proofErr w:type="spellEnd"/>
      <w:r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(наприклад, правцевий </w:t>
      </w:r>
      <w:r w:rsidR="000B2699"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>анатоксин</w:t>
      </w:r>
      <w:r w:rsidR="00896EAB"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або </w:t>
      </w:r>
      <w:r w:rsidR="00B86C4B"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>дуже подібні до нього</w:t>
      </w:r>
      <w:r w:rsidR="00A67960"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(наприклад, дифтерійний </w:t>
      </w:r>
      <w:r w:rsidR="000B2699"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анатоксин </w:t>
      </w:r>
      <w:r w:rsidR="00896EAB"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>і CRM1</w:t>
      </w:r>
      <w:r w:rsidR="002766EA"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>97).</w:t>
      </w:r>
      <w:r w:rsidR="00896EAB"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766EA"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>Слід ретельно вивчити п</w:t>
      </w:r>
      <w:r w:rsidR="00896EAB"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>отенціал</w:t>
      </w:r>
      <w:r w:rsidR="00C03494"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підвищення або зниження імунних відповідей</w:t>
      </w:r>
      <w:r w:rsidR="00896EAB"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="00896EAB"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>конʼюговані</w:t>
      </w:r>
      <w:proofErr w:type="spellEnd"/>
      <w:r w:rsidR="00896EAB"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антигени та на </w:t>
      </w:r>
      <w:proofErr w:type="spellStart"/>
      <w:r w:rsidR="00896EAB"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>конʼюгативні</w:t>
      </w:r>
      <w:proofErr w:type="spellEnd"/>
      <w:r w:rsidR="00896EAB"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білки. </w:t>
      </w:r>
    </w:p>
    <w:p w14:paraId="282D8B35" w14:textId="5EB42929" w:rsidR="00896EAB" w:rsidRPr="00661247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>3)</w:t>
      </w:r>
      <w:r w:rsidR="00C77D5E"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86C4B"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>Щ</w:t>
      </w:r>
      <w:r w:rsidR="000302A6"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>оразу</w:t>
      </w:r>
      <w:r w:rsidR="000302A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коли</w:t>
      </w:r>
      <w:r w:rsidR="00C77D5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C77D5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д’ювант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86C4B"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>потрібно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включити до складу вакцини, незалежно від того, чи є</w:t>
      </w:r>
      <w:r w:rsidR="00C77D5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86C4B"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>він</w:t>
      </w:r>
      <w:r w:rsidR="000302A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компонентом зареєстрованих вакцин, наявні дані про безпеку та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імуногенність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повинні підтверджувати кількість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ад’ювант</w:t>
      </w:r>
      <w:r w:rsidR="00B86C4B" w:rsidRPr="008D1C6B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що міститься</w:t>
      </w:r>
      <w:r w:rsidR="000302A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 кожній дозі. </w:t>
      </w:r>
      <w:r w:rsidR="00B86C4B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>Для</w:t>
      </w:r>
      <w:r w:rsidR="000302A6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підтвердж</w:t>
      </w:r>
      <w:r w:rsidR="00B86C4B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ення </w:t>
      </w:r>
      <w:r w:rsidR="000302A6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>мож</w:t>
      </w:r>
      <w:r w:rsidR="00B86C4B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>на</w:t>
      </w:r>
      <w:r w:rsidR="000302A6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використа</w:t>
      </w:r>
      <w:r w:rsidR="00B86C4B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>ти</w:t>
      </w:r>
      <w:r w:rsidR="000302A6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попередні</w:t>
      </w:r>
      <w:r w:rsidR="00D14344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й досвід застосування того ж </w:t>
      </w:r>
      <w:proofErr w:type="spellStart"/>
      <w:r w:rsidR="00D14344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>адʼ</w:t>
      </w:r>
      <w:r w:rsidR="000302A6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>ювант</w:t>
      </w:r>
      <w:r w:rsidR="00B86C4B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proofErr w:type="spellEnd"/>
      <w:r w:rsidR="00D14344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76423F73" w14:textId="3C37B182" w:rsidR="00896EAB" w:rsidRPr="00B02BAD" w:rsidRDefault="002766EA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>В</w:t>
      </w:r>
      <w:r w:rsidR="00896EAB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ключення </w:t>
      </w:r>
      <w:proofErr w:type="spellStart"/>
      <w:r w:rsidR="00896EAB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>адʼювант</w:t>
      </w:r>
      <w:r w:rsidR="00B86C4B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proofErr w:type="spellEnd"/>
      <w:r w:rsidR="00896EAB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складу вакцини-кандидата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вимагає відповідної аргументації, яка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може ґрунтуват</w:t>
      </w:r>
      <w:r w:rsidR="00D1434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ися на поєднанні </w:t>
      </w:r>
      <w:proofErr w:type="spellStart"/>
      <w:r w:rsidR="00D1434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клінічних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та клінічних даних. У більшості випадків посилення </w:t>
      </w:r>
      <w:r w:rsidR="00D1434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імунної відповіді на один або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кілька антигенних компонентів </w:t>
      </w:r>
      <w:r w:rsidR="00D1434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має бути </w:t>
      </w:r>
      <w:r w:rsidR="00E32D8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продемонстровано у клінічних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32D8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випробуваннях</w:t>
      </w:r>
      <w:r w:rsidR="00896EAB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B86C4B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="00896EAB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як</w:t>
      </w:r>
      <w:r w:rsidR="00E32D8B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>их</w:t>
      </w:r>
      <w:r w:rsidR="00896EAB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безпосередньо порівнюють препарати з </w:t>
      </w:r>
      <w:proofErr w:type="spellStart"/>
      <w:r w:rsidR="00896EAB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>адʼювантом</w:t>
      </w:r>
      <w:proofErr w:type="spellEnd"/>
      <w:r w:rsidR="00896EAB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 без </w:t>
      </w:r>
      <w:r w:rsidR="00E32D8B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>нього</w:t>
      </w:r>
      <w:r w:rsidR="00896EAB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>. Альтернативно або додатково включення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адʼюванта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може слугувати для зменшення кількості антигенного компонента(</w:t>
      </w:r>
      <w:proofErr w:type="spellStart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ів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), необхідного(</w:t>
      </w:r>
      <w:proofErr w:type="spellStart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их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для досягнення цільової імунної відповіді. Ця стратегія може бути важливою, коли існують обмеження </w:t>
      </w:r>
      <w:r w:rsidR="00B86C4B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="00896EAB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постачанн</w:t>
      </w:r>
      <w:r w:rsidR="00B86C4B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</w:t>
      </w:r>
      <w:r w:rsidR="002976C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445F7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пов’язані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виробництвом антигенного(</w:t>
      </w:r>
      <w:proofErr w:type="spellStart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их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) компонента(</w:t>
      </w:r>
      <w:proofErr w:type="spellStart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ів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), і </w:t>
      </w:r>
      <w:r w:rsidR="00CD05AA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>виникає потреба</w:t>
      </w:r>
      <w:r w:rsidR="00896EAB" w:rsidRPr="0066124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забезпечити велику кількість доз протягом обмеженого часу (нап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риклад, для боротьби з пандемічним грипом).</w:t>
      </w:r>
    </w:p>
    <w:p w14:paraId="66891EC1" w14:textId="77777777" w:rsidR="00544D4E" w:rsidRPr="00B02BAD" w:rsidRDefault="00544D4E" w:rsidP="000A527A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bookmarkStart w:id="8" w:name="_bookmark12"/>
      <w:bookmarkEnd w:id="8"/>
    </w:p>
    <w:p w14:paraId="356DB53F" w14:textId="77777777" w:rsidR="00896EAB" w:rsidRPr="00B02BAD" w:rsidRDefault="00896EAB" w:rsidP="000A527A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3.4.2</w:t>
      </w:r>
      <w:r w:rsidR="00A15587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.</w:t>
      </w: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 Графік</w:t>
      </w:r>
    </w:p>
    <w:p w14:paraId="4CCEF147" w14:textId="77777777" w:rsidR="00C77D5E" w:rsidRPr="00B02BAD" w:rsidRDefault="00C77D5E" w:rsidP="000B35AD">
      <w:pPr>
        <w:spacing w:after="0" w:line="24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3A0AFDE5" w14:textId="77777777" w:rsidR="00896EAB" w:rsidRPr="00B02BAD" w:rsidRDefault="00896EAB" w:rsidP="000A527A">
      <w:pPr>
        <w:spacing w:after="0" w:line="360" w:lineRule="auto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sz w:val="28"/>
          <w:szCs w:val="28"/>
        </w:rPr>
        <w:t>Первинна вакцинація</w:t>
      </w:r>
    </w:p>
    <w:p w14:paraId="6D752EA7" w14:textId="4B2FD084" w:rsidR="00896EAB" w:rsidRPr="00B02BAD" w:rsidRDefault="00E32D8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>Д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аних з </w:t>
      </w:r>
      <w:proofErr w:type="spellStart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імуногенності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2185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має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бути достатньо для визначення мінімальної кількості доз, необхідних для отримання </w:t>
      </w:r>
      <w:r w:rsidR="00896EAB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імунн</w:t>
      </w:r>
      <w:r w:rsidR="00B40C7F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ої</w:t>
      </w:r>
      <w:r w:rsidR="00896EAB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відповід</w:t>
      </w:r>
      <w:r w:rsidR="00B40C7F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="00896EAB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 рівні </w:t>
      </w:r>
      <w:r w:rsidR="00B40C7F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не нижче </w:t>
      </w:r>
      <w:r w:rsidR="007A32AF" w:rsidRPr="007A32AF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</w:t>
      </w:r>
      <w:r w:rsidR="00B40C7F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чи</w:t>
      </w:r>
      <w:r w:rsidR="00896EAB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порогового значення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або, </w:t>
      </w:r>
      <w:r w:rsidR="00751BB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у разі відсутності обох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751BB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для максимального збільшення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імунної відповіді, </w:t>
      </w:r>
      <w:r w:rsidR="0047756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яку можна безпечно досягти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 цільовій популяції </w:t>
      </w:r>
      <w:r w:rsidR="00B40C7F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чи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субпопуляціях (наприклад, вікових підгрупах). </w:t>
      </w:r>
      <w:r w:rsidR="0047756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Відповідний(і) інтервал(и) між дозами слід досліджувати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 урахуванням наявних даних про кінетику імунної відповіді на кожну </w:t>
      </w:r>
      <w:r w:rsidR="0047756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послідовну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дозу.</w:t>
      </w:r>
    </w:p>
    <w:p w14:paraId="438BBE4B" w14:textId="7E77BACA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немовлят </w:t>
      </w:r>
      <w:r w:rsidR="00B40C7F" w:rsidRPr="007A32AF">
        <w:rPr>
          <w:rFonts w:ascii="Times New Roman" w:hAnsi="Times New Roman" w:cs="Times New Roman"/>
          <w:sz w:val="28"/>
          <w:szCs w:val="28"/>
          <w:shd w:val="clear" w:color="auto" w:fill="FFFFFF"/>
        </w:rPr>
        <w:t>часто</w:t>
      </w:r>
      <w:r w:rsidR="00B40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2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дуже важливо якомога раніше </w:t>
      </w:r>
      <w:r w:rsidR="000264F2" w:rsidRPr="00B02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визначити </w:t>
      </w:r>
      <w:r w:rsidRPr="00B02BAD">
        <w:rPr>
          <w:rFonts w:ascii="Times New Roman" w:hAnsi="Times New Roman" w:cs="Times New Roman"/>
          <w:sz w:val="28"/>
          <w:szCs w:val="28"/>
          <w:shd w:val="clear" w:color="auto" w:fill="FFFFFF"/>
        </w:rPr>
        <w:t>графік, що забезпечує захисну імунну відповідь.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32D8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Ві</w:t>
      </w:r>
      <w:r w:rsidR="000264F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рогідність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того, що материнські антитіла можуть </w:t>
      </w:r>
      <w:r w:rsidR="00F11D4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зменшити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11D4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величину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імунної відповіді </w:t>
      </w:r>
      <w:r w:rsidR="00F11D4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немовляти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 вакцинацію, </w:t>
      </w:r>
      <w:r w:rsidR="00B40C7F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слід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оцінювати, </w:t>
      </w:r>
      <w:r w:rsidR="00503244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вивч</w:t>
      </w:r>
      <w:r w:rsidR="00B40C7F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аючи</w:t>
      </w:r>
      <w:r w:rsidR="00503244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зв’яз</w:t>
      </w:r>
      <w:r w:rsidR="00B40C7F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ок</w:t>
      </w:r>
      <w:r w:rsidR="00503244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між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рівнями антитіл до і після </w:t>
      </w:r>
      <w:proofErr w:type="spellStart"/>
      <w:r w:rsidR="006B32D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вакцинування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50324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Якщо </w:t>
      </w:r>
      <w:r w:rsidR="00E32D8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вже </w:t>
      </w:r>
      <w:r w:rsidR="0050324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існуючі материнські антитіла мають потенційно клінічно значущий негативний ефект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може бути доцільним дослідити імунну відповідь</w:t>
      </w:r>
      <w:r w:rsidR="0050324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 немовлят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коли первинна імунізація починається або завершується в дещо більш пізньому віці. Крім того, при визначенні найбільш раннього віку, в якому можна вводити першу дозу</w:t>
      </w:r>
      <w:r w:rsidR="00D84B0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може бути корисним оцінити, чи відбувся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праймінг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незважаючи на знижену імунну відповідь немовляти</w:t>
      </w:r>
      <w:r w:rsidR="00D84B0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63102660" w14:textId="659B9751" w:rsidR="00896EAB" w:rsidRPr="00B02BAD" w:rsidRDefault="000007E4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У разі</w:t>
      </w:r>
      <w:r w:rsidR="00896EAB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регулярно</w:t>
      </w:r>
      <w:r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го</w:t>
      </w:r>
      <w:r w:rsidR="00896EAB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застосуванн</w:t>
      </w:r>
      <w:r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я</w:t>
      </w:r>
      <w:r w:rsidR="00896EAB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немає необхідності оцінювати імунні відповіді на вакцину-кандидат</w:t>
      </w:r>
      <w:r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="00896EAB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при декількох графіках імунізації немовлят.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Наприклад, якщо зроблено висновок, що, ймовірно, потрібно 2 дози, оцінка імунної відповіді у 2 та 4 місяці буде достатньою для обґрунтування графіка, який починається та/або закінчується в більш пізньому віці, оскільки імунна відповідь, як правило, вища, а не нижча, коли вік </w:t>
      </w:r>
      <w:r w:rsidR="00911804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немовляти</w:t>
      </w:r>
      <w:r w:rsidR="0091180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 момент </w:t>
      </w:r>
      <w:r w:rsidR="00896EAB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вакцинації збільшується. Оцінка імунних </w:t>
      </w:r>
      <w:r w:rsidR="008836AD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відповідей</w:t>
      </w:r>
      <w:r w:rsidR="00896EAB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 </w:t>
      </w:r>
      <w:r w:rsidR="00911804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немовлят </w:t>
      </w:r>
      <w:r w:rsidR="00896EAB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ві</w:t>
      </w:r>
      <w:r w:rsidR="00911804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ком</w:t>
      </w:r>
      <w:r w:rsidR="00896EAB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2 та 4 місяці не може бути підставою для застосування графіка, </w:t>
      </w:r>
      <w:r w:rsidR="00911804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коли вакцинація </w:t>
      </w:r>
      <w:r w:rsidR="00896EAB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починається у віці до 2 місяців або </w:t>
      </w:r>
      <w:r w:rsidR="00911804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проводиться </w:t>
      </w:r>
      <w:r w:rsidR="00896EAB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з 1-місячним інтервалом між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дозами.</w:t>
      </w:r>
    </w:p>
    <w:p w14:paraId="7D9D16A0" w14:textId="4AD89A4D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Для різних цільових груп населення (наприклад, недоношених дітей, людей похилого віку, пацієнтів з імунодефіцитом та пацієнтів, які перебувають на гемодіалізі) можуть бути встановлені різні графіки. </w:t>
      </w:r>
      <w:r w:rsidR="00911804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Особливі</w:t>
      </w:r>
      <w:r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графіки також </w:t>
      </w:r>
      <w:r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можуть </w:t>
      </w:r>
      <w:r w:rsidR="00911804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бути потрібні</w:t>
      </w:r>
      <w:r w:rsidR="009B3631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для груп населення, яким з практичних міркувань необхідна одноразова вакцинація або </w:t>
      </w:r>
      <w:r w:rsidR="005643B0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с</w:t>
      </w:r>
      <w:r w:rsidR="009B3631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коро</w:t>
      </w:r>
      <w:r w:rsidR="005643B0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чений</w:t>
      </w:r>
      <w:r w:rsidR="009B3631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графік прийому (напр.</w:t>
      </w:r>
      <w:r w:rsidR="005643B0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для</w:t>
      </w:r>
      <w:r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мандрівник</w:t>
      </w:r>
      <w:r w:rsidR="005643B0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ів</w:t>
      </w:r>
      <w:r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та вагітн</w:t>
      </w:r>
      <w:r w:rsidR="005643B0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их</w:t>
      </w:r>
      <w:r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жін</w:t>
      </w:r>
      <w:r w:rsidR="005643B0"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ок</w:t>
      </w:r>
      <w:r w:rsidRPr="007A32AF">
        <w:rPr>
          <w:rStyle w:val="ad"/>
          <w:rFonts w:ascii="Times New Roman" w:hAnsi="Times New Roman" w:cs="Times New Roman"/>
          <w:i w:val="0"/>
          <w:sz w:val="28"/>
          <w:szCs w:val="28"/>
        </w:rPr>
        <w:t>).</w:t>
      </w:r>
    </w:p>
    <w:p w14:paraId="0E79EB98" w14:textId="77777777" w:rsidR="00ED419C" w:rsidRPr="00B02BAD" w:rsidRDefault="00ED419C" w:rsidP="00A64044">
      <w:pPr>
        <w:spacing w:after="0" w:line="240" w:lineRule="auto"/>
        <w:jc w:val="both"/>
        <w:rPr>
          <w:rStyle w:val="ad"/>
          <w:rFonts w:ascii="Times New Roman" w:hAnsi="Times New Roman" w:cs="Times New Roman"/>
          <w:sz w:val="28"/>
          <w:szCs w:val="28"/>
        </w:rPr>
      </w:pPr>
    </w:p>
    <w:p w14:paraId="764FD63F" w14:textId="77777777" w:rsidR="00896EAB" w:rsidRPr="00B02BAD" w:rsidRDefault="00896EAB" w:rsidP="000A527A">
      <w:pPr>
        <w:spacing w:after="0" w:line="360" w:lineRule="auto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sz w:val="28"/>
          <w:szCs w:val="28"/>
        </w:rPr>
        <w:t>Вакцинація після первинної вакцинації (ревакцинація)</w:t>
      </w:r>
    </w:p>
    <w:p w14:paraId="6FDB1948" w14:textId="77777777" w:rsidR="00797142" w:rsidRPr="00B02BAD" w:rsidRDefault="00797142" w:rsidP="00A64044">
      <w:pPr>
        <w:spacing w:after="0" w:line="24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4365DCA9" w14:textId="357A3777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Здатність первинної серії вакцинації викликати імунну </w:t>
      </w:r>
      <w:r w:rsidR="008337F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пам’ять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може бути продемонстрован</w:t>
      </w:r>
      <w:r w:rsidR="00602B0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6181C"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>після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введення повторної дози тієї ж вакцини щонайменше через 6 місяців після завершення первинної серії вакцинації. Якщо </w:t>
      </w:r>
      <w:r w:rsidR="00B169B7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GMC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або </w:t>
      </w:r>
      <w:r w:rsidR="00B169B7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GMT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після наступного введення дози вищі за значення після первинної дози та/або вищі в групі, яка раніше отримала первинну серію, ніж у раніше невакцинованій групі відповідного віку, яка отримала одноразову дозу, можна зробити висновок, що первинна серія вакцинації викликала Т-клітинну </w:t>
      </w:r>
      <w:r w:rsidR="0079714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залежну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імунну відповідь, яка </w:t>
      </w:r>
      <w:r w:rsidR="00984664"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>спричинила</w:t>
      </w:r>
      <w:r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анамнестичн</w:t>
      </w:r>
      <w:r w:rsidR="00984664"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реакці</w:t>
      </w:r>
      <w:r w:rsidR="00984664"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>ю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 повторну (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бустерну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) дозу вакцини.</w:t>
      </w:r>
    </w:p>
    <w:p w14:paraId="35CF22D3" w14:textId="15E01918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Якщо відомо, що для підтримки захисту </w:t>
      </w:r>
      <w:r w:rsidR="00984664"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>будуть потрібні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додаткові дози, імунну відповідь на одну або декілька доз після первинних </w:t>
      </w:r>
      <w:r w:rsidR="00B3695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серій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зазвичай </w:t>
      </w:r>
      <w:r w:rsidR="00B3695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слід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досліджувати в ході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передреєстраційних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випробувань. Якщо ще не відомо, що для підтримки захисту від цільових </w:t>
      </w:r>
      <w:r w:rsidR="008E795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збудників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необхідні додаткові дози, </w:t>
      </w:r>
      <w:r w:rsidR="00B3695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слід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дослідити </w:t>
      </w:r>
      <w:r w:rsidR="00E32D8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потребу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 час введення додаткової(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их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дози(доз) після первинної серії. </w:t>
      </w:r>
      <w:r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>Визна</w:t>
      </w:r>
      <w:r w:rsidR="00984664"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>но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що потреба в додаткових дозах може бути визначена після </w:t>
      </w:r>
      <w:r w:rsidR="00ED646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отримання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первинно</w:t>
      </w:r>
      <w:r w:rsidR="00ED646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го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D646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дозволу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6677D3EA" w14:textId="19E0E496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color w:val="FFFFFF" w:themeColor="background1"/>
          <w:sz w:val="28"/>
          <w:szCs w:val="28"/>
        </w:rPr>
      </w:pPr>
      <w:r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>Деяк</w:t>
      </w:r>
      <w:r w:rsidR="00984664"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</w:t>
      </w:r>
      <w:r w:rsidR="00984664"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и </w:t>
      </w:r>
      <w:r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>виклика</w:t>
      </w:r>
      <w:r w:rsidR="00E27195"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>ють</w:t>
      </w:r>
      <w:r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імунну </w:t>
      </w:r>
      <w:r w:rsidR="008337F0"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>пам’ять</w:t>
      </w:r>
      <w:r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 первинній серії вакцинації, </w:t>
      </w:r>
      <w:r w:rsidR="00E27195"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>отже</w:t>
      </w:r>
      <w:r w:rsidR="00984664"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27195"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немає потреби </w:t>
      </w:r>
      <w:r w:rsidR="006840A9"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введення тієї ж дози </w:t>
      </w:r>
      <w:r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>для ревакцинації</w:t>
      </w:r>
      <w:r w:rsidR="00766705"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(</w:t>
      </w:r>
      <w:proofErr w:type="spellStart"/>
      <w:r w:rsidR="00766705"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>бустерної</w:t>
      </w:r>
      <w:proofErr w:type="spellEnd"/>
      <w:r w:rsidR="00766705"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дози)</w:t>
      </w:r>
      <w:r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Тому може бути </w:t>
      </w:r>
      <w:r w:rsidR="006840A9"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>до</w:t>
      </w:r>
      <w:r w:rsidR="00E27195"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>ціль</w:t>
      </w:r>
      <w:r w:rsidR="006840A9"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>ним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дослідити безпеку та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імуногенність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нижчих доз антигену для ревакцинації</w:t>
      </w:r>
      <w:r w:rsidR="006840A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ніж тих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що були використані для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праймінгу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або </w:t>
      </w:r>
      <w:r w:rsidR="006840A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провести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ревакцинаці</w:t>
      </w:r>
      <w:r w:rsidR="006840A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ю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6670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складом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який не містить </w:t>
      </w:r>
      <w:proofErr w:type="spellStart"/>
      <w:r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>адʼювант</w:t>
      </w:r>
      <w:r w:rsidR="00E27195"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proofErr w:type="spellEnd"/>
      <w:r w:rsidR="008337F0" w:rsidRPr="00B169B7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  <w:r w:rsidRPr="00B02BAD">
        <w:rPr>
          <w:rStyle w:val="ad"/>
          <w:rFonts w:ascii="Times New Roman" w:hAnsi="Times New Roman" w:cs="Times New Roman"/>
          <w:i w:val="0"/>
          <w:color w:val="FFFFFF" w:themeColor="background1"/>
          <w:sz w:val="28"/>
          <w:szCs w:val="28"/>
        </w:rPr>
        <w:t>.</w:t>
      </w:r>
    </w:p>
    <w:p w14:paraId="1E099AFE" w14:textId="38A68E90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Загалом, не рекомендується робити висновки </w:t>
      </w:r>
      <w:r w:rsidR="007D62C0" w:rsidRPr="00AB3A2F">
        <w:rPr>
          <w:rStyle w:val="ad"/>
          <w:rFonts w:ascii="Times New Roman" w:hAnsi="Times New Roman" w:cs="Times New Roman"/>
          <w:i w:val="0"/>
          <w:sz w:val="28"/>
          <w:szCs w:val="28"/>
        </w:rPr>
        <w:t>про</w:t>
      </w:r>
      <w:r w:rsidRPr="00AB3A2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необхідн</w:t>
      </w:r>
      <w:r w:rsidR="007D62C0" w:rsidRPr="00AB3A2F">
        <w:rPr>
          <w:rStyle w:val="ad"/>
          <w:rFonts w:ascii="Times New Roman" w:hAnsi="Times New Roman" w:cs="Times New Roman"/>
          <w:i w:val="0"/>
          <w:sz w:val="28"/>
          <w:szCs w:val="28"/>
        </w:rPr>
        <w:t>ість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введення наступних </w:t>
      </w:r>
      <w:r w:rsidR="00A5153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доз </w:t>
      </w:r>
      <w:r w:rsidR="0073132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після </w:t>
      </w:r>
      <w:r w:rsidR="00A5153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первинної вакцинації</w:t>
      </w:r>
      <w:r w:rsidR="0073132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лише на основі зниження рівня антитіл. </w:t>
      </w:r>
      <w:r w:rsidR="007D62C0" w:rsidRPr="00213C45">
        <w:rPr>
          <w:rStyle w:val="ad"/>
          <w:rFonts w:ascii="Times New Roman" w:hAnsi="Times New Roman" w:cs="Times New Roman"/>
          <w:i w:val="0"/>
          <w:sz w:val="28"/>
          <w:szCs w:val="28"/>
        </w:rPr>
        <w:t>З</w:t>
      </w:r>
      <w:r w:rsidRPr="00213C45">
        <w:rPr>
          <w:rStyle w:val="ad"/>
          <w:rFonts w:ascii="Times New Roman" w:hAnsi="Times New Roman" w:cs="Times New Roman"/>
          <w:i w:val="0"/>
          <w:sz w:val="28"/>
          <w:szCs w:val="28"/>
        </w:rPr>
        <w:t>ниження рівня антитіл</w:t>
      </w:r>
      <w:r w:rsidR="007D62C0" w:rsidRPr="00213C4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 деяких збудників</w:t>
      </w:r>
      <w:r w:rsidRPr="00213C45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 тому числі нижче передбачуваного </w:t>
      </w:r>
      <w:r w:rsidR="00AB3A2F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не </w:t>
      </w:r>
      <w:r w:rsidR="007D62C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обов’язково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вказує на втрату захисту, якщо </w:t>
      </w:r>
      <w:r w:rsidR="007D62C0" w:rsidRPr="00AB3A2F">
        <w:rPr>
          <w:rStyle w:val="ad"/>
          <w:rFonts w:ascii="Times New Roman" w:hAnsi="Times New Roman" w:cs="Times New Roman"/>
          <w:i w:val="0"/>
          <w:sz w:val="28"/>
          <w:szCs w:val="28"/>
        </w:rPr>
        <w:t>існувала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імунна </w:t>
      </w:r>
      <w:r w:rsidR="007D62C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пам’ять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(наприклад, </w:t>
      </w:r>
      <w:r w:rsidR="007D62C0" w:rsidRPr="00AB3A2F">
        <w:rPr>
          <w:rStyle w:val="ad"/>
          <w:rFonts w:ascii="Times New Roman" w:hAnsi="Times New Roman" w:cs="Times New Roman"/>
          <w:i w:val="0"/>
          <w:sz w:val="28"/>
          <w:szCs w:val="28"/>
        </w:rPr>
        <w:t>після застосування</w:t>
      </w:r>
      <w:r w:rsidR="007D62C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вакцини проти гепатиту В). </w:t>
      </w:r>
      <w:r w:rsidR="00931CB4" w:rsidRPr="00DB4E24">
        <w:rPr>
          <w:rStyle w:val="ad"/>
          <w:rFonts w:ascii="Times New Roman" w:hAnsi="Times New Roman" w:cs="Times New Roman"/>
          <w:i w:val="0"/>
          <w:sz w:val="28"/>
          <w:szCs w:val="28"/>
        </w:rPr>
        <w:t>Натомість при</w:t>
      </w:r>
      <w:r w:rsidRPr="00DB4E2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деяких </w:t>
      </w:r>
      <w:r w:rsidR="008E7958" w:rsidRPr="00DB4E24">
        <w:rPr>
          <w:rStyle w:val="ad"/>
          <w:rFonts w:ascii="Times New Roman" w:hAnsi="Times New Roman" w:cs="Times New Roman"/>
          <w:i w:val="0"/>
          <w:sz w:val="28"/>
          <w:szCs w:val="28"/>
        </w:rPr>
        <w:t>збудник</w:t>
      </w:r>
      <w:r w:rsidR="00931CB4" w:rsidRPr="00DB4E24">
        <w:rPr>
          <w:rStyle w:val="ad"/>
          <w:rFonts w:ascii="Times New Roman" w:hAnsi="Times New Roman" w:cs="Times New Roman"/>
          <w:i w:val="0"/>
          <w:sz w:val="28"/>
          <w:szCs w:val="28"/>
        </w:rPr>
        <w:t>ах</w:t>
      </w:r>
      <w:r w:rsidRPr="00DB4E24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які швидко </w:t>
      </w:r>
      <w:proofErr w:type="spellStart"/>
      <w:r w:rsidR="00F375B7">
        <w:rPr>
          <w:rStyle w:val="ad"/>
          <w:rFonts w:ascii="Times New Roman" w:hAnsi="Times New Roman" w:cs="Times New Roman"/>
          <w:i w:val="0"/>
          <w:sz w:val="28"/>
          <w:szCs w:val="28"/>
        </w:rPr>
        <w:t>інвазують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13C45">
        <w:rPr>
          <w:rStyle w:val="ad"/>
          <w:rFonts w:ascii="Times New Roman" w:hAnsi="Times New Roman" w:cs="Times New Roman"/>
          <w:i w:val="0"/>
          <w:sz w:val="28"/>
          <w:szCs w:val="28"/>
        </w:rPr>
        <w:t>(</w:t>
      </w:r>
      <w:r w:rsidR="00213C45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invade</w:t>
      </w:r>
      <w:r w:rsidR="00213C4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після колонізації (наприклад, </w:t>
      </w:r>
      <w:r w:rsidRPr="00DB4E24">
        <w:rPr>
          <w:rStyle w:val="ad"/>
          <w:rFonts w:ascii="Times New Roman" w:hAnsi="Times New Roman" w:cs="Times New Roman"/>
          <w:iCs w:val="0"/>
          <w:sz w:val="28"/>
          <w:szCs w:val="28"/>
        </w:rPr>
        <w:t xml:space="preserve">N. </w:t>
      </w:r>
      <w:proofErr w:type="spellStart"/>
      <w:r w:rsidRPr="00DB4E24">
        <w:rPr>
          <w:rStyle w:val="ad"/>
          <w:rFonts w:ascii="Times New Roman" w:hAnsi="Times New Roman" w:cs="Times New Roman"/>
          <w:iCs w:val="0"/>
          <w:sz w:val="28"/>
          <w:szCs w:val="28"/>
        </w:rPr>
        <w:t>meningitidis</w:t>
      </w:r>
      <w:proofErr w:type="spellEnd"/>
      <w:r w:rsidRPr="00DB4E24">
        <w:rPr>
          <w:rStyle w:val="ad"/>
          <w:rFonts w:ascii="Times New Roman" w:hAnsi="Times New Roman" w:cs="Times New Roman"/>
          <w:i w:val="0"/>
          <w:sz w:val="28"/>
          <w:szCs w:val="28"/>
        </w:rPr>
        <w:t>),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може бути </w:t>
      </w:r>
      <w:r w:rsidR="00EC76A3" w:rsidRPr="00DB4E24">
        <w:rPr>
          <w:rStyle w:val="ad"/>
          <w:rFonts w:ascii="Times New Roman" w:hAnsi="Times New Roman" w:cs="Times New Roman"/>
          <w:i w:val="0"/>
          <w:sz w:val="28"/>
          <w:szCs w:val="28"/>
        </w:rPr>
        <w:t>потрібним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підтримувати певний рівень </w:t>
      </w:r>
      <w:r w:rsidRPr="00F375B7">
        <w:rPr>
          <w:rStyle w:val="ad"/>
          <w:rFonts w:ascii="Times New Roman" w:hAnsi="Times New Roman" w:cs="Times New Roman"/>
          <w:i w:val="0"/>
          <w:sz w:val="28"/>
          <w:szCs w:val="28"/>
        </w:rPr>
        <w:t>циркулю</w:t>
      </w:r>
      <w:r w:rsidR="00F375B7" w:rsidRPr="00F375B7">
        <w:rPr>
          <w:rStyle w:val="ad"/>
          <w:rFonts w:ascii="Times New Roman" w:hAnsi="Times New Roman" w:cs="Times New Roman"/>
          <w:i w:val="0"/>
          <w:sz w:val="28"/>
          <w:szCs w:val="28"/>
        </w:rPr>
        <w:t>юч</w:t>
      </w:r>
      <w:r w:rsidRPr="00F375B7">
        <w:rPr>
          <w:rStyle w:val="ad"/>
          <w:rFonts w:ascii="Times New Roman" w:hAnsi="Times New Roman" w:cs="Times New Roman"/>
          <w:i w:val="0"/>
          <w:sz w:val="28"/>
          <w:szCs w:val="28"/>
        </w:rPr>
        <w:t>их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антитіл для забезпечення захисту, навіть якщо первинна вакцинація викликала імунну </w:t>
      </w:r>
      <w:r w:rsidR="008337F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пам’ять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З цих причин, коли це можливо і доцільно, бажано, щоб необхідність і строк введення наступних доз визначалися на основі </w:t>
      </w:r>
      <w:r w:rsidR="00F568F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тривалого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спостереження за </w:t>
      </w:r>
      <w:r w:rsidR="008337F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суб’єктами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які </w:t>
      </w:r>
      <w:r w:rsidR="00A5153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брали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участь у випробуваннях ефективності вакцини, та/або на основі досліджень </w:t>
      </w:r>
      <w:r w:rsidR="001774E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дієвості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вакцини</w:t>
      </w:r>
      <w:r w:rsidR="001774E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або </w:t>
      </w:r>
      <w:r w:rsidR="00EC76A3" w:rsidRPr="00DB4E2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 основі </w:t>
      </w:r>
      <w:r w:rsidRPr="00DB4E24">
        <w:rPr>
          <w:rStyle w:val="ad"/>
          <w:rFonts w:ascii="Times New Roman" w:hAnsi="Times New Roman" w:cs="Times New Roman"/>
          <w:i w:val="0"/>
          <w:sz w:val="28"/>
          <w:szCs w:val="28"/>
        </w:rPr>
        <w:t>даних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спостереження за захворюваннями, отриманих протягом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поствакцинального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періоду.</w:t>
      </w:r>
    </w:p>
    <w:p w14:paraId="718BB3B9" w14:textId="77777777" w:rsidR="00896EAB" w:rsidRPr="00B02BAD" w:rsidRDefault="00896EAB" w:rsidP="00A64044">
      <w:pPr>
        <w:spacing w:after="0" w:line="24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77ABBEB" w14:textId="77777777" w:rsidR="00896EAB" w:rsidRPr="00B02BAD" w:rsidRDefault="00896EAB" w:rsidP="000A527A">
      <w:pPr>
        <w:spacing w:after="0" w:line="360" w:lineRule="auto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sz w:val="28"/>
          <w:szCs w:val="28"/>
        </w:rPr>
        <w:t>Використання різних вакцин в межах графіків</w:t>
      </w:r>
    </w:p>
    <w:p w14:paraId="5A87D5A6" w14:textId="77777777" w:rsidR="00602B05" w:rsidRPr="00B02BAD" w:rsidRDefault="00602B05" w:rsidP="00A64044">
      <w:pPr>
        <w:spacing w:after="0" w:line="24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81C32BF" w14:textId="51288055" w:rsidR="00896EAB" w:rsidRPr="00B02BAD" w:rsidRDefault="00724CC3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>Нижче наведено рекомендації для випадків</w:t>
      </w:r>
      <w:r w:rsidR="00896EAB"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коли спонсори бажають включити в </w:t>
      </w:r>
      <w:r w:rsidR="0097094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к</w:t>
      </w:r>
      <w:r w:rsidR="00970948" w:rsidRPr="00B02BAD">
        <w:rPr>
          <w:rFonts w:ascii="Times New Roman" w:hAnsi="Times New Roman" w:cs="Times New Roman"/>
          <w:sz w:val="28"/>
          <w:szCs w:val="28"/>
        </w:rPr>
        <w:t>оротку характеристику лікарського засобу</w:t>
      </w:r>
      <w:r w:rsidR="0097094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(</w:t>
      </w:r>
      <w:r w:rsidR="00D912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SmPC</w:t>
      </w:r>
      <w:r w:rsidR="0097094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)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конкретні заяви щодо описаних способів </w:t>
      </w:r>
      <w:r w:rsidR="00D31BC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застосування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:</w:t>
      </w:r>
    </w:p>
    <w:p w14:paraId="5CD3A360" w14:textId="6FDE2246" w:rsidR="00896EAB" w:rsidRPr="00B02BAD" w:rsidRDefault="00724CC3" w:rsidP="00156779">
      <w:pPr>
        <w:pStyle w:val="a5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>д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ля обґрунтування </w:t>
      </w:r>
      <w:r w:rsidR="0005434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застосування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більше ніж однієї вакцини для отримання загальної кількості доз, необхідних </w:t>
      </w:r>
      <w:r w:rsidR="00E5531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межах первинного </w:t>
      </w:r>
      <w:r w:rsidR="00AD599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графіка </w:t>
      </w:r>
      <w:proofErr w:type="spellStart"/>
      <w:r w:rsidR="00966C9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вакцинування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0F300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слід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продемонструвати, що </w:t>
      </w:r>
      <w:r w:rsidR="00AD599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при використанні більше ніж однієї вакцини досягаються </w:t>
      </w:r>
      <w:r w:rsidR="00E5531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подібні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імунні відповіді порівняно з використанням окремо взятої вакцини для завершення </w:t>
      </w:r>
      <w:r w:rsidR="00AD599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графіка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;</w:t>
      </w:r>
    </w:p>
    <w:p w14:paraId="3E2F797C" w14:textId="0106CEFC" w:rsidR="00896EAB" w:rsidRPr="00087567" w:rsidRDefault="00087567" w:rsidP="00087567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б) </w:t>
      </w:r>
      <w:r w:rsidR="00C42C0F"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>д</w:t>
      </w:r>
      <w:r w:rsidR="00896EAB"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ля обґрунтування </w:t>
      </w:r>
      <w:r w:rsidR="0005434D"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застосування </w:t>
      </w:r>
      <w:r w:rsidR="00896EAB"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>вакцини для посилення імунн</w:t>
      </w:r>
      <w:r w:rsidR="00F803DA"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>их</w:t>
      </w:r>
      <w:r w:rsidR="00896EAB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відповід</w:t>
      </w:r>
      <w:r w:rsidR="00F803DA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>ей</w:t>
      </w:r>
      <w:r w:rsidR="00896EAB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 </w:t>
      </w:r>
      <w:r w:rsidR="00C23784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>суб’єктів</w:t>
      </w:r>
      <w:r w:rsidR="00896EAB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1C55E9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які отримали </w:t>
      </w:r>
      <w:r w:rsidR="00896EAB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>первинну серію з викор</w:t>
      </w:r>
      <w:r w:rsidR="00814ABB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истанням іншої вакцини, </w:t>
      </w:r>
      <w:r w:rsidR="00C42C0F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>суб’єктів</w:t>
      </w:r>
      <w:r w:rsidR="001C55E9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після первинної вакцинації однією вакциною можна </w:t>
      </w:r>
      <w:proofErr w:type="spellStart"/>
      <w:r w:rsidR="001C55E9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>рандомізувати</w:t>
      </w:r>
      <w:proofErr w:type="spellEnd"/>
      <w:r w:rsidR="00C23784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для отримання </w:t>
      </w:r>
      <w:proofErr w:type="spellStart"/>
      <w:r w:rsidR="00896EAB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>бустерної</w:t>
      </w:r>
      <w:proofErr w:type="spellEnd"/>
      <w:r w:rsidR="00896EAB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дози первинно</w:t>
      </w:r>
      <w:r w:rsidR="00E55311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>ї</w:t>
      </w:r>
      <w:r w:rsidR="00896EAB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</w:t>
      </w:r>
      <w:r w:rsidR="00E55311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="00243F99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>або запропоновано</w:t>
      </w:r>
      <w:r w:rsidR="0078602E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>ї</w:t>
      </w:r>
      <w:r w:rsidR="00896EAB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альтернативно</w:t>
      </w:r>
      <w:r w:rsidR="0078602E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>ї</w:t>
      </w:r>
      <w:r w:rsidR="00896EAB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</w:t>
      </w:r>
      <w:r w:rsidR="0078602E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="00896EAB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метою демонстрації </w:t>
      </w:r>
      <w:r w:rsidR="00E55311"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>не</w:t>
      </w:r>
      <w:r w:rsidR="00C42C0F"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55311"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>меншої</w:t>
      </w:r>
      <w:r w:rsidR="00E55311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ефективності</w:t>
      </w:r>
      <w:r w:rsidR="00D91206"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>імунних відповідей;</w:t>
      </w:r>
    </w:p>
    <w:p w14:paraId="3E545B32" w14:textId="2363AFBA" w:rsidR="00896EAB" w:rsidRPr="00087567" w:rsidRDefault="00087567" w:rsidP="00087567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в) </w:t>
      </w:r>
      <w:r w:rsidR="00C42C0F"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>д</w:t>
      </w:r>
      <w:r w:rsidR="00896EAB"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ля обґрунтування </w:t>
      </w:r>
      <w:r w:rsidR="00FC2FA5"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застосування </w:t>
      </w:r>
      <w:r w:rsidR="00896EAB"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різних </w:t>
      </w:r>
      <w:r w:rsidR="000F1E00"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вакцинних конструкцій </w:t>
      </w:r>
      <w:r w:rsidR="00896EAB"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>для</w:t>
      </w:r>
      <w:r w:rsidR="00896EAB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первинної вакцинації та </w:t>
      </w:r>
      <w:proofErr w:type="spellStart"/>
      <w:r w:rsidR="00896EAB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>бустерної</w:t>
      </w:r>
      <w:proofErr w:type="spellEnd"/>
      <w:r w:rsidR="00896EAB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дози</w:t>
      </w:r>
      <w:r w:rsidR="000F1E00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(</w:t>
      </w:r>
      <w:r w:rsidR="000F1E00"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>ревакцинації)</w:t>
      </w:r>
      <w:r w:rsidR="00896EAB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схему випробування можна порівняти з повторною дозою першої </w:t>
      </w:r>
      <w:r w:rsidR="000F1E00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вакцинної конструкції </w:t>
      </w:r>
      <w:r w:rsidR="00896EAB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>з метою демонстрації переваги імунн</w:t>
      </w:r>
      <w:r w:rsidR="00E55311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>их</w:t>
      </w:r>
      <w:r w:rsidR="00896EAB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відповід</w:t>
      </w:r>
      <w:r w:rsidR="00E55311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>ей</w:t>
      </w:r>
      <w:r w:rsidR="00896EAB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та/або розширення імунної відповіді </w:t>
      </w:r>
      <w:r w:rsidR="00896EAB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(наприклад, на декілька підтипів </w:t>
      </w:r>
      <w:r w:rsidR="000F1E00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>збудника</w:t>
      </w:r>
      <w:r w:rsidR="00896EAB" w:rsidRPr="00087567">
        <w:rPr>
          <w:rStyle w:val="ad"/>
          <w:rFonts w:ascii="Times New Roman" w:hAnsi="Times New Roman" w:cs="Times New Roman"/>
          <w:i w:val="0"/>
          <w:sz w:val="28"/>
          <w:szCs w:val="28"/>
        </w:rPr>
        <w:t>).</w:t>
      </w:r>
    </w:p>
    <w:p w14:paraId="49B7165B" w14:textId="77777777" w:rsidR="00D91206" w:rsidRPr="00B02BAD" w:rsidRDefault="00D91206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14A95CA" w14:textId="77777777" w:rsidR="00896EAB" w:rsidRPr="00B02BAD" w:rsidRDefault="00896EAB" w:rsidP="000A527A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bookmarkStart w:id="9" w:name="_bookmark13"/>
      <w:bookmarkEnd w:id="9"/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3.4.3</w:t>
      </w:r>
      <w:r w:rsidR="00A15587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.</w:t>
      </w: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 Шлях та/або спосіб введення </w:t>
      </w:r>
    </w:p>
    <w:p w14:paraId="75612F83" w14:textId="77777777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C689938" w14:textId="77777777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Для нової вакцини-кандидата вибір </w:t>
      </w:r>
      <w:r w:rsidR="00E5531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шляху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введення (наприклад,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внутрішньомʼязово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внутрішньошкірно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або підшкірно) повинен бути обґрунтований на основі попереднього досвіду застосування такого ж типу вакцини та/або клінічних даних, отриманих у ході досліджень початкової дози, </w:t>
      </w:r>
      <w:r w:rsidR="0072313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складу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та схеми введення вакцини.</w:t>
      </w:r>
    </w:p>
    <w:p w14:paraId="43CAD116" w14:textId="2C9A4FBC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Для </w:t>
      </w:r>
      <w:r w:rsidR="0072313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обґрунтування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альтернативного </w:t>
      </w:r>
      <w:r w:rsidR="00E5531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шляху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введення зареєстрованої вакцини без зміни її складу (наприклад, дозволити вакцин</w:t>
      </w:r>
      <w:r w:rsidR="008501E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зареєстрован</w:t>
      </w:r>
      <w:r w:rsidR="008501E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внутрішньомʼязового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введення, </w:t>
      </w:r>
      <w:r w:rsidR="008501E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вводити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інтраназально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або з використанням нового пристрою, такого як пластир</w:t>
      </w:r>
      <w:r w:rsidR="008501E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="008501E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мікроголками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), зі зміною або без зміни </w:t>
      </w:r>
      <w:r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>дози (доз) антигену, мож</w:t>
      </w:r>
      <w:r w:rsidR="00AB3F5B"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е бути </w:t>
      </w:r>
      <w:r w:rsidR="008501E1"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>необхідн</w:t>
      </w:r>
      <w:r w:rsidR="00AB3F5B"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>им</w:t>
      </w:r>
      <w:r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проведенн</w:t>
      </w:r>
      <w:r w:rsidR="00AB3F5B"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>я</w:t>
      </w:r>
      <w:r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61F94" w:rsidRPr="00D91206">
        <w:rPr>
          <w:rStyle w:val="ad"/>
          <w:rFonts w:ascii="Times New Roman" w:hAnsi="Times New Roman" w:cs="Times New Roman"/>
          <w:i w:val="0"/>
          <w:sz w:val="28"/>
          <w:szCs w:val="28"/>
        </w:rPr>
        <w:t>випробування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ефективності (див. розділ 4).</w:t>
      </w:r>
    </w:p>
    <w:p w14:paraId="6ECDE9A6" w14:textId="77777777" w:rsidR="00AB3F5B" w:rsidRPr="00B02BAD" w:rsidRDefault="00AB3F5B" w:rsidP="000A527A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</w:p>
    <w:p w14:paraId="4B5DD383" w14:textId="52C71AC8" w:rsidR="00896EAB" w:rsidRPr="00A176FC" w:rsidRDefault="00896EAB" w:rsidP="000A527A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3.5</w:t>
      </w:r>
      <w:r w:rsidR="00A15587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.</w:t>
      </w: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BB7507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Одночасне</w:t>
      </w: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E83093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застосування</w:t>
      </w:r>
      <w:r w:rsidR="00F21F4E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D91206" w:rsidRPr="00A176FC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(</w:t>
      </w:r>
      <w:r w:rsidR="00D91206">
        <w:rPr>
          <w:rStyle w:val="ad"/>
          <w:rFonts w:ascii="Times New Roman" w:hAnsi="Times New Roman" w:cs="Times New Roman"/>
          <w:b/>
          <w:i w:val="0"/>
          <w:sz w:val="28"/>
          <w:szCs w:val="28"/>
          <w:lang w:val="en-US"/>
        </w:rPr>
        <w:t>Concomitant</w:t>
      </w:r>
      <w:r w:rsidR="00D91206" w:rsidRPr="00A176FC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)</w:t>
      </w:r>
    </w:p>
    <w:p w14:paraId="6988176A" w14:textId="77777777" w:rsidR="00A64044" w:rsidRPr="00B02BAD" w:rsidRDefault="00A64044" w:rsidP="00CA215B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4F71AA5" w14:textId="5AA399A1" w:rsidR="00896EAB" w:rsidRPr="00B02BAD" w:rsidRDefault="00BB7507" w:rsidP="00CA215B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Одночасне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введення вакцин може призвести до підвищення або зниження імунної відповіді на певні антигенні компоненти порівняно з окремим введенням.</w:t>
      </w:r>
    </w:p>
    <w:p w14:paraId="36C5FD50" w14:textId="55A06A24" w:rsidR="00CD105F" w:rsidRPr="00B02BAD" w:rsidRDefault="00896EAB" w:rsidP="00DC2A9E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 момент </w:t>
      </w:r>
      <w:r w:rsidR="00A15B41" w:rsidRPr="00885229">
        <w:rPr>
          <w:rStyle w:val="ad"/>
          <w:rFonts w:ascii="Times New Roman" w:hAnsi="Times New Roman" w:cs="Times New Roman"/>
          <w:i w:val="0"/>
          <w:sz w:val="28"/>
          <w:szCs w:val="28"/>
        </w:rPr>
        <w:t>початкового етапу реєстрації</w:t>
      </w:r>
      <w:r w:rsidRPr="0088522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</w:t>
      </w:r>
      <w:r w:rsidR="00A15B41" w:rsidRPr="00885229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Pr="0088522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бажано</w:t>
      </w:r>
      <w:r w:rsidR="00A15B41" w:rsidRPr="0088522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мати</w:t>
      </w:r>
      <w:r w:rsidR="00A15B4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дані про </w:t>
      </w:r>
      <w:r w:rsidR="00E31B2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B7507">
        <w:rPr>
          <w:rStyle w:val="ad"/>
          <w:rFonts w:ascii="Times New Roman" w:hAnsi="Times New Roman" w:cs="Times New Roman"/>
          <w:i w:val="0"/>
          <w:sz w:val="28"/>
          <w:szCs w:val="28"/>
        </w:rPr>
        <w:t>одночасне</w:t>
      </w:r>
      <w:r w:rsidR="00E31B2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введення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вакцинами, які, найімовірніше, будуть вводитися одночасно для профілактики інших захворювань. </w:t>
      </w:r>
      <w:r w:rsidR="00A15B41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Якщо існує</w:t>
      </w:r>
      <w:r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декільк</w:t>
      </w:r>
      <w:r w:rsidR="00A15B41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зареєстрованих вакцин, які захищають від однієї і тієї ж хвороби (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хвороб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), може бути достатнім випробування</w:t>
      </w:r>
      <w:r w:rsidR="005002B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002B1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із</w:t>
      </w:r>
      <w:r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002B1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одночасним </w:t>
      </w:r>
      <w:r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введення</w:t>
      </w:r>
      <w:r w:rsidR="005002B1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м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однієї з цих вакцин, щоб зробити </w:t>
      </w:r>
      <w:r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загальн</w:t>
      </w:r>
      <w:r w:rsidR="005002B1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ий</w:t>
      </w:r>
      <w:r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002B1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висновок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про </w:t>
      </w:r>
      <w:r w:rsidR="00BB7507">
        <w:rPr>
          <w:rStyle w:val="ad"/>
          <w:rFonts w:ascii="Times New Roman" w:hAnsi="Times New Roman" w:cs="Times New Roman"/>
          <w:i w:val="0"/>
          <w:sz w:val="28"/>
          <w:szCs w:val="28"/>
        </w:rPr>
        <w:t>одночасне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застосування в </w:t>
      </w:r>
      <w:r w:rsidR="00E31B2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к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ороткій характеристиці лікарського засобу (</w:t>
      </w:r>
      <w:r w:rsidR="00D912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SmPC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). </w:t>
      </w:r>
      <w:r w:rsidR="00CD105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Однак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спостерігалося різне посилення або пригнічення</w:t>
      </w:r>
      <w:r w:rsidR="00CD105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імунної відповіді на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кон’юговані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сахариди, коли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білки-носії для </w:t>
      </w:r>
      <w:r w:rsidR="00F21F4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продуктів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що вводяться разом, були однаковими або різними, </w:t>
      </w:r>
      <w:r w:rsidR="00CD105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тому конкретний тип </w:t>
      </w:r>
      <w:proofErr w:type="spellStart"/>
      <w:r w:rsidR="00CD105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кон’югату</w:t>
      </w:r>
      <w:proofErr w:type="spellEnd"/>
      <w:r w:rsidR="00CD105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5002B1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щодо</w:t>
      </w:r>
      <w:r w:rsidR="00CD105F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якого </w:t>
      </w:r>
      <w:r w:rsidR="005002B1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є</w:t>
      </w:r>
      <w:r w:rsidR="00CD105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дані, слід вказати в </w:t>
      </w:r>
      <w:r w:rsidR="00D912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SmPC</w:t>
      </w:r>
      <w:r w:rsidR="00CD105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6493C9F1" w14:textId="32A96658" w:rsidR="00896EAB" w:rsidRPr="00B02BAD" w:rsidRDefault="00F8037C" w:rsidP="00706F34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Для деяких вакцин, наприкла</w:t>
      </w:r>
      <w:r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д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призначених для первинної серії вакцинації у немовлят, може </w:t>
      </w:r>
      <w:r w:rsidR="005002B1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потребуватися</w:t>
      </w:r>
      <w:r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гарант</w:t>
      </w:r>
      <w:r w:rsidR="005002B1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ія</w:t>
      </w:r>
      <w:r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що всі </w:t>
      </w:r>
      <w:r w:rsidR="00706F3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суб’єкти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клінічного випробування отримають усі необхідні антигени до досягнення певного віку. </w:t>
      </w:r>
      <w:r w:rsidR="005002B1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Щоб розв’язати</w:t>
      </w:r>
      <w:r w:rsidR="00286994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74902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ц</w:t>
      </w:r>
      <w:r w:rsidR="005002B1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е</w:t>
      </w:r>
      <w:r w:rsidR="00A74902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86994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завдання</w:t>
      </w:r>
      <w:r w:rsidR="005002B1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="00BA709D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можуть бути </w:t>
      </w:r>
      <w:r w:rsidR="005002B1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потрібні</w:t>
      </w:r>
      <w:r w:rsidR="00BA709D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випробування для порівняння</w:t>
      </w:r>
      <w:r w:rsidR="00BA709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одночасного введення вакцини з окремим введенням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зробленими в шаховому порядку (наприклад, порівняти одночасне введення в 2 і 4 місяці з введенням </w:t>
      </w:r>
      <w:r w:rsidR="00A7490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стандартних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 для немовлят в 2 і 4 місяці і вакцини-кандидата в 3 і 5 місяців). </w:t>
      </w:r>
      <w:r w:rsidR="002F17B5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Серед</w:t>
      </w:r>
      <w:r w:rsidR="00896EAB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старших вікових груп</w:t>
      </w:r>
      <w:r w:rsidR="002F17B5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A26CE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більш </w:t>
      </w:r>
      <w:r w:rsidR="002F17B5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можливо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знайти </w:t>
      </w:r>
      <w:r w:rsidR="005D5D0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популяці</w:t>
      </w:r>
      <w:r w:rsidR="009C21D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ї, у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яких одночасне введення </w:t>
      </w:r>
      <w:r w:rsidR="005D5D0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вакцин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можна порівняти з </w:t>
      </w:r>
      <w:r w:rsidR="00896EAB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окремим введенням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оскільки досягнення</w:t>
      </w:r>
      <w:r w:rsidR="009C21D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захисту від усіх антигенів за короткий проміжок часу може бути </w:t>
      </w:r>
      <w:r w:rsidR="002F17B5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не таке</w:t>
      </w:r>
      <w:r w:rsidR="00896EAB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C21D0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критичн</w:t>
      </w:r>
      <w:r w:rsidR="002F17B5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е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Для деяких типів вакцин, </w:t>
      </w:r>
      <w:r w:rsidR="00BA26C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таких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що зазвичай вводяться перед </w:t>
      </w:r>
      <w:r w:rsidR="009C21D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подорожжю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також важливо оцінити імунну </w:t>
      </w:r>
      <w:r w:rsidR="00A0050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інтерференцію</w:t>
      </w:r>
      <w:r w:rsidR="009C21D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при найбільш </w:t>
      </w:r>
      <w:r w:rsidR="009C21D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насиченому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графіку.</w:t>
      </w:r>
    </w:p>
    <w:p w14:paraId="14B70143" w14:textId="718BD781" w:rsidR="00A0050B" w:rsidRPr="00B02BAD" w:rsidRDefault="00A0050B" w:rsidP="00A0050B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bookmarkStart w:id="10" w:name="_bookmark15"/>
      <w:bookmarkEnd w:id="10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Якщо в ході досліджень </w:t>
      </w:r>
      <w:r w:rsidR="00BB7507">
        <w:rPr>
          <w:rStyle w:val="ad"/>
          <w:rFonts w:ascii="Times New Roman" w:hAnsi="Times New Roman" w:cs="Times New Roman"/>
          <w:i w:val="0"/>
          <w:sz w:val="28"/>
          <w:szCs w:val="28"/>
        </w:rPr>
        <w:t>одночасного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введення буде виявлено значне зниження імунних реакцій, у подальших дослідженнях можна буде вивчити мінімальний інтервал дозування, </w:t>
      </w:r>
      <w:r w:rsidR="00306627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при якому не виникає</w:t>
      </w:r>
      <w:r w:rsidR="0030662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жодного впливу.</w:t>
      </w:r>
    </w:p>
    <w:p w14:paraId="7A8B986A" w14:textId="77777777" w:rsidR="00306627" w:rsidRPr="00B02BAD" w:rsidRDefault="00306627" w:rsidP="000A527A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</w:p>
    <w:p w14:paraId="74536E48" w14:textId="77777777" w:rsidR="00896EAB" w:rsidRPr="00B02BAD" w:rsidRDefault="00896EAB" w:rsidP="000A527A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3.6</w:t>
      </w:r>
      <w:r w:rsidR="00A15587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.</w:t>
      </w: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B22ABD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Відповідність </w:t>
      </w:r>
      <w:r w:rsidR="00351067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між серіями</w:t>
      </w:r>
    </w:p>
    <w:p w14:paraId="3FBAA6BC" w14:textId="77777777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769B4765" w14:textId="43DAFB6D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Випробування </w:t>
      </w:r>
      <w:r w:rsidR="00C12BF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на відповідність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між серіями зазвичай не є </w:t>
      </w:r>
      <w:r w:rsidR="006B04D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обов’язковим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але може бути корисним за певних обставин, які </w:t>
      </w:r>
      <w:r w:rsidR="0035106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слід </w:t>
      </w:r>
      <w:r w:rsidR="009C21D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розглядати 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кожному конкретному </w:t>
      </w:r>
      <w:r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випадку.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Якщо таке випробування проводиться, важливо розглянути </w:t>
      </w:r>
      <w:r w:rsidR="006B04D6" w:rsidRPr="00E222A3">
        <w:rPr>
          <w:rStyle w:val="ad"/>
          <w:rFonts w:ascii="Times New Roman" w:hAnsi="Times New Roman" w:cs="Times New Roman"/>
          <w:i w:val="0"/>
          <w:sz w:val="28"/>
          <w:szCs w:val="28"/>
        </w:rPr>
        <w:t>й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обґрунтувати кількість серій для порівняння та метод відбору серій (наприклад, послідовне виробництво або випадковий відбір). </w:t>
      </w:r>
      <w:r w:rsidR="006B04D6" w:rsidRPr="00A02D81">
        <w:rPr>
          <w:rStyle w:val="ad"/>
          <w:rFonts w:ascii="Times New Roman" w:hAnsi="Times New Roman" w:cs="Times New Roman"/>
          <w:i w:val="0"/>
          <w:sz w:val="28"/>
          <w:szCs w:val="28"/>
        </w:rPr>
        <w:t>Особливу увагу слід приділити</w:t>
      </w:r>
      <w:r w:rsidRPr="00A02D8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первинн</w:t>
      </w:r>
      <w:r w:rsidR="006B04D6" w:rsidRPr="00A02D81">
        <w:rPr>
          <w:rStyle w:val="ad"/>
          <w:rFonts w:ascii="Times New Roman" w:hAnsi="Times New Roman" w:cs="Times New Roman"/>
          <w:i w:val="0"/>
          <w:sz w:val="28"/>
          <w:szCs w:val="28"/>
        </w:rPr>
        <w:t>ій</w:t>
      </w:r>
      <w:r w:rsidRPr="00A02D8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кінцев</w:t>
      </w:r>
      <w:r w:rsidR="006B04D6" w:rsidRPr="00A02D81">
        <w:rPr>
          <w:rStyle w:val="ad"/>
          <w:rFonts w:ascii="Times New Roman" w:hAnsi="Times New Roman" w:cs="Times New Roman"/>
          <w:i w:val="0"/>
          <w:sz w:val="28"/>
          <w:szCs w:val="28"/>
        </w:rPr>
        <w:t>ій</w:t>
      </w:r>
      <w:r w:rsidRPr="00A02D8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точ</w:t>
      </w:r>
      <w:r w:rsidR="006B04D6" w:rsidRPr="00A02D81">
        <w:rPr>
          <w:rStyle w:val="ad"/>
          <w:rFonts w:ascii="Times New Roman" w:hAnsi="Times New Roman" w:cs="Times New Roman"/>
          <w:i w:val="0"/>
          <w:sz w:val="28"/>
          <w:szCs w:val="28"/>
        </w:rPr>
        <w:t>ці</w:t>
      </w:r>
      <w:r w:rsidRPr="00A02D8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імунної відповіді та </w:t>
      </w:r>
      <w:r w:rsidR="00D531D4" w:rsidRPr="00A02D81">
        <w:rPr>
          <w:rStyle w:val="ad"/>
          <w:rFonts w:ascii="Times New Roman" w:hAnsi="Times New Roman" w:cs="Times New Roman"/>
          <w:i w:val="0"/>
          <w:sz w:val="28"/>
          <w:szCs w:val="28"/>
        </w:rPr>
        <w:t>попередньо</w:t>
      </w:r>
      <w:r w:rsidRPr="00A02D8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визначен</w:t>
      </w:r>
      <w:r w:rsidR="006B04D6" w:rsidRPr="00A02D81">
        <w:rPr>
          <w:rStyle w:val="ad"/>
          <w:rFonts w:ascii="Times New Roman" w:hAnsi="Times New Roman" w:cs="Times New Roman"/>
          <w:i w:val="0"/>
          <w:sz w:val="28"/>
          <w:szCs w:val="28"/>
        </w:rPr>
        <w:t>им</w:t>
      </w:r>
      <w:r w:rsidRPr="00A02D8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критері</w:t>
      </w:r>
      <w:r w:rsidR="006B04D6" w:rsidRPr="00A02D81">
        <w:rPr>
          <w:rStyle w:val="ad"/>
          <w:rFonts w:ascii="Times New Roman" w:hAnsi="Times New Roman" w:cs="Times New Roman"/>
          <w:i w:val="0"/>
          <w:sz w:val="28"/>
          <w:szCs w:val="28"/>
        </w:rPr>
        <w:t>ям</w:t>
      </w:r>
      <w:r w:rsidRPr="00A02D8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прийнятності.</w:t>
      </w:r>
    </w:p>
    <w:p w14:paraId="3E0EEA5F" w14:textId="4BC70DD6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Рекомендується, щоб </w:t>
      </w:r>
      <w:r w:rsidR="00D531D4" w:rsidRPr="00A02D81">
        <w:rPr>
          <w:rStyle w:val="ad"/>
          <w:rFonts w:ascii="Times New Roman" w:hAnsi="Times New Roman" w:cs="Times New Roman"/>
          <w:i w:val="0"/>
          <w:sz w:val="28"/>
          <w:szCs w:val="28"/>
        </w:rPr>
        <w:t>у ході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програми клінічних випробувань було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протестовано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кілька серій вакцини-кандидата</w:t>
      </w:r>
      <w:r w:rsidR="009C21D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із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склад</w:t>
      </w:r>
      <w:r w:rsidR="009C21D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ом, що подібний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склад</w:t>
      </w:r>
      <w:r w:rsidR="009C21D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кінцевого </w:t>
      </w:r>
      <w:r w:rsidR="003876C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продукту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призначеного для </w:t>
      </w:r>
      <w:r w:rsidR="00FD495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продажу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Якщо це неможливо через зміни на пізніх </w:t>
      </w:r>
      <w:r w:rsidR="00FD495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етапах виробництва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спонсор повинен обґрунтувати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релевантність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даних клінічних випробувань для серій, призначених для </w:t>
      </w:r>
      <w:r w:rsidR="00FD495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продажу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на </w:t>
      </w:r>
      <w:r w:rsidR="003876C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підставі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D495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показників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якості та/або провести клінічне порівняння між серіями.</w:t>
      </w:r>
    </w:p>
    <w:p w14:paraId="5D4221F1" w14:textId="77777777" w:rsidR="00423A87" w:rsidRPr="00B02BAD" w:rsidRDefault="00423A87" w:rsidP="000A527A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</w:p>
    <w:p w14:paraId="4D1CF5D0" w14:textId="6903ACC1" w:rsidR="00896EAB" w:rsidRPr="00B02BAD" w:rsidRDefault="00896EAB" w:rsidP="000A527A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A02D81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4. </w:t>
      </w:r>
      <w:r w:rsidR="00EC31A5" w:rsidRPr="00A02D81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ЕФЕКТИВНІСТЬ</w:t>
      </w:r>
      <w:r w:rsidR="00EC31A5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14:paraId="6B0F0F8A" w14:textId="77777777" w:rsidR="00E7319D" w:rsidRPr="00B02BAD" w:rsidRDefault="00E7319D" w:rsidP="000A527A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bookmarkStart w:id="11" w:name="_bookmark17"/>
      <w:bookmarkEnd w:id="11"/>
    </w:p>
    <w:p w14:paraId="3BD41F50" w14:textId="77777777" w:rsidR="00896EAB" w:rsidRPr="00B02BAD" w:rsidRDefault="00896EAB" w:rsidP="000A527A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4.1</w:t>
      </w:r>
      <w:r w:rsidR="00A15587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.</w:t>
      </w: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422A99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Вимоги до випробування ефективності</w:t>
      </w:r>
    </w:p>
    <w:p w14:paraId="53C21568" w14:textId="77777777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57BC0C59" w14:textId="56FBE8DF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  <w:u w:val="single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  <w:u w:val="single"/>
        </w:rPr>
        <w:t>Випро</w:t>
      </w:r>
      <w:r w:rsidR="000633D1" w:rsidRPr="00B02BAD">
        <w:rPr>
          <w:rStyle w:val="ad"/>
          <w:rFonts w:ascii="Times New Roman" w:hAnsi="Times New Roman" w:cs="Times New Roman"/>
          <w:i w:val="0"/>
          <w:sz w:val="28"/>
          <w:szCs w:val="28"/>
          <w:u w:val="single"/>
        </w:rPr>
        <w:t xml:space="preserve">бування ефективності вакцини </w:t>
      </w:r>
      <w:r w:rsidR="00422A99" w:rsidRPr="00B02BAD">
        <w:rPr>
          <w:rStyle w:val="ad"/>
          <w:rFonts w:ascii="Times New Roman" w:hAnsi="Times New Roman" w:cs="Times New Roman"/>
          <w:i w:val="0"/>
          <w:sz w:val="28"/>
          <w:szCs w:val="28"/>
          <w:u w:val="single"/>
        </w:rPr>
        <w:t>не вимагаються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  <w:u w:val="single"/>
        </w:rPr>
        <w:t xml:space="preserve">, якщо </w:t>
      </w:r>
      <w:r w:rsidR="00BB7507">
        <w:rPr>
          <w:rStyle w:val="ad"/>
          <w:rFonts w:ascii="Times New Roman" w:hAnsi="Times New Roman" w:cs="Times New Roman"/>
          <w:i w:val="0"/>
          <w:sz w:val="28"/>
          <w:szCs w:val="28"/>
          <w:u w:val="single"/>
        </w:rPr>
        <w:t>застосовується</w:t>
      </w:r>
      <w:r w:rsidR="00D531D4">
        <w:rPr>
          <w:rStyle w:val="ad"/>
          <w:rFonts w:ascii="Times New Roman" w:hAnsi="Times New Roman" w:cs="Times New Roman"/>
          <w:i w:val="0"/>
          <w:sz w:val="28"/>
          <w:szCs w:val="28"/>
          <w:u w:val="single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  <w:u w:val="single"/>
        </w:rPr>
        <w:t xml:space="preserve"> </w:t>
      </w:r>
      <w:r w:rsidR="00422A99" w:rsidRPr="00B02BAD">
        <w:rPr>
          <w:rStyle w:val="ad"/>
          <w:rFonts w:ascii="Times New Roman" w:hAnsi="Times New Roman" w:cs="Times New Roman"/>
          <w:i w:val="0"/>
          <w:sz w:val="28"/>
          <w:szCs w:val="28"/>
          <w:u w:val="single"/>
        </w:rPr>
        <w:t xml:space="preserve">будь-яка </w:t>
      </w:r>
      <w:r w:rsidR="001A6479" w:rsidRPr="00B02BAD">
        <w:rPr>
          <w:rStyle w:val="ad"/>
          <w:rFonts w:ascii="Times New Roman" w:hAnsi="Times New Roman" w:cs="Times New Roman"/>
          <w:i w:val="0"/>
          <w:sz w:val="28"/>
          <w:szCs w:val="28"/>
          <w:u w:val="single"/>
        </w:rPr>
        <w:t xml:space="preserve">з </w:t>
      </w:r>
      <w:r w:rsidR="00D531D4" w:rsidRPr="00A02D81">
        <w:rPr>
          <w:rStyle w:val="ad"/>
          <w:rFonts w:ascii="Times New Roman" w:hAnsi="Times New Roman" w:cs="Times New Roman"/>
          <w:i w:val="0"/>
          <w:sz w:val="28"/>
          <w:szCs w:val="28"/>
          <w:u w:val="single"/>
        </w:rPr>
        <w:t>нижченаведених</w:t>
      </w:r>
      <w:r w:rsidR="001A6479" w:rsidRPr="00B02BAD">
        <w:rPr>
          <w:rStyle w:val="ad"/>
          <w:rFonts w:ascii="Times New Roman" w:hAnsi="Times New Roman" w:cs="Times New Roman"/>
          <w:i w:val="0"/>
          <w:sz w:val="28"/>
          <w:szCs w:val="28"/>
          <w:u w:val="single"/>
        </w:rPr>
        <w:t xml:space="preserve"> умов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  <w:u w:val="single"/>
        </w:rPr>
        <w:t>:</w:t>
      </w:r>
    </w:p>
    <w:p w14:paraId="64329CCE" w14:textId="0047CE3F" w:rsidR="00F027F9" w:rsidRPr="00B02BAD" w:rsidRDefault="00896EAB" w:rsidP="002C6066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Можливість інтерпретувати імунні відповіді на всі антигени у вакцині-кандидаті, </w:t>
      </w:r>
      <w:r w:rsidR="001A647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застосовуючи добре вивчені</w:t>
      </w:r>
      <w:r w:rsidR="00A02D81" w:rsidRPr="00A02D8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02D81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ICPs</w:t>
      </w:r>
      <w:r w:rsidR="0009297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У цьому </w:t>
      </w:r>
      <w:r w:rsidR="00D531D4" w:rsidRPr="00A02D81">
        <w:rPr>
          <w:rStyle w:val="ad"/>
          <w:rFonts w:ascii="Times New Roman" w:hAnsi="Times New Roman" w:cs="Times New Roman"/>
          <w:i w:val="0"/>
          <w:sz w:val="28"/>
          <w:szCs w:val="28"/>
        </w:rPr>
        <w:t>разі</w:t>
      </w:r>
      <w:r w:rsidR="0009297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демонстрація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9297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не меншої</w:t>
      </w:r>
      <w:r w:rsidR="001031C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ефективн</w:t>
      </w:r>
      <w:r w:rsidR="0009297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ості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зареєстровано</w:t>
      </w:r>
      <w:r w:rsidR="0009297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ї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</w:t>
      </w:r>
      <w:r w:rsidR="0009297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щодо імунної відпов</w:t>
      </w:r>
      <w:r w:rsidR="0009297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іді на кожен антиген не потрібна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Незважаючи на це, рекомендується проводити порівняльні </w:t>
      </w:r>
      <w:r w:rsidR="0009297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випробування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включаючи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рандомізацію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9297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відповідн</w:t>
      </w:r>
      <w:r w:rsidR="0009297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зареєстрован</w:t>
      </w:r>
      <w:r w:rsidR="0009297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</w:t>
      </w:r>
      <w:r w:rsidR="0009297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щоб забезпечити можливість описового порівняння профілів безпеки. Визначення імунних відповідей на </w:t>
      </w:r>
      <w:r w:rsidR="000633D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референтний препарат</w:t>
      </w:r>
      <w:r w:rsidR="007D697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може бути корисним для розуміння результатів </w:t>
      </w:r>
      <w:r w:rsidR="007D697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у контексті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якщо показники </w:t>
      </w:r>
      <w:r w:rsidR="00021C6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серологічного захисту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 групі вакцин-кандидатів є </w:t>
      </w:r>
      <w:r w:rsidR="007D697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несподівано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низькими або високими (наприклад, через особливості досліджуваної популяції та/або проблеми з проведенням аналізу).</w:t>
      </w:r>
    </w:p>
    <w:p w14:paraId="04B668F3" w14:textId="7151005B" w:rsidR="00896EAB" w:rsidRPr="00B02BAD" w:rsidRDefault="00A02D81" w:rsidP="002C6066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ICPs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відсутні, але ефективність вакцини </w:t>
      </w:r>
      <w:r w:rsidR="005F7B0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може бути </w:t>
      </w:r>
      <w:r w:rsidR="008A19D6" w:rsidRPr="00613B58">
        <w:rPr>
          <w:rStyle w:val="ad"/>
          <w:rFonts w:ascii="Times New Roman" w:hAnsi="Times New Roman" w:cs="Times New Roman"/>
          <w:i w:val="0"/>
          <w:sz w:val="28"/>
          <w:szCs w:val="28"/>
        </w:rPr>
        <w:t>підтверджена</w:t>
      </w:r>
      <w:r w:rsidR="005F7B0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21C6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шляхом демонстрації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21C6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не гіршої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імунн</w:t>
      </w:r>
      <w:r w:rsidR="00021C6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ої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відповід</w:t>
      </w:r>
      <w:r w:rsidR="00021C6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B7507">
        <w:rPr>
          <w:rStyle w:val="ad"/>
          <w:rFonts w:ascii="Times New Roman" w:hAnsi="Times New Roman" w:cs="Times New Roman"/>
          <w:i w:val="0"/>
          <w:sz w:val="28"/>
          <w:szCs w:val="28"/>
        </w:rPr>
        <w:t>між вакциною-кандидатом та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зареєстрованою вакциною, для якої було встановлено ефективність та/або результативність (тобто можлива стратегія </w:t>
      </w:r>
      <w:r w:rsidR="004E6BA2" w:rsidRPr="00B30CEB">
        <w:rPr>
          <w:rStyle w:val="ad"/>
          <w:rFonts w:ascii="Times New Roman" w:hAnsi="Times New Roman" w:cs="Times New Roman"/>
          <w:i w:val="0"/>
          <w:sz w:val="28"/>
          <w:szCs w:val="28"/>
        </w:rPr>
        <w:t>«</w:t>
      </w:r>
      <w:proofErr w:type="spellStart"/>
      <w:r w:rsidR="000633D1" w:rsidRPr="00B30CEB">
        <w:rPr>
          <w:rStyle w:val="ad"/>
          <w:rFonts w:ascii="Times New Roman" w:hAnsi="Times New Roman" w:cs="Times New Roman"/>
          <w:i w:val="0"/>
          <w:sz w:val="28"/>
          <w:szCs w:val="28"/>
        </w:rPr>
        <w:t>імунобр</w:t>
      </w:r>
      <w:r w:rsidR="00FF7F07">
        <w:rPr>
          <w:rStyle w:val="ad"/>
          <w:rFonts w:ascii="Times New Roman" w:hAnsi="Times New Roman" w:cs="Times New Roman"/>
          <w:i w:val="0"/>
          <w:sz w:val="28"/>
          <w:szCs w:val="28"/>
        </w:rPr>
        <w:t>ідін</w:t>
      </w:r>
      <w:r w:rsidR="000633D1" w:rsidRPr="00B30CEB">
        <w:rPr>
          <w:rStyle w:val="ad"/>
          <w:rFonts w:ascii="Times New Roman" w:hAnsi="Times New Roman" w:cs="Times New Roman"/>
          <w:i w:val="0"/>
          <w:sz w:val="28"/>
          <w:szCs w:val="28"/>
        </w:rPr>
        <w:t>г</w:t>
      </w:r>
      <w:r w:rsidR="004E6BA2" w:rsidRPr="00B30CEB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proofErr w:type="spellEnd"/>
      <w:r w:rsidR="004E6BA2" w:rsidRPr="00B30CEB">
        <w:rPr>
          <w:rStyle w:val="ad"/>
          <w:rFonts w:ascii="Times New Roman" w:hAnsi="Times New Roman" w:cs="Times New Roman"/>
          <w:i w:val="0"/>
          <w:sz w:val="28"/>
          <w:szCs w:val="28"/>
        </w:rPr>
        <w:t>»</w:t>
      </w:r>
      <w:r w:rsidR="00021C6F" w:rsidRPr="00B30CE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E6BA2" w:rsidRPr="00B30CEB">
        <w:rPr>
          <w:rStyle w:val="ad"/>
          <w:rFonts w:ascii="Times New Roman" w:hAnsi="Times New Roman" w:cs="Times New Roman"/>
          <w:i w:val="0"/>
          <w:sz w:val="28"/>
          <w:szCs w:val="28"/>
        </w:rPr>
        <w:t>[</w:t>
      </w:r>
      <w:proofErr w:type="spellStart"/>
      <w:r w:rsidR="004E6BA2" w:rsidRPr="00B30CEB">
        <w:rPr>
          <w:rStyle w:val="ad"/>
          <w:rFonts w:ascii="Times New Roman" w:hAnsi="Times New Roman" w:cs="Times New Roman"/>
          <w:iCs w:val="0"/>
          <w:sz w:val="28"/>
          <w:szCs w:val="28"/>
        </w:rPr>
        <w:t>англ</w:t>
      </w:r>
      <w:proofErr w:type="spellEnd"/>
      <w:r w:rsidR="004E6BA2" w:rsidRPr="00B30CEB">
        <w:rPr>
          <w:rStyle w:val="ad"/>
          <w:rFonts w:ascii="Times New Roman" w:hAnsi="Times New Roman" w:cs="Times New Roman"/>
          <w:iCs w:val="0"/>
          <w:sz w:val="28"/>
          <w:szCs w:val="28"/>
        </w:rPr>
        <w:t>.</w:t>
      </w:r>
      <w:r w:rsidR="004E6BA2" w:rsidRPr="00B30CE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—</w:t>
      </w:r>
      <w:r w:rsidR="00B30CE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C02D7B" w:rsidRPr="00B02BAD">
        <w:rPr>
          <w:rFonts w:ascii="Times New Roman" w:hAnsi="Times New Roman" w:cs="Times New Roman"/>
          <w:sz w:val="28"/>
          <w:szCs w:val="28"/>
        </w:rPr>
        <w:t>immunobridging</w:t>
      </w:r>
      <w:proofErr w:type="spellEnd"/>
      <w:r w:rsidR="004E6BA2" w:rsidRPr="00B30CEB">
        <w:rPr>
          <w:rStyle w:val="ad"/>
          <w:rFonts w:ascii="Times New Roman" w:hAnsi="Times New Roman" w:cs="Times New Roman"/>
          <w:i w:val="0"/>
          <w:sz w:val="28"/>
          <w:szCs w:val="28"/>
        </w:rPr>
        <w:t>]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). Якщо </w:t>
      </w:r>
      <w:r w:rsidR="00C02D7B" w:rsidRPr="00613B58">
        <w:rPr>
          <w:rStyle w:val="ad"/>
          <w:rFonts w:ascii="Times New Roman" w:hAnsi="Times New Roman" w:cs="Times New Roman"/>
          <w:i w:val="0"/>
          <w:sz w:val="28"/>
          <w:szCs w:val="28"/>
        </w:rPr>
        <w:t>п</w:t>
      </w:r>
      <w:r w:rsidR="008A19D6" w:rsidRPr="00613B58">
        <w:rPr>
          <w:rStyle w:val="ad"/>
          <w:rFonts w:ascii="Times New Roman" w:hAnsi="Times New Roman" w:cs="Times New Roman"/>
          <w:i w:val="0"/>
          <w:sz w:val="28"/>
          <w:szCs w:val="28"/>
        </w:rPr>
        <w:t>отрібної</w:t>
      </w:r>
      <w:r w:rsidR="00896EAB" w:rsidRPr="00613B5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</w:t>
      </w:r>
      <w:r w:rsidR="00706F34" w:rsidRPr="00613B58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="008A19D6" w:rsidRPr="00613B5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із встановленою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A176FC">
        <w:rPr>
          <w:rStyle w:val="ad"/>
          <w:rFonts w:ascii="Times New Roman" w:hAnsi="Times New Roman" w:cs="Times New Roman"/>
          <w:i w:val="0"/>
          <w:sz w:val="28"/>
          <w:szCs w:val="28"/>
        </w:rPr>
        <w:t>ефективніст</w:t>
      </w:r>
      <w:r w:rsidR="008A19D6" w:rsidRPr="00A176FC">
        <w:rPr>
          <w:rStyle w:val="ad"/>
          <w:rFonts w:ascii="Times New Roman" w:hAnsi="Times New Roman" w:cs="Times New Roman"/>
          <w:i w:val="0"/>
          <w:sz w:val="28"/>
          <w:szCs w:val="28"/>
        </w:rPr>
        <w:t>ю</w:t>
      </w:r>
      <w:r w:rsidR="00896EAB" w:rsidRPr="00A176F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або </w:t>
      </w:r>
      <w:r w:rsidR="00C02D7B" w:rsidRPr="00A176FC">
        <w:rPr>
          <w:rStyle w:val="ad"/>
          <w:rFonts w:ascii="Times New Roman" w:hAnsi="Times New Roman" w:cs="Times New Roman"/>
          <w:i w:val="0"/>
          <w:sz w:val="28"/>
          <w:szCs w:val="28"/>
        </w:rPr>
        <w:t>дієвіст</w:t>
      </w:r>
      <w:r w:rsidR="008A19D6" w:rsidRPr="00A176FC">
        <w:rPr>
          <w:rStyle w:val="ad"/>
          <w:rFonts w:ascii="Times New Roman" w:hAnsi="Times New Roman" w:cs="Times New Roman"/>
          <w:i w:val="0"/>
          <w:sz w:val="28"/>
          <w:szCs w:val="28"/>
        </w:rPr>
        <w:t>ю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більше не</w:t>
      </w:r>
      <w:r w:rsidR="00706F3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має в наявності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можна провести порівняння з зареєстрованою вакциною, яка була схвалена </w:t>
      </w:r>
      <w:r w:rsidR="00896EAB" w:rsidRPr="00A176FC">
        <w:rPr>
          <w:rStyle w:val="ad"/>
          <w:rFonts w:ascii="Times New Roman" w:hAnsi="Times New Roman" w:cs="Times New Roman"/>
          <w:i w:val="0"/>
          <w:sz w:val="28"/>
          <w:szCs w:val="28"/>
        </w:rPr>
        <w:t>з</w:t>
      </w:r>
      <w:r w:rsidR="008A19D6" w:rsidRPr="00A176F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 </w:t>
      </w:r>
      <w:r w:rsidR="00896EAB" w:rsidRPr="00A176FC">
        <w:rPr>
          <w:rStyle w:val="ad"/>
          <w:rFonts w:ascii="Times New Roman" w:hAnsi="Times New Roman" w:cs="Times New Roman"/>
          <w:i w:val="0"/>
          <w:sz w:val="28"/>
          <w:szCs w:val="28"/>
        </w:rPr>
        <w:t>стратегі</w:t>
      </w:r>
      <w:r w:rsidR="008A19D6" w:rsidRPr="00A176FC">
        <w:rPr>
          <w:rStyle w:val="ad"/>
          <w:rFonts w:ascii="Times New Roman" w:hAnsi="Times New Roman" w:cs="Times New Roman"/>
          <w:i w:val="0"/>
          <w:sz w:val="28"/>
          <w:szCs w:val="28"/>
        </w:rPr>
        <w:t>єю</w:t>
      </w:r>
      <w:r w:rsidR="00896EAB" w:rsidRPr="00A176F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A19D6" w:rsidRPr="00A176FC">
        <w:rPr>
          <w:rStyle w:val="ad"/>
          <w:rFonts w:ascii="Times New Roman" w:hAnsi="Times New Roman" w:cs="Times New Roman"/>
          <w:i w:val="0"/>
          <w:sz w:val="28"/>
          <w:szCs w:val="28"/>
        </w:rPr>
        <w:t>«</w:t>
      </w:r>
      <w:proofErr w:type="spellStart"/>
      <w:r w:rsidR="008A19D6" w:rsidRPr="00A176FC">
        <w:rPr>
          <w:rStyle w:val="ad"/>
          <w:rFonts w:ascii="Times New Roman" w:hAnsi="Times New Roman" w:cs="Times New Roman"/>
          <w:i w:val="0"/>
          <w:sz w:val="28"/>
          <w:szCs w:val="28"/>
        </w:rPr>
        <w:t>імунобрид</w:t>
      </w:r>
      <w:r w:rsidR="00FF7F07">
        <w:rPr>
          <w:rStyle w:val="ad"/>
          <w:rFonts w:ascii="Times New Roman" w:hAnsi="Times New Roman" w:cs="Times New Roman"/>
          <w:i w:val="0"/>
          <w:sz w:val="28"/>
          <w:szCs w:val="28"/>
        </w:rPr>
        <w:t>інг</w:t>
      </w:r>
      <w:r w:rsidR="008A19D6" w:rsidRPr="00A176FC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proofErr w:type="spellEnd"/>
      <w:r w:rsidR="008A19D6" w:rsidRPr="00A176FC">
        <w:rPr>
          <w:rStyle w:val="ad"/>
          <w:rFonts w:ascii="Times New Roman" w:hAnsi="Times New Roman" w:cs="Times New Roman"/>
          <w:i w:val="0"/>
          <w:sz w:val="28"/>
          <w:szCs w:val="28"/>
        </w:rPr>
        <w:t>»</w:t>
      </w:r>
      <w:r w:rsidR="00ED441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C606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 переважно широко використовувалася без жодних питань щодо захисту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64E4EB25" w14:textId="77777777" w:rsidR="00896EAB" w:rsidRPr="00B02BAD" w:rsidRDefault="00896EAB" w:rsidP="00156779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Імунні відповіді на всі антигени у вакцині-кандидаті можуть бути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>інтерпретовані за допомогою комбінації вищезазначених підходів.</w:t>
      </w:r>
    </w:p>
    <w:p w14:paraId="3D1DE579" w14:textId="69C60F87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  <w:u w:val="single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  <w:u w:val="single"/>
        </w:rPr>
        <w:t>Випробування ефективності вакцин</w:t>
      </w:r>
      <w:r w:rsidR="00967CED" w:rsidRPr="00B02BAD">
        <w:rPr>
          <w:rStyle w:val="ad"/>
          <w:rFonts w:ascii="Times New Roman" w:hAnsi="Times New Roman" w:cs="Times New Roman"/>
          <w:i w:val="0"/>
          <w:sz w:val="28"/>
          <w:szCs w:val="28"/>
          <w:u w:val="single"/>
        </w:rPr>
        <w:t>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  <w:u w:val="single"/>
        </w:rPr>
        <w:t xml:space="preserve"> може бути неможливим, якщо </w:t>
      </w:r>
      <w:r w:rsidR="008A19D6" w:rsidRPr="00A176FC">
        <w:rPr>
          <w:rStyle w:val="ad"/>
          <w:rFonts w:ascii="Times New Roman" w:hAnsi="Times New Roman" w:cs="Times New Roman"/>
          <w:i w:val="0"/>
          <w:sz w:val="28"/>
          <w:szCs w:val="28"/>
          <w:u w:val="single"/>
        </w:rPr>
        <w:t>наявна</w:t>
      </w:r>
      <w:r w:rsidR="008A19D6">
        <w:rPr>
          <w:rStyle w:val="ad"/>
          <w:rFonts w:ascii="Times New Roman" w:hAnsi="Times New Roman" w:cs="Times New Roman"/>
          <w:i w:val="0"/>
          <w:sz w:val="28"/>
          <w:szCs w:val="28"/>
          <w:u w:val="single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  <w:u w:val="single"/>
        </w:rPr>
        <w:t>будь-яка з наведених нижче умов:</w:t>
      </w:r>
    </w:p>
    <w:p w14:paraId="3EF9368A" w14:textId="14572F3F" w:rsidR="00896EAB" w:rsidRPr="00B02BAD" w:rsidRDefault="00896EAB" w:rsidP="00156779">
      <w:pPr>
        <w:pStyle w:val="a5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Інфекційне захворювання, якому </w:t>
      </w:r>
      <w:r w:rsidR="002F75C4" w:rsidRPr="00A176FC">
        <w:rPr>
          <w:rStyle w:val="ad"/>
          <w:rFonts w:ascii="Times New Roman" w:hAnsi="Times New Roman" w:cs="Times New Roman"/>
          <w:i w:val="0"/>
          <w:sz w:val="28"/>
          <w:szCs w:val="28"/>
        </w:rPr>
        <w:t>треба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запобігти, не зустрічається в даний час (наприклад, віспа) або зустрічається дуже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рідко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щоб дослідження можна було провести в розумні терміни (наприклад</w:t>
      </w:r>
      <w:r w:rsidR="008A19D6" w:rsidRPr="002279CA">
        <w:rPr>
          <w:rStyle w:val="ad"/>
          <w:rFonts w:ascii="Times New Roman" w:hAnsi="Times New Roman" w:cs="Times New Roman"/>
          <w:i w:val="0"/>
          <w:sz w:val="28"/>
          <w:szCs w:val="28"/>
        </w:rPr>
        <w:t>: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сибірська виразка, бруцельоз, лихоманка Ку).</w:t>
      </w:r>
    </w:p>
    <w:p w14:paraId="79AE0EF7" w14:textId="07FFC51F" w:rsidR="00896EAB" w:rsidRPr="00B02BAD" w:rsidRDefault="00896EAB" w:rsidP="00156779">
      <w:pPr>
        <w:pStyle w:val="a5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Інфекційне захворювання, якому </w:t>
      </w:r>
      <w:r w:rsidR="002F75C4" w:rsidRPr="00786B5C">
        <w:rPr>
          <w:rStyle w:val="ad"/>
          <w:rFonts w:ascii="Times New Roman" w:hAnsi="Times New Roman" w:cs="Times New Roman"/>
          <w:i w:val="0"/>
          <w:sz w:val="28"/>
          <w:szCs w:val="28"/>
        </w:rPr>
        <w:t>треба</w:t>
      </w:r>
      <w:r w:rsidR="009F003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запобігти, виникає</w:t>
      </w:r>
      <w:r w:rsidR="001E1C7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 вигляді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непередбачуваних короткочасних спалах</w:t>
      </w:r>
      <w:r w:rsidR="001E1C7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ів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BB7507">
        <w:rPr>
          <w:rStyle w:val="ad"/>
          <w:rFonts w:ascii="Times New Roman" w:hAnsi="Times New Roman" w:cs="Times New Roman"/>
          <w:i w:val="0"/>
          <w:sz w:val="28"/>
          <w:szCs w:val="28"/>
        </w:rPr>
        <w:t>які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навіть при ураженні великої кількості люде</w:t>
      </w:r>
      <w:r w:rsidRPr="00BB7507">
        <w:rPr>
          <w:rStyle w:val="ad"/>
          <w:rFonts w:ascii="Times New Roman" w:hAnsi="Times New Roman" w:cs="Times New Roman"/>
          <w:i w:val="0"/>
          <w:sz w:val="28"/>
          <w:szCs w:val="28"/>
        </w:rPr>
        <w:t>й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B7507">
        <w:rPr>
          <w:rStyle w:val="ad"/>
          <w:rFonts w:ascii="Times New Roman" w:hAnsi="Times New Roman" w:cs="Times New Roman"/>
          <w:i w:val="0"/>
          <w:sz w:val="28"/>
          <w:szCs w:val="28"/>
        </w:rPr>
        <w:t>не дають достатньо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B7507">
        <w:rPr>
          <w:rStyle w:val="ad"/>
          <w:rFonts w:ascii="Times New Roman" w:hAnsi="Times New Roman" w:cs="Times New Roman"/>
          <w:i w:val="0"/>
          <w:sz w:val="28"/>
          <w:szCs w:val="28"/>
        </w:rPr>
        <w:t>часу</w:t>
      </w:r>
      <w:r w:rsidR="002F75C4" w:rsidRPr="00BB750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B7507" w:rsidRPr="00BB7507">
        <w:rPr>
          <w:rStyle w:val="ad"/>
          <w:rFonts w:ascii="Times New Roman" w:hAnsi="Times New Roman" w:cs="Times New Roman"/>
          <w:i w:val="0"/>
          <w:sz w:val="28"/>
          <w:szCs w:val="28"/>
        </w:rPr>
        <w:t>д</w:t>
      </w:r>
      <w:r w:rsidR="00BB7507">
        <w:rPr>
          <w:rStyle w:val="ad"/>
          <w:rFonts w:ascii="Times New Roman" w:hAnsi="Times New Roman" w:cs="Times New Roman"/>
          <w:i w:val="0"/>
          <w:sz w:val="28"/>
          <w:szCs w:val="28"/>
        </w:rPr>
        <w:t>ля накопичення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A1F1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необхідн</w:t>
      </w:r>
      <w:r w:rsidR="00BB7507" w:rsidRPr="00BB7507">
        <w:rPr>
          <w:rStyle w:val="ad"/>
          <w:rFonts w:ascii="Times New Roman" w:hAnsi="Times New Roman" w:cs="Times New Roman"/>
          <w:i w:val="0"/>
          <w:sz w:val="28"/>
          <w:szCs w:val="28"/>
        </w:rPr>
        <w:t>ої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кільк</w:t>
      </w:r>
      <w:r w:rsidR="00BB7507">
        <w:rPr>
          <w:rStyle w:val="ad"/>
          <w:rFonts w:ascii="Times New Roman" w:hAnsi="Times New Roman" w:cs="Times New Roman"/>
          <w:i w:val="0"/>
          <w:sz w:val="28"/>
          <w:szCs w:val="28"/>
        </w:rPr>
        <w:t>ості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випадків для оцінки ефективності вакцини (наприклад, деякі вірусні геморагічні лихоманки). </w:t>
      </w:r>
    </w:p>
    <w:p w14:paraId="25811AD5" w14:textId="425E91D2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Якщо демонстрація ефективності вакцини вважається необхідною </w:t>
      </w:r>
      <w:r w:rsidR="000633D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 вона є можливою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може бути прийнятним проведення одного</w:t>
      </w:r>
      <w:r w:rsidR="000E027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базового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випробування ефективності вакцини, особливо якщо </w:t>
      </w:r>
      <w:r w:rsidR="00C63E3D" w:rsidRPr="000C320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через низький </w:t>
      </w:r>
      <w:r w:rsidRPr="000C320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рівень захворюваності на інфекційну хворобу, якій потрібно запобігти, </w:t>
      </w:r>
      <w:r w:rsidR="002F75C4" w:rsidRPr="000C320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щоб набралася </w:t>
      </w:r>
      <w:r w:rsidRPr="000C320C">
        <w:rPr>
          <w:rStyle w:val="ad"/>
          <w:rFonts w:ascii="Times New Roman" w:hAnsi="Times New Roman" w:cs="Times New Roman"/>
          <w:i w:val="0"/>
          <w:sz w:val="28"/>
          <w:szCs w:val="28"/>
        </w:rPr>
        <w:t>достатн</w:t>
      </w:r>
      <w:r w:rsidR="002F75C4" w:rsidRPr="000C320C">
        <w:rPr>
          <w:rStyle w:val="ad"/>
          <w:rFonts w:ascii="Times New Roman" w:hAnsi="Times New Roman" w:cs="Times New Roman"/>
          <w:i w:val="0"/>
          <w:sz w:val="28"/>
          <w:szCs w:val="28"/>
        </w:rPr>
        <w:t>я</w:t>
      </w:r>
      <w:r w:rsidRPr="000C320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кільк</w:t>
      </w:r>
      <w:r w:rsidR="002F75C4" w:rsidRPr="000C320C">
        <w:rPr>
          <w:rStyle w:val="ad"/>
          <w:rFonts w:ascii="Times New Roman" w:hAnsi="Times New Roman" w:cs="Times New Roman"/>
          <w:i w:val="0"/>
          <w:sz w:val="28"/>
          <w:szCs w:val="28"/>
        </w:rPr>
        <w:t>ість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випадків для оцінки ефективності </w:t>
      </w:r>
      <w:r w:rsidRPr="0073105E">
        <w:rPr>
          <w:rStyle w:val="ad"/>
          <w:rFonts w:ascii="Times New Roman" w:hAnsi="Times New Roman" w:cs="Times New Roman"/>
          <w:i w:val="0"/>
          <w:sz w:val="28"/>
          <w:szCs w:val="28"/>
        </w:rPr>
        <w:t>вакцини</w:t>
      </w:r>
      <w:r w:rsidR="002F75C4" w:rsidRPr="0073105E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Pr="0073105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F75C4" w:rsidRPr="0073105E">
        <w:rPr>
          <w:rStyle w:val="ad"/>
          <w:rFonts w:ascii="Times New Roman" w:hAnsi="Times New Roman" w:cs="Times New Roman"/>
          <w:i w:val="0"/>
          <w:sz w:val="28"/>
          <w:szCs w:val="28"/>
        </w:rPr>
        <w:t>потрібне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дуже велике дослідження. У цьому </w:t>
      </w:r>
      <w:r w:rsidR="00C63E3D" w:rsidRPr="003C5550">
        <w:rPr>
          <w:rStyle w:val="ad"/>
          <w:rFonts w:ascii="Times New Roman" w:hAnsi="Times New Roman" w:cs="Times New Roman"/>
          <w:i w:val="0"/>
          <w:sz w:val="28"/>
          <w:szCs w:val="28"/>
        </w:rPr>
        <w:t>разі</w:t>
      </w:r>
      <w:r w:rsidRPr="003C55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під час оцін</w:t>
      </w:r>
      <w:r w:rsidR="00B47813" w:rsidRPr="003C5550">
        <w:rPr>
          <w:rStyle w:val="ad"/>
          <w:rFonts w:ascii="Times New Roman" w:hAnsi="Times New Roman" w:cs="Times New Roman"/>
          <w:i w:val="0"/>
          <w:sz w:val="28"/>
          <w:szCs w:val="28"/>
        </w:rPr>
        <w:t>ювання</w:t>
      </w:r>
      <w:r w:rsidRPr="003C55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дозволу </w:t>
      </w:r>
      <w:r w:rsidR="00B47813" w:rsidRPr="003C5550">
        <w:rPr>
          <w:rStyle w:val="ad"/>
          <w:rFonts w:ascii="Times New Roman" w:hAnsi="Times New Roman" w:cs="Times New Roman"/>
          <w:i w:val="0"/>
          <w:sz w:val="28"/>
          <w:szCs w:val="28"/>
        </w:rPr>
        <w:t>слід</w:t>
      </w:r>
      <w:r w:rsidRPr="003C555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враховувати рекомендації, викладені у відповідному керівництві CHMP щодо </w:t>
      </w:r>
      <w:r w:rsidR="000E0279" w:rsidRPr="003C5550">
        <w:rPr>
          <w:rStyle w:val="ad"/>
          <w:rFonts w:ascii="Times New Roman" w:hAnsi="Times New Roman" w:cs="Times New Roman"/>
          <w:i w:val="0"/>
          <w:sz w:val="28"/>
          <w:szCs w:val="28"/>
        </w:rPr>
        <w:t>о</w:t>
      </w:r>
      <w:r w:rsidR="000E027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дного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E027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базового випробування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(CPMP/EWP/2330/99).</w:t>
      </w:r>
    </w:p>
    <w:p w14:paraId="64EF3604" w14:textId="0890D09C" w:rsidR="00896EAB" w:rsidRPr="00B02BAD" w:rsidRDefault="00896EAB" w:rsidP="00F628AB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Для </w:t>
      </w:r>
      <w:r w:rsidR="00444DE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збудників</w:t>
      </w:r>
      <w:r w:rsidR="00695F2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які мають декілька підтипів, </w:t>
      </w:r>
      <w:r w:rsidR="00695F2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можливо, що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випадки, які </w:t>
      </w:r>
      <w:r w:rsidR="00695F2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трапляються під час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випробуванн</w:t>
      </w:r>
      <w:r w:rsidR="00695F2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ефективності, </w:t>
      </w:r>
      <w:r w:rsidR="00695F22" w:rsidRPr="003879E1">
        <w:rPr>
          <w:rStyle w:val="ad"/>
          <w:rFonts w:ascii="Times New Roman" w:hAnsi="Times New Roman" w:cs="Times New Roman"/>
          <w:i w:val="0"/>
          <w:sz w:val="28"/>
          <w:szCs w:val="28"/>
        </w:rPr>
        <w:t>бу</w:t>
      </w:r>
      <w:r w:rsidR="00882A74" w:rsidRPr="003879E1">
        <w:rPr>
          <w:rStyle w:val="ad"/>
          <w:rFonts w:ascii="Times New Roman" w:hAnsi="Times New Roman" w:cs="Times New Roman"/>
          <w:i w:val="0"/>
          <w:sz w:val="28"/>
          <w:szCs w:val="28"/>
        </w:rPr>
        <w:t>дуть</w:t>
      </w:r>
      <w:r w:rsidR="00695F2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4015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обумовлені </w:t>
      </w:r>
      <w:r w:rsidR="00695F2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одним або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кількома підтипами </w:t>
      </w:r>
      <w:r w:rsidR="00695F2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збудника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Спонсори можуть </w:t>
      </w:r>
      <w:r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прове</w:t>
      </w:r>
      <w:r w:rsidR="00882A74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сти</w:t>
      </w:r>
      <w:r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4015C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базов</w:t>
      </w:r>
      <w:r w:rsidR="00882A74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е</w:t>
      </w:r>
      <w:r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випробу</w:t>
      </w:r>
      <w:r w:rsidR="0024015C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вання ефективності в регіонах, </w:t>
      </w:r>
      <w:r w:rsidR="00882A74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де</w:t>
      </w:r>
      <w:r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випадки захворювання </w:t>
      </w:r>
      <w:r w:rsidR="00882A74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найімовірніше </w:t>
      </w:r>
      <w:r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будуть спричинені широким спектром підтипів, хоча не слід очікувати, що </w:t>
      </w:r>
      <w:r w:rsidR="00882A74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 </w:t>
      </w:r>
      <w:r w:rsidR="008A4887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ц</w:t>
      </w:r>
      <w:r w:rsidR="00882A74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ьому</w:t>
      </w:r>
      <w:r w:rsidR="008A4887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випробуванн</w:t>
      </w:r>
      <w:r w:rsidR="00882A74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82A74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можна </w:t>
      </w:r>
      <w:r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буде </w:t>
      </w:r>
      <w:r w:rsidR="008A4887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оцін</w:t>
      </w:r>
      <w:r w:rsidR="00882A74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ити</w:t>
      </w:r>
      <w:r w:rsidR="008A4887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ефектив</w:t>
      </w:r>
      <w:r w:rsidR="00F628AB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н</w:t>
      </w:r>
      <w:r w:rsidR="00882A74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ість</w:t>
      </w:r>
      <w:r w:rsidR="00F628AB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конкретн</w:t>
      </w:r>
      <w:r w:rsidR="00882A74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их</w:t>
      </w:r>
      <w:r w:rsidR="00F628AB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підтип</w:t>
      </w:r>
      <w:r w:rsidR="00882A74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ів</w:t>
      </w:r>
      <w:r w:rsidR="00F628AB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  <w:r w:rsidR="00F628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9561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 іншому </w:t>
      </w:r>
      <w:r w:rsidR="00882A74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разі</w:t>
      </w:r>
      <w:r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, спонсори можуть прове</w:t>
      </w:r>
      <w:r w:rsidR="00882A74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сти</w:t>
      </w:r>
      <w:r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декільк</w:t>
      </w:r>
      <w:r w:rsidR="00882A74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випробувань ефективності вакцини в різних регіонах, де</w:t>
      </w:r>
      <w:r w:rsidR="00882A74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переважають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певні підтипи. За</w:t>
      </w:r>
      <w:r w:rsidR="0019561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лежно від конструкції вакцини, </w:t>
      </w:r>
      <w:proofErr w:type="spellStart"/>
      <w:r w:rsidR="0019561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клінічні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та/або інші клінічні </w:t>
      </w:r>
      <w:r w:rsidR="0019561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дані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можуть також використовуватися для підтвердження ймовірної </w:t>
      </w:r>
      <w:r w:rsidR="00882A74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відпові</w:t>
      </w:r>
      <w:r w:rsidR="002701CE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д</w:t>
      </w:r>
      <w:r w:rsidR="00882A74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ності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ефективності для всіх підтипів.</w:t>
      </w:r>
    </w:p>
    <w:p w14:paraId="47F83316" w14:textId="5B5478AD" w:rsidR="00896EAB" w:rsidRPr="00B02BAD" w:rsidRDefault="00896EAB" w:rsidP="00F628AB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Для деяких інфекційних захворювань можуть існувати вагомі наукові </w:t>
      </w:r>
      <w:r w:rsidR="007676A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причини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вважати, що захисна ефективність, продемонстрована у </w:t>
      </w:r>
      <w:r w:rsidR="007676A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базовому випробуванні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ефективності в одній популяції у певному віковому діапазоні, не може бути екстрапольована на інші популяції </w:t>
      </w:r>
      <w:r w:rsidR="007676A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 таким же віковим діапазоном</w:t>
      </w:r>
      <w:r w:rsidR="00F628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Наприклад, у деяких регіонах можуть </w:t>
      </w:r>
      <w:r w:rsidR="0023507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спостерігатися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множинні супутні інфекції серед населення та/або може спостерігатися значне посилення імунної відповіді внаслідок </w:t>
      </w:r>
      <w:r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природн</w:t>
      </w:r>
      <w:r w:rsidR="002701CE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их</w:t>
      </w:r>
      <w:r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701CE"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чинників</w:t>
      </w:r>
      <w:r w:rsidRPr="00703A6D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що може мати позитивний або негативний вплив на </w:t>
      </w:r>
      <w:r w:rsidR="006474F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загальну оцінку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ефективності вакцини. У таких випадках може виникнути необхідність у проведенні </w:t>
      </w:r>
      <w:r w:rsidR="0023507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базового випробування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в якому будуть </w:t>
      </w:r>
      <w:r w:rsidR="00BB7507">
        <w:rPr>
          <w:rStyle w:val="ad"/>
          <w:rFonts w:ascii="Times New Roman" w:hAnsi="Times New Roman" w:cs="Times New Roman"/>
          <w:i w:val="0"/>
          <w:sz w:val="28"/>
          <w:szCs w:val="28"/>
        </w:rPr>
        <w:t>задіяні</w:t>
      </w:r>
      <w:r w:rsidR="002701C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репрезентативні </w:t>
      </w:r>
      <w:r w:rsidR="0023507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зразки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різних </w:t>
      </w:r>
      <w:r w:rsidR="0023507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популяцій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або у проведенні декількох досліджень в окремих </w:t>
      </w:r>
      <w:r w:rsidR="0023507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популяці</w:t>
      </w:r>
      <w:r w:rsidR="00E9119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ях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17CCA198" w14:textId="77777777" w:rsidR="002F0142" w:rsidRPr="00B02BAD" w:rsidRDefault="002F0142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bookmarkStart w:id="12" w:name="_bookmark18"/>
      <w:bookmarkEnd w:id="12"/>
    </w:p>
    <w:p w14:paraId="20600C74" w14:textId="77777777" w:rsidR="00896EAB" w:rsidRPr="00B02BAD" w:rsidRDefault="00896EAB" w:rsidP="002F0142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4.2</w:t>
      </w:r>
      <w:r w:rsidR="00A15587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.</w:t>
      </w: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 Дизайн досліджен</w:t>
      </w:r>
      <w:r w:rsidR="00E91191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ь</w:t>
      </w: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 ефективності</w:t>
      </w:r>
    </w:p>
    <w:p w14:paraId="1FCA7584" w14:textId="77777777" w:rsidR="00E672B9" w:rsidRPr="00B02BAD" w:rsidRDefault="00E672B9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350B0559" w14:textId="54116E3C" w:rsidR="00896EAB" w:rsidRPr="00B02BAD" w:rsidRDefault="00C866C9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Абсолютна захисна ефективність вакцин зазвичай визначається</w:t>
      </w:r>
      <w:r w:rsidR="002701C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701CE" w:rsidRPr="00BB2290">
        <w:rPr>
          <w:rStyle w:val="ad"/>
          <w:rFonts w:ascii="Times New Roman" w:hAnsi="Times New Roman" w:cs="Times New Roman"/>
          <w:i w:val="0"/>
          <w:sz w:val="28"/>
          <w:szCs w:val="28"/>
        </w:rPr>
        <w:t>шляхом</w:t>
      </w:r>
      <w:r w:rsidRPr="00BB229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701CE" w:rsidRPr="00BB229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оцінювання </w:t>
      </w:r>
      <w:r w:rsidRPr="00BB2290">
        <w:rPr>
          <w:rStyle w:val="ad"/>
          <w:rFonts w:ascii="Times New Roman" w:hAnsi="Times New Roman" w:cs="Times New Roman"/>
          <w:i w:val="0"/>
          <w:sz w:val="28"/>
          <w:szCs w:val="28"/>
        </w:rPr>
        <w:t>зменшення кількості випадків даного інфекційного захвор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ювання після вакцинації вакциною-кандидатом порівняно з захворюваністю у групі, </w:t>
      </w:r>
      <w:r w:rsidR="002A1F1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яка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отримувала плацебо у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проспективному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рандомізованому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та подвійн</w:t>
      </w:r>
      <w:r w:rsidRPr="006F5394">
        <w:rPr>
          <w:rStyle w:val="ad"/>
          <w:rFonts w:ascii="Times New Roman" w:hAnsi="Times New Roman" w:cs="Times New Roman"/>
          <w:i w:val="0"/>
          <w:sz w:val="28"/>
          <w:szCs w:val="28"/>
        </w:rPr>
        <w:t>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сліпому випробуванні.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Якщо плацебо-контроль вважається невідповідним (наприкла</w:t>
      </w:r>
      <w:r w:rsidR="00896EAB" w:rsidRPr="002D56E8">
        <w:rPr>
          <w:rStyle w:val="ad"/>
          <w:rFonts w:ascii="Times New Roman" w:hAnsi="Times New Roman" w:cs="Times New Roman"/>
          <w:i w:val="0"/>
          <w:sz w:val="28"/>
          <w:szCs w:val="28"/>
        </w:rPr>
        <w:t>д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тому</w:t>
      </w:r>
      <w:r w:rsidR="004D4492" w:rsidRPr="002D56E8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що дослідники та/або учасники/</w:t>
      </w:r>
      <w:r w:rsidR="00E638F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опікуни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відхиляють можливість </w:t>
      </w:r>
      <w:proofErr w:type="spellStart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рандомізації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для кількох ін’єкцій плацебо), </w:t>
      </w:r>
      <w:r w:rsidR="004D4492" w:rsidRPr="0066077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 контрольній групі можна вводити </w:t>
      </w:r>
      <w:r w:rsidR="0077618C" w:rsidRPr="0066077B">
        <w:rPr>
          <w:rStyle w:val="ad"/>
          <w:rFonts w:ascii="Times New Roman" w:hAnsi="Times New Roman" w:cs="Times New Roman"/>
          <w:i w:val="0"/>
          <w:sz w:val="28"/>
          <w:szCs w:val="28"/>
        </w:rPr>
        <w:t>зареєстровану вакцину без впливу на захворювання, якому має запобігти вакцина-кандидат.</w:t>
      </w:r>
    </w:p>
    <w:p w14:paraId="02D8EA3F" w14:textId="5D9BBBB5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Якщо вакцина-кандидат </w:t>
      </w:r>
      <w:r w:rsidRPr="0066077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запобігає </w:t>
      </w:r>
      <w:r w:rsidR="00E60010" w:rsidRPr="0066077B">
        <w:rPr>
          <w:rStyle w:val="ad"/>
          <w:rFonts w:ascii="Times New Roman" w:hAnsi="Times New Roman" w:cs="Times New Roman"/>
          <w:i w:val="0"/>
          <w:sz w:val="28"/>
          <w:szCs w:val="28"/>
        </w:rPr>
        <w:t>тяжкій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та/або небезпечній для життя інфекції </w:t>
      </w:r>
      <w:r w:rsidR="004D4492" w:rsidRPr="0066077B">
        <w:rPr>
          <w:rStyle w:val="ad"/>
          <w:rFonts w:ascii="Times New Roman" w:hAnsi="Times New Roman" w:cs="Times New Roman"/>
          <w:i w:val="0"/>
          <w:sz w:val="28"/>
          <w:szCs w:val="28"/>
        </w:rPr>
        <w:t>й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існує дозволена в ЄС вакцина, яка запобігає такому </w:t>
      </w:r>
      <w:r w:rsidR="00156C3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ж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захворюванню, використання групи плацебо є недоцільним</w:t>
      </w:r>
      <w:r w:rsidR="004D449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D4492" w:rsidRPr="0066077B">
        <w:rPr>
          <w:rStyle w:val="ad"/>
          <w:rFonts w:ascii="Times New Roman" w:hAnsi="Times New Roman" w:cs="Times New Roman"/>
          <w:i w:val="0"/>
          <w:sz w:val="28"/>
          <w:szCs w:val="28"/>
        </w:rPr>
        <w:t>—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випробування може бути спрямоване на оцінку відносної ефективності вакцини-кандидата порівняно з зареєстрованою вакциною. Якщо вакцину-кандидата розроблено для покращення однієї або кількох </w:t>
      </w:r>
      <w:r w:rsidR="00AA436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зареєстрованих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вакцин, може бути доречним продемонструвати, що ефективність вакцини-кандидата є вищою за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ефективність </w:t>
      </w:r>
      <w:r w:rsidR="00AA436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зареєстрованої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вакцини</w:t>
      </w:r>
      <w:r w:rsidR="00BB7507" w:rsidRPr="00BB7507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  <w:r w:rsidRPr="00BB750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B7507" w:rsidRPr="00BB7507">
        <w:rPr>
          <w:rStyle w:val="ad"/>
          <w:rFonts w:ascii="Times New Roman" w:hAnsi="Times New Roman" w:cs="Times New Roman"/>
          <w:i w:val="0"/>
          <w:sz w:val="28"/>
          <w:szCs w:val="28"/>
        </w:rPr>
        <w:t>Н</w:t>
      </w:r>
      <w:r w:rsidRPr="00BB7507">
        <w:rPr>
          <w:rStyle w:val="ad"/>
          <w:rFonts w:ascii="Times New Roman" w:hAnsi="Times New Roman" w:cs="Times New Roman"/>
          <w:i w:val="0"/>
          <w:sz w:val="28"/>
          <w:szCs w:val="28"/>
        </w:rPr>
        <w:t>априклад при включенні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73CD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більшої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дози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антиген</w:t>
      </w:r>
      <w:r w:rsidR="00073CD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порівняно з </w:t>
      </w:r>
      <w:r w:rsidR="00AA436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зареєстрованою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вакциною, при додаванні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ад’юванта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або при заміні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ад’юванта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73CD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більш потужни</w:t>
      </w:r>
      <w:r w:rsidR="00073CD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й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ад’ювант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AA436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Якщо вакцина-кандидат </w:t>
      </w:r>
      <w:r w:rsidR="00073CD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має</w:t>
      </w:r>
      <w:r w:rsidR="00752DE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забезпеч</w:t>
      </w:r>
      <w:r w:rsidR="00073CD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ити</w:t>
      </w:r>
      <w:r w:rsidR="00752DE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захис</w:t>
      </w:r>
      <w:r w:rsidR="00752DEE" w:rsidRPr="00903081">
        <w:rPr>
          <w:rStyle w:val="ad"/>
          <w:rFonts w:ascii="Times New Roman" w:hAnsi="Times New Roman" w:cs="Times New Roman"/>
          <w:i w:val="0"/>
          <w:sz w:val="28"/>
          <w:szCs w:val="28"/>
        </w:rPr>
        <w:t>т</w:t>
      </w:r>
      <w:r w:rsidR="00AA436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принаймні </w:t>
      </w:r>
      <w:r w:rsidR="00073CD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такий самий</w:t>
      </w:r>
      <w:r w:rsidR="00AA436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073CD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 у </w:t>
      </w:r>
      <w:r w:rsidR="00AA436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вакцини, дозволеної в ЄС,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метою може бути демонстрація </w:t>
      </w:r>
      <w:r w:rsidR="00B95B5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не меншої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ефективності. Цей дизайн вимагає дуже ретельного обґрунтування межі </w:t>
      </w:r>
      <w:r w:rsidR="000B73E2" w:rsidRPr="00903081">
        <w:rPr>
          <w:rStyle w:val="ad"/>
          <w:rFonts w:ascii="Times New Roman" w:hAnsi="Times New Roman" w:cs="Times New Roman"/>
          <w:i w:val="0"/>
          <w:sz w:val="28"/>
          <w:szCs w:val="28"/>
        </w:rPr>
        <w:t>не</w:t>
      </w:r>
      <w:r w:rsidR="004D4492" w:rsidRPr="0090308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73CDB" w:rsidRPr="00903081">
        <w:rPr>
          <w:rStyle w:val="ad"/>
          <w:rFonts w:ascii="Times New Roman" w:hAnsi="Times New Roman" w:cs="Times New Roman"/>
          <w:i w:val="0"/>
          <w:sz w:val="28"/>
          <w:szCs w:val="28"/>
        </w:rPr>
        <w:t>меншої</w:t>
      </w:r>
      <w:r w:rsidR="00073CD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ефективності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що може бути </w:t>
      </w:r>
      <w:r w:rsidR="00D47D9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непростим завданням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569F2E3B" w14:textId="77777777" w:rsidR="001F0EF4" w:rsidRPr="00B02BAD" w:rsidRDefault="001F0EF4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Інші </w:t>
      </w:r>
      <w:proofErr w:type="spellStart"/>
      <w:r w:rsidR="00E9119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дизайни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випробувань ефективності менш </w:t>
      </w:r>
      <w:r w:rsidR="00003C9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переважні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але за певних обставин і в кожному конкретному випадку можуть бути визнані доцільними.</w:t>
      </w:r>
    </w:p>
    <w:p w14:paraId="33BD61E2" w14:textId="537DC188" w:rsidR="00E91191" w:rsidRPr="00B02BAD" w:rsidRDefault="001F6FC5" w:rsidP="00ED758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Наприклад, іноді використовуються випробування частоти вторинних нападів, коли відомо, що інфекція, </w:t>
      </w:r>
      <w:r w:rsidRPr="00903081">
        <w:rPr>
          <w:rStyle w:val="ad"/>
          <w:rFonts w:ascii="Times New Roman" w:hAnsi="Times New Roman" w:cs="Times New Roman"/>
          <w:i w:val="0"/>
          <w:sz w:val="28"/>
          <w:szCs w:val="28"/>
        </w:rPr>
        <w:t>як</w:t>
      </w:r>
      <w:r w:rsidR="004D4492" w:rsidRPr="00903081">
        <w:rPr>
          <w:rStyle w:val="ad"/>
          <w:rFonts w:ascii="Times New Roman" w:hAnsi="Times New Roman" w:cs="Times New Roman"/>
          <w:i w:val="0"/>
          <w:sz w:val="28"/>
          <w:szCs w:val="28"/>
        </w:rPr>
        <w:t>ій</w:t>
      </w:r>
      <w:r w:rsidRPr="0090308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D4492" w:rsidRPr="00903081">
        <w:rPr>
          <w:rStyle w:val="ad"/>
          <w:rFonts w:ascii="Times New Roman" w:hAnsi="Times New Roman" w:cs="Times New Roman"/>
          <w:i w:val="0"/>
          <w:sz w:val="28"/>
          <w:szCs w:val="28"/>
        </w:rPr>
        <w:t>треба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запобігти, пов’язана з відносно високою частотою вторинних випадків. </w:t>
      </w:r>
      <w:r w:rsidR="00E91191" w:rsidRPr="00B02BAD">
        <w:rPr>
          <w:rFonts w:ascii="Times New Roman" w:hAnsi="Times New Roman" w:cs="Times New Roman"/>
          <w:sz w:val="28"/>
          <w:szCs w:val="28"/>
        </w:rPr>
        <w:t xml:space="preserve">У цих випробуваннях </w:t>
      </w:r>
      <w:r w:rsidR="00E91191" w:rsidRPr="00903081">
        <w:rPr>
          <w:rFonts w:ascii="Times New Roman" w:hAnsi="Times New Roman" w:cs="Times New Roman"/>
          <w:sz w:val="28"/>
          <w:szCs w:val="28"/>
        </w:rPr>
        <w:t>припу</w:t>
      </w:r>
      <w:r w:rsidR="00C272F9" w:rsidRPr="00903081">
        <w:rPr>
          <w:rFonts w:ascii="Times New Roman" w:hAnsi="Times New Roman" w:cs="Times New Roman"/>
          <w:sz w:val="28"/>
          <w:szCs w:val="28"/>
        </w:rPr>
        <w:t>скається</w:t>
      </w:r>
      <w:r w:rsidR="00E91191" w:rsidRPr="00B02BAD">
        <w:rPr>
          <w:rFonts w:ascii="Times New Roman" w:hAnsi="Times New Roman" w:cs="Times New Roman"/>
          <w:sz w:val="28"/>
          <w:szCs w:val="28"/>
        </w:rPr>
        <w:t xml:space="preserve">, що вакциновані </w:t>
      </w:r>
      <w:r w:rsidR="00C272F9" w:rsidRPr="00903081">
        <w:rPr>
          <w:rFonts w:ascii="Times New Roman" w:hAnsi="Times New Roman" w:cs="Times New Roman"/>
          <w:sz w:val="28"/>
          <w:szCs w:val="28"/>
        </w:rPr>
        <w:t>і</w:t>
      </w:r>
      <w:r w:rsidR="00E91191" w:rsidRPr="00B02BAD">
        <w:rPr>
          <w:rFonts w:ascii="Times New Roman" w:hAnsi="Times New Roman" w:cs="Times New Roman"/>
          <w:sz w:val="28"/>
          <w:szCs w:val="28"/>
        </w:rPr>
        <w:t xml:space="preserve"> невакциновані особи мають рівні шанси заразитися інфекцією від </w:t>
      </w:r>
      <w:r w:rsidR="00003C9B" w:rsidRPr="00B02BAD">
        <w:rPr>
          <w:rFonts w:ascii="Times New Roman" w:hAnsi="Times New Roman" w:cs="Times New Roman"/>
          <w:sz w:val="28"/>
          <w:szCs w:val="28"/>
        </w:rPr>
        <w:t xml:space="preserve">джерела інфекційного </w:t>
      </w:r>
      <w:r w:rsidR="00003C9B" w:rsidRPr="00C173C9">
        <w:rPr>
          <w:rFonts w:ascii="Times New Roman" w:hAnsi="Times New Roman" w:cs="Times New Roman"/>
          <w:sz w:val="28"/>
          <w:szCs w:val="28"/>
        </w:rPr>
        <w:t>захворювання</w:t>
      </w:r>
      <w:r w:rsidR="00C173C9">
        <w:rPr>
          <w:rFonts w:ascii="Times New Roman" w:hAnsi="Times New Roman" w:cs="Times New Roman"/>
          <w:sz w:val="28"/>
          <w:szCs w:val="28"/>
        </w:rPr>
        <w:t xml:space="preserve"> (</w:t>
      </w:r>
      <w:r w:rsidR="00C173C9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="00C173C9" w:rsidRPr="00C173C9">
        <w:rPr>
          <w:rFonts w:ascii="Times New Roman" w:hAnsi="Times New Roman" w:cs="Times New Roman"/>
          <w:sz w:val="28"/>
          <w:szCs w:val="28"/>
        </w:rPr>
        <w:t xml:space="preserve"> </w:t>
      </w:r>
      <w:r w:rsidR="00C173C9">
        <w:rPr>
          <w:rFonts w:ascii="Times New Roman" w:hAnsi="Times New Roman" w:cs="Times New Roman"/>
          <w:sz w:val="28"/>
          <w:szCs w:val="28"/>
          <w:lang w:val="en-US"/>
        </w:rPr>
        <w:t>case</w:t>
      </w:r>
      <w:r w:rsidR="00C173C9">
        <w:rPr>
          <w:rFonts w:ascii="Times New Roman" w:hAnsi="Times New Roman" w:cs="Times New Roman"/>
          <w:sz w:val="28"/>
          <w:szCs w:val="28"/>
        </w:rPr>
        <w:t>)</w:t>
      </w:r>
      <w:r w:rsidR="00E91191" w:rsidRPr="00C173C9">
        <w:rPr>
          <w:rFonts w:ascii="Times New Roman" w:hAnsi="Times New Roman" w:cs="Times New Roman"/>
          <w:sz w:val="28"/>
          <w:szCs w:val="28"/>
        </w:rPr>
        <w:t>.</w:t>
      </w:r>
      <w:r w:rsidR="00E91191" w:rsidRPr="00B02BAD">
        <w:rPr>
          <w:rFonts w:ascii="Times New Roman" w:hAnsi="Times New Roman" w:cs="Times New Roman"/>
          <w:sz w:val="28"/>
          <w:szCs w:val="28"/>
        </w:rPr>
        <w:t xml:space="preserve"> </w:t>
      </w:r>
      <w:r w:rsidR="00003C9B" w:rsidRPr="00B02BAD">
        <w:rPr>
          <w:rFonts w:ascii="Times New Roman" w:hAnsi="Times New Roman" w:cs="Times New Roman"/>
          <w:sz w:val="28"/>
          <w:szCs w:val="28"/>
        </w:rPr>
        <w:t>Кращим дизайном</w:t>
      </w:r>
      <w:r w:rsidR="00E91191" w:rsidRPr="00B02BAD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="00E91191" w:rsidRPr="00B02BAD">
        <w:rPr>
          <w:rFonts w:ascii="Times New Roman" w:hAnsi="Times New Roman" w:cs="Times New Roman"/>
          <w:sz w:val="28"/>
          <w:szCs w:val="28"/>
        </w:rPr>
        <w:t>рандомізація</w:t>
      </w:r>
      <w:proofErr w:type="spellEnd"/>
      <w:r w:rsidR="00E91191" w:rsidRPr="00B02BAD">
        <w:rPr>
          <w:rFonts w:ascii="Times New Roman" w:hAnsi="Times New Roman" w:cs="Times New Roman"/>
          <w:sz w:val="28"/>
          <w:szCs w:val="28"/>
        </w:rPr>
        <w:t xml:space="preserve"> прямих контактів,</w:t>
      </w:r>
      <w:r w:rsidR="00003C9B" w:rsidRPr="00B02BAD">
        <w:rPr>
          <w:rFonts w:ascii="Times New Roman" w:hAnsi="Times New Roman" w:cs="Times New Roman"/>
          <w:sz w:val="28"/>
          <w:szCs w:val="28"/>
        </w:rPr>
        <w:t xml:space="preserve"> а іноді і вторинних контактів </w:t>
      </w:r>
      <w:r w:rsidR="00E91191" w:rsidRPr="00B02BAD">
        <w:rPr>
          <w:rFonts w:ascii="Times New Roman" w:hAnsi="Times New Roman" w:cs="Times New Roman"/>
          <w:sz w:val="28"/>
          <w:szCs w:val="28"/>
        </w:rPr>
        <w:t xml:space="preserve">з використанням індивідуального підходу до питання отримання чи </w:t>
      </w:r>
      <w:r w:rsidR="00E91191" w:rsidRPr="00C173C9">
        <w:rPr>
          <w:rFonts w:ascii="Times New Roman" w:hAnsi="Times New Roman" w:cs="Times New Roman"/>
          <w:sz w:val="28"/>
          <w:szCs w:val="28"/>
        </w:rPr>
        <w:t>неотримання</w:t>
      </w:r>
      <w:r w:rsidR="00E91191" w:rsidRPr="00B02BAD">
        <w:rPr>
          <w:rFonts w:ascii="Times New Roman" w:hAnsi="Times New Roman" w:cs="Times New Roman"/>
          <w:sz w:val="28"/>
          <w:szCs w:val="28"/>
        </w:rPr>
        <w:t xml:space="preserve"> вакцини-кандидата. Альтернативно, можна провести </w:t>
      </w:r>
      <w:proofErr w:type="spellStart"/>
      <w:r w:rsidR="00E91191" w:rsidRPr="00B02BAD">
        <w:rPr>
          <w:rFonts w:ascii="Times New Roman" w:hAnsi="Times New Roman" w:cs="Times New Roman"/>
          <w:sz w:val="28"/>
          <w:szCs w:val="28"/>
        </w:rPr>
        <w:t>рандомізацію</w:t>
      </w:r>
      <w:proofErr w:type="spellEnd"/>
      <w:r w:rsidR="00E91191" w:rsidRPr="00B02BAD">
        <w:rPr>
          <w:rFonts w:ascii="Times New Roman" w:hAnsi="Times New Roman" w:cs="Times New Roman"/>
          <w:sz w:val="28"/>
          <w:szCs w:val="28"/>
        </w:rPr>
        <w:t xml:space="preserve"> осіб для негайної або </w:t>
      </w:r>
      <w:proofErr w:type="spellStart"/>
      <w:r w:rsidR="00E91191" w:rsidRPr="00B02BAD">
        <w:rPr>
          <w:rFonts w:ascii="Times New Roman" w:hAnsi="Times New Roman" w:cs="Times New Roman"/>
          <w:sz w:val="28"/>
          <w:szCs w:val="28"/>
        </w:rPr>
        <w:t>відтермінованої</w:t>
      </w:r>
      <w:proofErr w:type="spellEnd"/>
      <w:r w:rsidR="00E91191" w:rsidRPr="00B02BAD">
        <w:rPr>
          <w:rFonts w:ascii="Times New Roman" w:hAnsi="Times New Roman" w:cs="Times New Roman"/>
          <w:sz w:val="28"/>
          <w:szCs w:val="28"/>
        </w:rPr>
        <w:t xml:space="preserve"> вакцинації або </w:t>
      </w:r>
      <w:proofErr w:type="spellStart"/>
      <w:r w:rsidR="00E91191" w:rsidRPr="00B02BAD">
        <w:rPr>
          <w:rFonts w:ascii="Times New Roman" w:hAnsi="Times New Roman" w:cs="Times New Roman"/>
          <w:sz w:val="28"/>
          <w:szCs w:val="28"/>
        </w:rPr>
        <w:t>рандомізацію</w:t>
      </w:r>
      <w:proofErr w:type="spellEnd"/>
      <w:r w:rsidR="00E91191" w:rsidRPr="00B02BAD">
        <w:rPr>
          <w:rFonts w:ascii="Times New Roman" w:hAnsi="Times New Roman" w:cs="Times New Roman"/>
          <w:sz w:val="28"/>
          <w:szCs w:val="28"/>
        </w:rPr>
        <w:t xml:space="preserve"> усіх учасників кожного </w:t>
      </w:r>
      <w:r w:rsidR="00E91191" w:rsidRPr="00C173C9">
        <w:rPr>
          <w:rFonts w:ascii="Times New Roman" w:hAnsi="Times New Roman" w:cs="Times New Roman"/>
          <w:sz w:val="28"/>
          <w:szCs w:val="28"/>
        </w:rPr>
        <w:t>осередку</w:t>
      </w:r>
      <w:r w:rsidR="00C173C9">
        <w:rPr>
          <w:rFonts w:ascii="Times New Roman" w:hAnsi="Times New Roman" w:cs="Times New Roman"/>
          <w:sz w:val="28"/>
          <w:szCs w:val="28"/>
        </w:rPr>
        <w:t xml:space="preserve"> (</w:t>
      </w:r>
      <w:r w:rsidR="00C173C9">
        <w:rPr>
          <w:rFonts w:ascii="Times New Roman" w:hAnsi="Times New Roman" w:cs="Times New Roman"/>
          <w:sz w:val="28"/>
          <w:szCs w:val="28"/>
          <w:lang w:val="en-US"/>
        </w:rPr>
        <w:t>ring</w:t>
      </w:r>
      <w:r w:rsidR="00C173C9">
        <w:rPr>
          <w:rFonts w:ascii="Times New Roman" w:hAnsi="Times New Roman" w:cs="Times New Roman"/>
          <w:sz w:val="28"/>
          <w:szCs w:val="28"/>
        </w:rPr>
        <w:t>)</w:t>
      </w:r>
      <w:r w:rsidR="00E91191" w:rsidRPr="00C173C9">
        <w:rPr>
          <w:rFonts w:ascii="Times New Roman" w:hAnsi="Times New Roman" w:cs="Times New Roman"/>
          <w:sz w:val="28"/>
          <w:szCs w:val="28"/>
        </w:rPr>
        <w:t xml:space="preserve"> </w:t>
      </w:r>
      <w:r w:rsidR="00E91191" w:rsidRPr="00D314DE">
        <w:rPr>
          <w:rFonts w:ascii="Times New Roman" w:hAnsi="Times New Roman" w:cs="Times New Roman"/>
          <w:sz w:val="28"/>
          <w:szCs w:val="28"/>
        </w:rPr>
        <w:t>однієї</w:t>
      </w:r>
      <w:r w:rsidR="00E91191" w:rsidRPr="00B02BAD">
        <w:rPr>
          <w:rFonts w:ascii="Times New Roman" w:hAnsi="Times New Roman" w:cs="Times New Roman"/>
          <w:sz w:val="28"/>
          <w:szCs w:val="28"/>
        </w:rPr>
        <w:t xml:space="preserve"> групи, тобто кластерний </w:t>
      </w:r>
      <w:proofErr w:type="spellStart"/>
      <w:r w:rsidR="00E91191" w:rsidRPr="00B02BAD">
        <w:rPr>
          <w:rFonts w:ascii="Times New Roman" w:hAnsi="Times New Roman" w:cs="Times New Roman"/>
          <w:sz w:val="28"/>
          <w:szCs w:val="28"/>
        </w:rPr>
        <w:t>рандомізований</w:t>
      </w:r>
      <w:proofErr w:type="spellEnd"/>
      <w:r w:rsidR="00E91191" w:rsidRPr="00B02BAD">
        <w:rPr>
          <w:rFonts w:ascii="Times New Roman" w:hAnsi="Times New Roman" w:cs="Times New Roman"/>
          <w:sz w:val="28"/>
          <w:szCs w:val="28"/>
        </w:rPr>
        <w:t xml:space="preserve"> підхід. У </w:t>
      </w:r>
      <w:proofErr w:type="spellStart"/>
      <w:r w:rsidR="00E91191" w:rsidRPr="00B02BAD">
        <w:rPr>
          <w:rFonts w:ascii="Times New Roman" w:hAnsi="Times New Roman" w:cs="Times New Roman"/>
          <w:sz w:val="28"/>
          <w:szCs w:val="28"/>
        </w:rPr>
        <w:t>рандомізованому</w:t>
      </w:r>
      <w:proofErr w:type="spellEnd"/>
      <w:r w:rsidR="00E91191" w:rsidRPr="00B02BAD">
        <w:rPr>
          <w:rFonts w:ascii="Times New Roman" w:hAnsi="Times New Roman" w:cs="Times New Roman"/>
          <w:sz w:val="28"/>
          <w:szCs w:val="28"/>
        </w:rPr>
        <w:t xml:space="preserve"> ступінчастому випробуванні вакцину-кандидат</w:t>
      </w:r>
      <w:r w:rsidR="00D314DE">
        <w:rPr>
          <w:rFonts w:ascii="Times New Roman" w:hAnsi="Times New Roman" w:cs="Times New Roman"/>
          <w:sz w:val="28"/>
          <w:szCs w:val="28"/>
        </w:rPr>
        <w:t>а</w:t>
      </w:r>
      <w:r w:rsidR="00E91191" w:rsidRPr="00B02BAD">
        <w:rPr>
          <w:rFonts w:ascii="Times New Roman" w:hAnsi="Times New Roman" w:cs="Times New Roman"/>
          <w:sz w:val="28"/>
          <w:szCs w:val="28"/>
        </w:rPr>
        <w:t xml:space="preserve"> вводять послідовно попередньо визначеним групам </w:t>
      </w:r>
      <w:r w:rsidR="00E91191" w:rsidRPr="00C173C9">
        <w:rPr>
          <w:rFonts w:ascii="Times New Roman" w:hAnsi="Times New Roman" w:cs="Times New Roman"/>
          <w:sz w:val="28"/>
          <w:szCs w:val="28"/>
        </w:rPr>
        <w:t>так,</w:t>
      </w:r>
      <w:r w:rsidR="00E91191" w:rsidRPr="00B02BAD">
        <w:rPr>
          <w:rFonts w:ascii="Times New Roman" w:hAnsi="Times New Roman" w:cs="Times New Roman"/>
          <w:sz w:val="28"/>
          <w:szCs w:val="28"/>
        </w:rPr>
        <w:t xml:space="preserve"> що кожна група є одиницею </w:t>
      </w:r>
      <w:proofErr w:type="spellStart"/>
      <w:r w:rsidR="00E91191" w:rsidRPr="00B02BAD">
        <w:rPr>
          <w:rFonts w:ascii="Times New Roman" w:hAnsi="Times New Roman" w:cs="Times New Roman"/>
          <w:sz w:val="28"/>
          <w:szCs w:val="28"/>
        </w:rPr>
        <w:t>рандомізації</w:t>
      </w:r>
      <w:proofErr w:type="spellEnd"/>
      <w:r w:rsidR="00E91191" w:rsidRPr="00B02BAD">
        <w:rPr>
          <w:rFonts w:ascii="Times New Roman" w:hAnsi="Times New Roman" w:cs="Times New Roman"/>
          <w:sz w:val="28"/>
          <w:szCs w:val="28"/>
        </w:rPr>
        <w:t xml:space="preserve">. Групи можуть бути визначені за показниками </w:t>
      </w:r>
      <w:r w:rsidR="00E91191" w:rsidRPr="00C173C9">
        <w:rPr>
          <w:rFonts w:ascii="Times New Roman" w:hAnsi="Times New Roman" w:cs="Times New Roman"/>
          <w:sz w:val="28"/>
          <w:szCs w:val="28"/>
        </w:rPr>
        <w:t>носія</w:t>
      </w:r>
      <w:r w:rsidR="00D314DE" w:rsidRPr="00C173C9">
        <w:rPr>
          <w:rFonts w:ascii="Times New Roman" w:hAnsi="Times New Roman" w:cs="Times New Roman"/>
          <w:sz w:val="28"/>
          <w:szCs w:val="28"/>
        </w:rPr>
        <w:t xml:space="preserve"> </w:t>
      </w:r>
      <w:r w:rsidR="00E91191" w:rsidRPr="00C173C9">
        <w:rPr>
          <w:rFonts w:ascii="Times New Roman" w:hAnsi="Times New Roman" w:cs="Times New Roman"/>
          <w:sz w:val="28"/>
          <w:szCs w:val="28"/>
        </w:rPr>
        <w:t>інфекції</w:t>
      </w:r>
      <w:r w:rsidR="00E91191" w:rsidRPr="00B02BAD">
        <w:rPr>
          <w:rFonts w:ascii="Times New Roman" w:hAnsi="Times New Roman" w:cs="Times New Roman"/>
          <w:sz w:val="28"/>
          <w:szCs w:val="28"/>
        </w:rPr>
        <w:t xml:space="preserve">, місцезнаходженням або іншими факторами. Цей дизайн може бути особливо доречним, коли існують логістичні причини, що перешкоджають вакцинації великої кількості </w:t>
      </w:r>
      <w:proofErr w:type="spellStart"/>
      <w:r w:rsidR="00E91191" w:rsidRPr="00B02BAD">
        <w:rPr>
          <w:rFonts w:ascii="Times New Roman" w:hAnsi="Times New Roman" w:cs="Times New Roman"/>
          <w:sz w:val="28"/>
          <w:szCs w:val="28"/>
        </w:rPr>
        <w:t>субʼєктів</w:t>
      </w:r>
      <w:proofErr w:type="spellEnd"/>
      <w:r w:rsidR="00E91191" w:rsidRPr="00B02BAD">
        <w:rPr>
          <w:rFonts w:ascii="Times New Roman" w:hAnsi="Times New Roman" w:cs="Times New Roman"/>
          <w:sz w:val="28"/>
          <w:szCs w:val="28"/>
        </w:rPr>
        <w:t xml:space="preserve"> вакциною-кандидатом за короткий проміжок часу.</w:t>
      </w:r>
    </w:p>
    <w:p w14:paraId="0360DA6C" w14:textId="77777777" w:rsidR="00AB2442" w:rsidRPr="00B02BAD" w:rsidRDefault="00AB2442" w:rsidP="00AB244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5A80101" w14:textId="77777777" w:rsidR="00896EAB" w:rsidRPr="00B02BAD" w:rsidRDefault="00896EAB" w:rsidP="00E83093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4.3</w:t>
      </w:r>
      <w:r w:rsidR="00A15587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.</w:t>
      </w: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 Визначення випадків</w:t>
      </w:r>
      <w:r w:rsidR="00A340AB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 захворювання</w:t>
      </w:r>
    </w:p>
    <w:p w14:paraId="093B5DCE" w14:textId="77777777" w:rsidR="0084395B" w:rsidRPr="00B02BAD" w:rsidRDefault="0084395B" w:rsidP="00AB2442">
      <w:pPr>
        <w:spacing w:after="0" w:line="276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458A6487" w14:textId="596148E9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Визначення випадків</w:t>
      </w:r>
      <w:r w:rsidR="00A340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захворювання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CD5EB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які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використовуються для первинного аналізу, а також будь-які альтернативні визначення випадків для вторинн</w:t>
      </w:r>
      <w:r w:rsidR="00E1753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>аналіз</w:t>
      </w:r>
      <w:r w:rsidR="00E1753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="00E17539" w:rsidRPr="00C173C9">
        <w:rPr>
          <w:rStyle w:val="ad"/>
          <w:rFonts w:ascii="Times New Roman" w:hAnsi="Times New Roman" w:cs="Times New Roman"/>
          <w:i w:val="0"/>
          <w:sz w:val="28"/>
          <w:szCs w:val="28"/>
        </w:rPr>
        <w:t>в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зазвичай включають клінічні ознаки та/або симптоми, характерні</w:t>
      </w:r>
      <w:r w:rsidR="00003C9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для інфекційного захворювання</w:t>
      </w:r>
      <w:r w:rsidR="00C5547E"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разом з лабораторним підтвердженням етіології. </w:t>
      </w:r>
      <w:r w:rsidR="00E1753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Іноді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визначення випадків </w:t>
      </w:r>
      <w:r w:rsidR="00A340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захворювання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для первинного або вторинного аналізу мож</w:t>
      </w:r>
      <w:r w:rsidR="00E1753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е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ґрунтуватися лише на клінічних ознаках або лабораторних дослідженнях.</w:t>
      </w:r>
    </w:p>
    <w:p w14:paraId="693F6DD3" w14:textId="2290DF37" w:rsidR="00127BF5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Якщо </w:t>
      </w:r>
      <w:r w:rsidR="003F109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збудник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викликає захворювання </w:t>
      </w:r>
      <w:r w:rsidR="00EB740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різного ступеня тяжкості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або </w:t>
      </w:r>
      <w:r w:rsidR="0092253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ряд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клінічн</w:t>
      </w:r>
      <w:r w:rsidR="0092253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прояв</w:t>
      </w:r>
      <w:r w:rsidR="0092253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ів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(наприклад, </w:t>
      </w:r>
      <w:r w:rsidR="003F109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небезпечні для життя </w:t>
      </w:r>
      <w:proofErr w:type="spellStart"/>
      <w:r w:rsidR="003F109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інвазивні</w:t>
      </w:r>
      <w:proofErr w:type="spellEnd"/>
      <w:r w:rsidR="003F109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інфекції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а також локал</w:t>
      </w:r>
      <w:r w:rsidR="0092253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ізовані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інфекції), клінічні </w:t>
      </w:r>
      <w:r w:rsidR="00EB740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ознаки</w:t>
      </w:r>
      <w:r w:rsidR="00003C9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визначення випадку </w:t>
      </w:r>
      <w:r w:rsidR="00A340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захворювання </w:t>
      </w:r>
      <w:r w:rsidR="00EB740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слід вибирати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відповідно до запропонованого(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их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показання(ь). У таких випадках для підтвердження конкретних показань може </w:t>
      </w:r>
      <w:r w:rsidR="00C5547E"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>потребуватися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проведення окремих досліджень ефективності з використанням різних визначень випадків </w:t>
      </w:r>
      <w:r w:rsidR="00A340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захворювання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(н</w:t>
      </w:r>
      <w:r w:rsidR="00EB740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априклад, профілактика </w:t>
      </w:r>
      <w:proofErr w:type="spellStart"/>
      <w:r w:rsidR="00EB740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інвазивного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пневмококов</w:t>
      </w:r>
      <w:r w:rsidR="00EB740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ого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захворюван</w:t>
      </w:r>
      <w:r w:rsidR="00EB740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2253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 </w:t>
      </w:r>
      <w:r w:rsidR="003F109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порівнян</w:t>
      </w:r>
      <w:r w:rsidR="0092253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ні</w:t>
      </w:r>
      <w:r w:rsidR="003F109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профілактик</w:t>
      </w:r>
      <w:r w:rsidR="003F109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ою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пневмококового середнього отиту). </w:t>
      </w:r>
      <w:r w:rsidR="006025C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Крім того, для деяких вакцин може бути важливим порівняти тяжкість </w:t>
      </w:r>
      <w:r w:rsidR="00FC576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розвитку захворювання </w:t>
      </w:r>
      <w:r w:rsidR="006025C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 випадками, що трапляються в контрольній групі, щоб визначити, чи попередня вакцинація </w:t>
      </w:r>
      <w:r w:rsidR="006025C6"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>полегшує</w:t>
      </w:r>
      <w:r w:rsidR="00C5547E"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>, чи</w:t>
      </w:r>
      <w:r w:rsidR="006025C6"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="006025C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можливо, посилює тяжкість захворювання. </w:t>
      </w:r>
    </w:p>
    <w:p w14:paraId="41652F3D" w14:textId="1A07907C" w:rsidR="00896EAB" w:rsidRPr="00B02BAD" w:rsidRDefault="00896EAB" w:rsidP="00562751">
      <w:pPr>
        <w:spacing w:after="0" w:line="360" w:lineRule="auto"/>
        <w:ind w:firstLine="709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Лабораторне підтвердження </w:t>
      </w:r>
      <w:r w:rsidR="00831CF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випадку </w:t>
      </w:r>
      <w:r w:rsidR="0089358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захворювання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може </w:t>
      </w:r>
      <w:r w:rsidR="00831CF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ґрунтуватися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 одному або декілько</w:t>
      </w:r>
      <w:r w:rsidR="0096493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х імунологічних тестах, культивуванні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збудника, виявленні збудника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некультуральними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методами або</w:t>
      </w:r>
      <w:r w:rsidR="00A10CE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 допомогою гістологічного дослідження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Лабораторні методи, що використовуються для підтвердження діагнозу </w:t>
      </w:r>
      <w:r w:rsidR="00831CF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 місцях проведення випробування</w:t>
      </w:r>
      <w:r w:rsidR="002F137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та/або в центральних лабораторіях, повинні бути заздалегідь визначені та обґрунтовані. За наявності комерційно доступних тесті</w:t>
      </w:r>
      <w:r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>в</w:t>
      </w:r>
      <w:r w:rsidR="0026092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вибір лабораторного(</w:t>
      </w:r>
      <w:proofErr w:type="spellStart"/>
      <w:r w:rsidR="0026092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их</w:t>
      </w:r>
      <w:proofErr w:type="spellEnd"/>
      <w:r w:rsidR="0026092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) методу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(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ів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повинен ґрунтуватися на заявлених характеристиках </w:t>
      </w:r>
      <w:r w:rsidR="002F137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ефективності</w:t>
      </w:r>
      <w:r w:rsidR="002F1376" w:rsidRPr="00B02BAD">
        <w:rPr>
          <w:rStyle w:val="ad"/>
          <w:rFonts w:ascii="Times New Roman" w:hAnsi="Times New Roman" w:cs="Times New Roman"/>
          <w:i w:val="0"/>
          <w:color w:val="FF000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(тобто чутливості та специфічності аналізу, а також на </w:t>
      </w:r>
      <w:r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>придатн</w:t>
      </w:r>
      <w:r w:rsidR="00FB464A"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>ості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для досліджуваної популяції). У деяких випадках може бути</w:t>
      </w:r>
      <w:r w:rsidR="002F137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31CF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доцільним </w:t>
      </w:r>
      <w:r w:rsidR="0034245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вибір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4245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аналізу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здатного виявляти додаткові </w:t>
      </w:r>
      <w:r w:rsidR="002F137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збудники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які можуть </w:t>
      </w:r>
      <w:r w:rsidR="0034245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супроводжувати цільовий </w:t>
      </w:r>
      <w:r w:rsidR="007B573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збудник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>і в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пливати на тяжкість або перебіг захворювання. </w:t>
      </w:r>
      <w:r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>Також мож</w:t>
      </w:r>
      <w:r w:rsidR="00FB464A"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>уть</w:t>
      </w:r>
      <w:r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B464A"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>бути потрібні</w:t>
      </w:r>
      <w:r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додатков</w:t>
      </w:r>
      <w:r w:rsidR="00FB464A"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аналіз</w:t>
      </w:r>
      <w:r w:rsidR="00FB464A"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для виявлення таких організмів, якщо це вважається важливим для інтерпретації результатів випробування.</w:t>
      </w:r>
    </w:p>
    <w:p w14:paraId="61D20D1A" w14:textId="76E8B48B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В окремих випадках, </w:t>
      </w:r>
      <w:r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наприклад </w:t>
      </w:r>
      <w:r w:rsidR="00FB464A"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>за</w:t>
      </w:r>
      <w:r w:rsidR="00532B7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відсутності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доступних тестів</w:t>
      </w:r>
      <w:r w:rsidR="00164CB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із задовільними характеристиками, може бути доцільним використання експериментальних лабораторних методів для встановлення наявності інфекції. У таких випадках </w:t>
      </w:r>
      <w:r w:rsidR="00532B7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під час програми клінічної розробки </w:t>
      </w:r>
      <w:r w:rsidR="00FB464A"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>треба</w:t>
      </w:r>
      <w:r w:rsidR="00532B7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докласти всіх зусиль для оцінки чутливості,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специфічності та відтворюваності використаних методів. Якщо визначення випадку </w:t>
      </w:r>
      <w:r w:rsidR="00A340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захворювання </w:t>
      </w:r>
      <w:r w:rsidR="00532B7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ґрунтується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D758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на результатах гістологічних досліджень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критерії </w:t>
      </w:r>
      <w:r w:rsidR="00532B7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визначення стадії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та прогресування повинні бути попередньо визначені в протоколі, а також рекомендується </w:t>
      </w:r>
      <w:r w:rsidR="00ED758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наявність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систем</w:t>
      </w:r>
      <w:r w:rsidR="00831CF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контролю якості та/або </w:t>
      </w:r>
      <w:r w:rsidR="00ED758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проведення </w:t>
      </w:r>
      <w:r w:rsidR="00FB464A" w:rsidRPr="00BC0AFD">
        <w:rPr>
          <w:rStyle w:val="ad"/>
          <w:rFonts w:ascii="Times New Roman" w:hAnsi="Times New Roman" w:cs="Times New Roman"/>
          <w:i w:val="0"/>
          <w:sz w:val="28"/>
          <w:szCs w:val="28"/>
        </w:rPr>
        <w:t>додаткового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23C2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вимірювання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результатів в експертній центральній лабораторії.</w:t>
      </w:r>
    </w:p>
    <w:p w14:paraId="524D8565" w14:textId="77777777" w:rsidR="00ED7583" w:rsidRPr="00B02BAD" w:rsidRDefault="00ED7583" w:rsidP="00A15587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bookmarkStart w:id="13" w:name="_bookmark20"/>
      <w:bookmarkEnd w:id="13"/>
    </w:p>
    <w:p w14:paraId="03036390" w14:textId="77777777" w:rsidR="00896EAB" w:rsidRPr="00B02BAD" w:rsidRDefault="00E3473C" w:rsidP="00A15587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4.4</w:t>
      </w:r>
      <w:r w:rsidR="00A15587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.</w:t>
      </w: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374368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Встановлення випадків захворювання</w:t>
      </w:r>
    </w:p>
    <w:p w14:paraId="340F460F" w14:textId="77777777" w:rsidR="00E3473C" w:rsidRPr="00B02BAD" w:rsidRDefault="00E3473C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</w:p>
    <w:p w14:paraId="48FF7083" w14:textId="6995D722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Зазвича</w:t>
      </w:r>
      <w:r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>й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активне </w:t>
      </w:r>
      <w:r w:rsidR="0037436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встановлення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випадків</w:t>
      </w:r>
      <w:r w:rsidR="0037436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захворювання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проводиться принаймні до моменту проведення первинного аналізу. Якщо після первинного аналізу передбачається подальше спостереження, </w:t>
      </w:r>
      <w:r w:rsidR="00E6383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то при прийнятті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рішення про перехід до пасивного виявлення випадків </w:t>
      </w:r>
      <w:r w:rsidR="00E6383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слід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враховувати важливість отримання надійних оцінок ефективності вакцини в довгостроковій перспективі та інформації про </w:t>
      </w:r>
      <w:r w:rsidR="004613C3"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>особливості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випадків, </w:t>
      </w:r>
      <w:r w:rsidR="00E6383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які з часом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виникають у раніше вакцинованих і невакцинованих </w:t>
      </w:r>
      <w:r w:rsidR="00E6383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суб’єктів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0A8C31E0" w14:textId="466F99A6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Якщо первинною кінцевою точкою </w:t>
      </w:r>
      <w:r w:rsidR="009F69E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є лабораторне підтвердження клінічн</w:t>
      </w:r>
      <w:r w:rsidR="008506A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их проявів</w:t>
      </w:r>
      <w:r w:rsidR="009F69E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захворювання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5936E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протокол</w:t>
      </w:r>
      <w:r w:rsidR="005936E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 мають бути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936E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перераховані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клінічн</w:t>
      </w:r>
      <w:r w:rsidR="00F1217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ознак</w:t>
      </w:r>
      <w:r w:rsidR="00F1217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та/або симптом</w:t>
      </w:r>
      <w:r w:rsidR="00F1217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які є підставою для </w:t>
      </w:r>
      <w:r w:rsidR="002D1F85"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>звернення</w:t>
      </w:r>
      <w:r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A79D2"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>суб’єкт</w:t>
      </w:r>
      <w:r w:rsidR="002D1F85"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>ів</w:t>
      </w:r>
      <w:r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випробування </w:t>
      </w:r>
      <w:r w:rsidR="002D1F85"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>до</w:t>
      </w:r>
      <w:r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персонал</w:t>
      </w:r>
      <w:r w:rsidR="002D1F85"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D1F85"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 </w:t>
      </w:r>
      <w:r w:rsidR="00306E80"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>місц</w:t>
      </w:r>
      <w:r w:rsidR="002D1F85"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="00306E80"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12173"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>проведення</w:t>
      </w:r>
      <w:r w:rsidR="00F1217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06E8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випробування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або визначених медичних закладів, що беруть участь у випробуванні, з метою проведення відповідного лабораторного </w:t>
      </w:r>
      <w:r w:rsidR="0008106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дослідження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для підтвердження випадку</w:t>
      </w:r>
      <w:r w:rsidR="00875FE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захворювання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Регулярний особистий або неособистий </w:t>
      </w:r>
      <w:r w:rsidR="002D1F85"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>зв’язок</w:t>
      </w:r>
      <w:r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персоналом випробування також може бути використаний для визначення того, </w:t>
      </w:r>
      <w:r w:rsidR="009F49B0"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чи були </w:t>
      </w:r>
      <w:r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останнім часом клінічні ознаки або симптоми, що </w:t>
      </w:r>
      <w:r w:rsidR="00150449"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>мають потенційне значення</w:t>
      </w:r>
      <w:r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а також для визначення </w:t>
      </w:r>
      <w:r w:rsidR="00E9629B"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>випадків</w:t>
      </w:r>
      <w:r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E9629B"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що </w:t>
      </w:r>
      <w:r w:rsidR="002D1F85"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>залишилися без уваги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Якщо </w:t>
      </w:r>
      <w:r w:rsidR="002D1F85"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>якісь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випадки </w:t>
      </w:r>
      <w:r w:rsidR="00B429D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не </w:t>
      </w:r>
      <w:r w:rsidR="002D1F85"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>були</w:t>
      </w:r>
      <w:r w:rsidR="002D1F8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429D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зареєстровані </w:t>
      </w:r>
      <w:r w:rsidR="00875FE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="00B429D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закладах</w:t>
      </w:r>
      <w:r w:rsidR="00875FE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охорони здоров’я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640C6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визначених для проведення випробування</w:t>
      </w:r>
      <w:r w:rsidR="00E9629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2D1F85"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="00E9629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77BB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були виявлені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 інших місцях, </w:t>
      </w:r>
      <w:r w:rsidR="009C719F" w:rsidRPr="00A81938">
        <w:rPr>
          <w:rStyle w:val="ad"/>
          <w:rFonts w:ascii="Times New Roman" w:hAnsi="Times New Roman" w:cs="Times New Roman"/>
          <w:i w:val="0"/>
          <w:sz w:val="28"/>
          <w:szCs w:val="28"/>
        </w:rPr>
        <w:t>треба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спробувати отримати наявні дані, </w:t>
      </w:r>
      <w:r w:rsidR="008A3A8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які можна було б використати для встановлення відповідності визначення випадку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3F622183" w14:textId="4ACD3719" w:rsidR="008506A5" w:rsidRPr="00B02BAD" w:rsidRDefault="00F54433" w:rsidP="00F54433">
      <w:pPr>
        <w:spacing w:after="0" w:line="360" w:lineRule="auto"/>
        <w:jc w:val="both"/>
        <w:rPr>
          <w:rStyle w:val="ad"/>
          <w:rFonts w:ascii="Times New Roman" w:hAnsi="Times New Roman" w:cs="Times New Roman"/>
          <w:i w:val="0"/>
          <w:sz w:val="28"/>
          <w:szCs w:val="28"/>
          <w:u w:val="single"/>
        </w:rPr>
      </w:pPr>
      <w:bookmarkStart w:id="14" w:name="_bookmark21"/>
      <w:bookmarkEnd w:id="14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ab/>
      </w:r>
      <w:r w:rsidR="00640C6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Якщо первинна кінцева точка не є клінічним проявом інфекції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візити досліджуваних повинні бути досить частими для отримання важливих лабораторних даних. Слід докласти </w:t>
      </w:r>
      <w:r w:rsidR="009C719F" w:rsidRPr="00027E79">
        <w:rPr>
          <w:rStyle w:val="ad"/>
          <w:rFonts w:ascii="Times New Roman" w:hAnsi="Times New Roman" w:cs="Times New Roman"/>
          <w:i w:val="0"/>
          <w:sz w:val="28"/>
          <w:szCs w:val="28"/>
        </w:rPr>
        <w:t>всіх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027E79">
        <w:rPr>
          <w:rStyle w:val="ad"/>
          <w:rFonts w:ascii="Times New Roman" w:hAnsi="Times New Roman" w:cs="Times New Roman"/>
          <w:i w:val="0"/>
          <w:sz w:val="28"/>
          <w:szCs w:val="28"/>
        </w:rPr>
        <w:t>зусиль</w:t>
      </w:r>
      <w:r w:rsidR="009C719F" w:rsidRPr="00027E79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щоб мінімізувати кількість </w:t>
      </w:r>
      <w:r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>в</w:t>
      </w:r>
      <w:r w:rsidR="009C719F"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>трачених</w:t>
      </w:r>
      <w:r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C719F"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для подальшого спостереження </w:t>
      </w:r>
      <w:r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досліджуваних, визначивши у протоколі </w:t>
      </w:r>
      <w:r w:rsidR="0052163E"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>часові вікна для їхніх візитів</w:t>
      </w:r>
      <w:r w:rsidRPr="00EA456C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1C24F630" w14:textId="77777777" w:rsidR="008A3A8B" w:rsidRPr="00B02BAD" w:rsidRDefault="00F54433" w:rsidP="00F54433">
      <w:pPr>
        <w:spacing w:after="0" w:line="360" w:lineRule="auto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color w:val="4472C4" w:themeColor="accent5"/>
          <w:sz w:val="28"/>
          <w:szCs w:val="28"/>
        </w:rPr>
        <w:tab/>
      </w:r>
    </w:p>
    <w:p w14:paraId="51055F3C" w14:textId="77777777" w:rsidR="00896EAB" w:rsidRPr="00B02BAD" w:rsidRDefault="00A15587" w:rsidP="00A15587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4.5. </w:t>
      </w:r>
      <w:r w:rsidR="00896EAB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Тривалість спостереження за ефективністю</w:t>
      </w:r>
    </w:p>
    <w:p w14:paraId="56236BCB" w14:textId="77777777" w:rsidR="005D6C8C" w:rsidRPr="00B02BAD" w:rsidRDefault="005D6C8C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7EB3346" w14:textId="444B0CCA" w:rsidR="00A20A2A" w:rsidRPr="00B02BAD" w:rsidRDefault="00D04AB9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Первинний аналіз ефективності зазвичай проводиться</w:t>
      </w:r>
      <w:r w:rsidRPr="00EB2FD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9D2833" w:rsidRPr="00EB2FD5">
        <w:rPr>
          <w:rStyle w:val="ad"/>
          <w:rFonts w:ascii="Times New Roman" w:hAnsi="Times New Roman" w:cs="Times New Roman"/>
          <w:i w:val="0"/>
          <w:sz w:val="28"/>
          <w:szCs w:val="28"/>
        </w:rPr>
        <w:t>якщо є</w:t>
      </w:r>
      <w:r w:rsidR="00543A79" w:rsidRPr="00EB2FD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заздалегідь</w:t>
      </w:r>
      <w:r w:rsidR="00543A7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43A79" w:rsidRPr="00EB2FD5">
        <w:rPr>
          <w:rStyle w:val="ad"/>
          <w:rFonts w:ascii="Times New Roman" w:hAnsi="Times New Roman" w:cs="Times New Roman"/>
          <w:i w:val="0"/>
          <w:sz w:val="28"/>
          <w:szCs w:val="28"/>
        </w:rPr>
        <w:t>визначен</w:t>
      </w:r>
      <w:r w:rsidR="009D2833" w:rsidRPr="00EB2FD5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="00543A79" w:rsidRPr="00EB2FD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кільк</w:t>
      </w:r>
      <w:r w:rsidR="009D2833" w:rsidRPr="00EB2FD5">
        <w:rPr>
          <w:rStyle w:val="ad"/>
          <w:rFonts w:ascii="Times New Roman" w:hAnsi="Times New Roman" w:cs="Times New Roman"/>
          <w:i w:val="0"/>
          <w:sz w:val="28"/>
          <w:szCs w:val="28"/>
        </w:rPr>
        <w:t>ість</w:t>
      </w:r>
      <w:r w:rsidR="00543A7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випадків захворювання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У </w:t>
      </w:r>
      <w:r w:rsidR="009D2833" w:rsidRPr="00EB2FD5">
        <w:rPr>
          <w:rStyle w:val="ad"/>
          <w:rFonts w:ascii="Times New Roman" w:hAnsi="Times New Roman" w:cs="Times New Roman"/>
          <w:i w:val="0"/>
          <w:sz w:val="28"/>
          <w:szCs w:val="28"/>
        </w:rPr>
        <w:t>разі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коли фонова захворюваність добре задокументована, первинний аналіз може бути проведений, </w:t>
      </w:r>
      <w:r w:rsidR="00543A7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коли прогнозується певна кількість випадків захворювання</w:t>
      </w:r>
      <w:r w:rsidR="005946B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 Див</w:t>
      </w:r>
      <w:r w:rsidR="009D2833" w:rsidRPr="00EB2FD5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  <w:r w:rsidR="009D283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946B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розділ 4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.6.2.</w:t>
      </w:r>
    </w:p>
    <w:p w14:paraId="051AC6D2" w14:textId="5E0384F8" w:rsidR="00896EAB" w:rsidRPr="00B02BAD" w:rsidRDefault="00896EAB" w:rsidP="005D6C8C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Оцінка тривалості захисту після проведення первинного аналізу важлива, коли немає попередньої інформації </w:t>
      </w:r>
      <w:r w:rsidR="008926D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щодо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 проти цільового інфекційного захворювання</w:t>
      </w:r>
      <w:r w:rsidR="00A71F8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71F8B" w:rsidRPr="00314493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="004C24C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не очікується, що така інформація буде доступна на момент затвердження. </w:t>
      </w:r>
      <w:r w:rsidR="005D6C8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Дані про довгостроковий захист можуть бути отримані в результаті </w:t>
      </w:r>
      <w:r w:rsidR="008506A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розширених </w:t>
      </w:r>
      <w:proofErr w:type="spellStart"/>
      <w:r w:rsidR="008506A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дореєстраційних</w:t>
      </w:r>
      <w:proofErr w:type="spellEnd"/>
      <w:r w:rsidR="008506A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клінічних випробувань </w:t>
      </w:r>
      <w:r w:rsidR="005D6C8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та/</w:t>
      </w:r>
      <w:r w:rsidR="005D6C8C" w:rsidRPr="00314493">
        <w:rPr>
          <w:rStyle w:val="ad"/>
          <w:rFonts w:ascii="Times New Roman" w:hAnsi="Times New Roman" w:cs="Times New Roman"/>
          <w:i w:val="0"/>
          <w:sz w:val="28"/>
          <w:szCs w:val="28"/>
        </w:rPr>
        <w:t>або з</w:t>
      </w:r>
      <w:r w:rsidR="005D6C8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різних джерел у </w:t>
      </w:r>
      <w:proofErr w:type="spellStart"/>
      <w:r w:rsidR="008506A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післяреєстраційний</w:t>
      </w:r>
      <w:proofErr w:type="spellEnd"/>
      <w:r w:rsidR="008506A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D6C8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період</w:t>
      </w:r>
      <w:r w:rsidR="008506A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  <w:r w:rsidR="005D6C8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6F4A1737" w14:textId="042A2D54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Наприклад, довгострокова ефективність вакцини та визначення </w:t>
      </w:r>
      <w:r w:rsidR="00D832C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необхідності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 часу введення додаткових доз </w:t>
      </w:r>
      <w:r w:rsidR="007E28C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можуть оцінюватися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шляхом спостереження за </w:t>
      </w:r>
      <w:r w:rsidR="007A79D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суб’єктами</w:t>
      </w:r>
      <w:r w:rsidR="00D832C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випробування після </w:t>
      </w:r>
      <w:r w:rsidR="007E28C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проведення первинного аналізу. Подальше с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постереження за </w:t>
      </w:r>
      <w:r w:rsidR="007A79D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суб’єктами</w:t>
      </w:r>
      <w:r w:rsidR="00D832C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E28C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 рамках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випробування ефективності також може бути важливим для </w:t>
      </w:r>
      <w:r w:rsidR="00DF503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належного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документування тяжкості та ет</w:t>
      </w:r>
      <w:r w:rsidR="00267B0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іології випадків, що виникають </w:t>
      </w:r>
      <w:r w:rsidR="00A71F8B" w:rsidRPr="00314493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="00267B0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A79D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суб’єктів</w:t>
      </w:r>
      <w:r w:rsidR="00D832C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67B0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випробування</w:t>
      </w:r>
      <w:r w:rsidR="00F473A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які отримували або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не отримували вакцину-</w:t>
      </w:r>
      <w:r w:rsidRPr="00314493">
        <w:rPr>
          <w:rStyle w:val="ad"/>
          <w:rFonts w:ascii="Times New Roman" w:hAnsi="Times New Roman" w:cs="Times New Roman"/>
          <w:i w:val="0"/>
          <w:sz w:val="28"/>
          <w:szCs w:val="28"/>
        </w:rPr>
        <w:t>кандидат</w:t>
      </w:r>
      <w:r w:rsidR="00A71F8B" w:rsidRPr="00314493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Pr="00314493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A4F9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Ці дані можуть бути </w:t>
      </w:r>
      <w:r w:rsidR="00FA4F9B" w:rsidRPr="00314493">
        <w:rPr>
          <w:rStyle w:val="ad"/>
          <w:rFonts w:ascii="Times New Roman" w:hAnsi="Times New Roman" w:cs="Times New Roman"/>
          <w:i w:val="0"/>
          <w:sz w:val="28"/>
          <w:szCs w:val="28"/>
        </w:rPr>
        <w:t>використані</w:t>
      </w:r>
      <w:r w:rsidR="00280DB4" w:rsidRPr="0031449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щоб </w:t>
      </w:r>
      <w:r w:rsidR="00FA4F9B" w:rsidRPr="00314493">
        <w:rPr>
          <w:rStyle w:val="ad"/>
          <w:rFonts w:ascii="Times New Roman" w:hAnsi="Times New Roman" w:cs="Times New Roman"/>
          <w:i w:val="0"/>
          <w:sz w:val="28"/>
          <w:szCs w:val="28"/>
        </w:rPr>
        <w:t>оцін</w:t>
      </w:r>
      <w:r w:rsidR="00280DB4" w:rsidRPr="0031449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ити, чи вакцинація </w:t>
      </w:r>
      <w:r w:rsidR="00FA4F9B" w:rsidRPr="00314493">
        <w:rPr>
          <w:rStyle w:val="ad"/>
          <w:rFonts w:ascii="Times New Roman" w:hAnsi="Times New Roman" w:cs="Times New Roman"/>
          <w:i w:val="0"/>
          <w:sz w:val="28"/>
          <w:szCs w:val="28"/>
        </w:rPr>
        <w:t>зниж</w:t>
      </w:r>
      <w:r w:rsidR="00280DB4" w:rsidRPr="00314493">
        <w:rPr>
          <w:rStyle w:val="ad"/>
          <w:rFonts w:ascii="Times New Roman" w:hAnsi="Times New Roman" w:cs="Times New Roman"/>
          <w:i w:val="0"/>
          <w:sz w:val="28"/>
          <w:szCs w:val="28"/>
        </w:rPr>
        <w:t>ує,</w:t>
      </w:r>
      <w:r w:rsidR="00FA4F9B" w:rsidRPr="0031449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80DB4" w:rsidRPr="00314493">
        <w:rPr>
          <w:rStyle w:val="ad"/>
          <w:rFonts w:ascii="Times New Roman" w:hAnsi="Times New Roman" w:cs="Times New Roman"/>
          <w:i w:val="0"/>
          <w:sz w:val="28"/>
          <w:szCs w:val="28"/>
        </w:rPr>
        <w:t>чи</w:t>
      </w:r>
      <w:r w:rsidR="00FA4F9B" w:rsidRPr="0031449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посил</w:t>
      </w:r>
      <w:r w:rsidR="00280DB4" w:rsidRPr="00314493">
        <w:rPr>
          <w:rStyle w:val="ad"/>
          <w:rFonts w:ascii="Times New Roman" w:hAnsi="Times New Roman" w:cs="Times New Roman"/>
          <w:i w:val="0"/>
          <w:sz w:val="28"/>
          <w:szCs w:val="28"/>
        </w:rPr>
        <w:t>ює</w:t>
      </w:r>
      <w:r w:rsidR="00FA4F9B" w:rsidRPr="0031449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тяжк</w:t>
      </w:r>
      <w:r w:rsidR="00280DB4" w:rsidRPr="00314493">
        <w:rPr>
          <w:rStyle w:val="ad"/>
          <w:rFonts w:ascii="Times New Roman" w:hAnsi="Times New Roman" w:cs="Times New Roman"/>
          <w:i w:val="0"/>
          <w:sz w:val="28"/>
          <w:szCs w:val="28"/>
        </w:rPr>
        <w:t>ість</w:t>
      </w:r>
      <w:r w:rsidR="00FA4F9B" w:rsidRPr="0031449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 </w:t>
      </w:r>
      <w:r w:rsidR="00280DB4" w:rsidRPr="00314493">
        <w:rPr>
          <w:rStyle w:val="ad"/>
          <w:rFonts w:ascii="Times New Roman" w:hAnsi="Times New Roman" w:cs="Times New Roman"/>
          <w:i w:val="0"/>
          <w:sz w:val="28"/>
          <w:szCs w:val="28"/>
        </w:rPr>
        <w:t>разі</w:t>
      </w:r>
      <w:r w:rsidR="00A340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340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>розвитку захворювання у вакцинованих</w:t>
      </w:r>
      <w:r w:rsidR="0082565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  <w:r w:rsidR="00FA4F9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Крім того, навіть якщо вакцинація знижує ризик клінічного захворювання, документування етіології будь-яких випадків, що виникають, може </w:t>
      </w:r>
      <w:r w:rsidR="00280DB4" w:rsidRPr="00314493">
        <w:rPr>
          <w:rStyle w:val="ad"/>
          <w:rFonts w:ascii="Times New Roman" w:hAnsi="Times New Roman" w:cs="Times New Roman"/>
          <w:i w:val="0"/>
          <w:sz w:val="28"/>
          <w:szCs w:val="28"/>
        </w:rPr>
        <w:t>виявити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зміну етіології (наприклад, </w:t>
      </w:r>
      <w:r w:rsidR="00A340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випадки розв</w:t>
      </w:r>
      <w:r w:rsidR="0082565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итку захворювання у вакцинованих</w:t>
      </w:r>
      <w:r w:rsidR="00F473A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можуть бути </w:t>
      </w:r>
      <w:r w:rsidR="007A79D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пов’язані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підтипами збудника, не включен</w:t>
      </w:r>
      <w:r w:rsidR="003E7E4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ого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 вакцину).</w:t>
      </w:r>
    </w:p>
    <w:p w14:paraId="08698A47" w14:textId="5A9CF952" w:rsidR="00896EAB" w:rsidRPr="00B02BAD" w:rsidRDefault="00FF0575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Цінність та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доцільність отримання цієї інформації в рамках тривалого </w:t>
      </w:r>
      <w:proofErr w:type="spellStart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рандомізованого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контрольованого </w:t>
      </w:r>
      <w:r w:rsidR="0025638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випробування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80DB4" w:rsidRPr="00314493">
        <w:rPr>
          <w:rStyle w:val="ad"/>
          <w:rFonts w:ascii="Times New Roman" w:hAnsi="Times New Roman" w:cs="Times New Roman"/>
          <w:i w:val="0"/>
          <w:sz w:val="28"/>
          <w:szCs w:val="28"/>
        </w:rPr>
        <w:t>слід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порівняти з альтернативними методами, такими як дослідження ефективності вакцини після її схвалення </w:t>
      </w:r>
      <w:r w:rsidR="00280DB4" w:rsidRPr="00314493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рутинний нагляд за захворюваннями. Крім того, якщо первинний аналіз </w:t>
      </w:r>
      <w:r w:rsidR="002129A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показує, що вакцина-кандидат є дуже ефективною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збереження незахищеної контрольної групи може бути недоцільним. </w:t>
      </w:r>
      <w:r w:rsidR="00280DB4" w:rsidRPr="005E3F42">
        <w:rPr>
          <w:rStyle w:val="ad"/>
          <w:rFonts w:ascii="Times New Roman" w:hAnsi="Times New Roman" w:cs="Times New Roman"/>
          <w:i w:val="0"/>
          <w:sz w:val="28"/>
          <w:szCs w:val="28"/>
        </w:rPr>
        <w:t>Проте</w:t>
      </w:r>
      <w:r w:rsidR="00896EAB" w:rsidRPr="005E3F4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можлив</w:t>
      </w:r>
      <w:r w:rsidR="00280DB4" w:rsidRPr="005E3F42">
        <w:rPr>
          <w:rStyle w:val="ad"/>
          <w:rFonts w:ascii="Times New Roman" w:hAnsi="Times New Roman" w:cs="Times New Roman"/>
          <w:i w:val="0"/>
          <w:sz w:val="28"/>
          <w:szCs w:val="28"/>
        </w:rPr>
        <w:t>е</w:t>
      </w:r>
      <w:r w:rsidR="00280DB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подальше спостереження за вакцинованими </w:t>
      </w:r>
      <w:r w:rsidR="007A79D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суб’єктами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щоб оцінити, чи відбувається зниження ефективності з часом, порівнюючи кількість випадків захворювання, які трапляються щороку.</w:t>
      </w:r>
    </w:p>
    <w:p w14:paraId="53EA6B7B" w14:textId="77777777" w:rsidR="00860439" w:rsidRPr="00B02BAD" w:rsidRDefault="00860439" w:rsidP="000A527A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bookmarkStart w:id="15" w:name="_bookmark22"/>
      <w:bookmarkEnd w:id="15"/>
    </w:p>
    <w:p w14:paraId="632A3588" w14:textId="77777777" w:rsidR="00896EAB" w:rsidRPr="00B02BAD" w:rsidRDefault="00A15587" w:rsidP="000A527A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4.6. </w:t>
      </w:r>
      <w:r w:rsidR="00896EAB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Аналіз ефективності</w:t>
      </w:r>
    </w:p>
    <w:p w14:paraId="6554992A" w14:textId="77777777" w:rsidR="000C1410" w:rsidRPr="00B02BAD" w:rsidRDefault="000C1410" w:rsidP="00A15587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bookmarkStart w:id="16" w:name="_bookmark23"/>
      <w:bookmarkEnd w:id="16"/>
    </w:p>
    <w:p w14:paraId="7984DCA3" w14:textId="77777777" w:rsidR="00896EAB" w:rsidRPr="00B02BAD" w:rsidRDefault="00A15587" w:rsidP="00A15587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4.6.1. </w:t>
      </w:r>
      <w:r w:rsidR="00896EAB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Первинна кінцева точка</w:t>
      </w:r>
    </w:p>
    <w:p w14:paraId="79114722" w14:textId="77777777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6E2CF2D" w14:textId="77777777" w:rsidR="00FF5A1A" w:rsidRPr="00B02BAD" w:rsidRDefault="00FF5A1A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Первинна кінцева точка</w:t>
      </w:r>
      <w:r w:rsidR="0082565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F04B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як правило</w:t>
      </w:r>
      <w:r w:rsidR="0082565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="008F04B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ґрунтується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 всіх випадках інфекційного захворювання, </w:t>
      </w:r>
      <w:r w:rsidR="008F04B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що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відповідають встановленому протоколом визначенню випадку, але іноді може базуватися на лабораторних </w:t>
      </w:r>
      <w:r w:rsidR="008F04B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результатах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без безпосередніх клінічних ознак і симптомів.</w:t>
      </w:r>
    </w:p>
    <w:p w14:paraId="6632B382" w14:textId="45F578E4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Якщо вакцина-кандидат містить антигени, отримані з декількох, але не всіх відомих підтипів збудника, може бути прийнятним, щоб первинна кінцева точка </w:t>
      </w:r>
      <w:r w:rsidR="008375A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ґрунтувалася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 випадках захворювання, </w:t>
      </w:r>
      <w:r w:rsidR="008375A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що спричинені будь-яким підтипом, що входить до складу вакцини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8375A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Цей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підхід вимагає, щоб збудники були класифіковані за підтипами та/або іншим чином охарактеризовані для визначення ступеня відповідності антиген</w:t>
      </w:r>
      <w:r w:rsidR="008375A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ам вакцини. Якщо </w:t>
      </w:r>
      <w:proofErr w:type="spellStart"/>
      <w:r w:rsidR="008375A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клінічні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або попередні клінічні дані вказують на те, що вакцина може забезпечувати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перехресний захист </w:t>
      </w:r>
      <w:r w:rsidR="008D522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від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підтипів збудника, які не включені до складу вакцини, первинною кінцевою точкою можуть бути випадки захворювання, </w:t>
      </w:r>
      <w:r w:rsidR="0082565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обумовле</w:t>
      </w:r>
      <w:r w:rsidR="00825659" w:rsidRPr="00764244">
        <w:rPr>
          <w:rStyle w:val="ad"/>
          <w:rFonts w:ascii="Times New Roman" w:hAnsi="Times New Roman" w:cs="Times New Roman"/>
          <w:i w:val="0"/>
          <w:sz w:val="28"/>
          <w:szCs w:val="28"/>
        </w:rPr>
        <w:t>н</w:t>
      </w:r>
      <w:r w:rsidR="0082565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 </w:t>
      </w:r>
      <w:r w:rsidR="0046661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будь-яким підтипом збудника.</w:t>
      </w:r>
    </w:p>
    <w:p w14:paraId="421D6AFA" w14:textId="77777777" w:rsidR="008F04BF" w:rsidRPr="00B02BAD" w:rsidRDefault="008F04BF" w:rsidP="008F04BF">
      <w:pPr>
        <w:spacing w:after="0" w:line="240" w:lineRule="auto"/>
        <w:jc w:val="both"/>
        <w:rPr>
          <w:rStyle w:val="ad"/>
          <w:rFonts w:ascii="Times New Roman" w:hAnsi="Times New Roman" w:cs="Times New Roman"/>
          <w:i w:val="0"/>
          <w:color w:val="5B9BD5" w:themeColor="accent1"/>
          <w:sz w:val="28"/>
          <w:szCs w:val="28"/>
        </w:rPr>
      </w:pPr>
    </w:p>
    <w:p w14:paraId="7D9DD01C" w14:textId="77777777" w:rsidR="00896EAB" w:rsidRPr="00B02BAD" w:rsidRDefault="00A15587" w:rsidP="00A15587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4.6.2. </w:t>
      </w:r>
      <w:r w:rsidR="00896EAB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Первинний аналіз</w:t>
      </w:r>
    </w:p>
    <w:p w14:paraId="2A45B377" w14:textId="77777777" w:rsidR="0046661F" w:rsidRPr="00B02BAD" w:rsidRDefault="0046661F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4F02A848" w14:textId="77777777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Первинний аналіз може бути проведений, коли:</w:t>
      </w:r>
    </w:p>
    <w:p w14:paraId="33FEBA02" w14:textId="77777777" w:rsidR="00B237FF" w:rsidRPr="00B02BAD" w:rsidRDefault="00D7209A" w:rsidP="00156779">
      <w:pPr>
        <w:pStyle w:val="a5"/>
        <w:numPr>
          <w:ilvl w:val="3"/>
          <w:numId w:val="9"/>
        </w:numPr>
        <w:spacing w:after="0" w:line="360" w:lineRule="auto"/>
        <w:ind w:left="709" w:hanging="709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У останнього включеного у випробування суб’єкта минув певний час після вакцинації або він раніше був виключений з випробування</w:t>
      </w:r>
      <w:r w:rsidR="00AE2EB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Цей підхід може бути використаний, коли фоновий рівень захворюваності добре описаний,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є впевненість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у тому, що кількість випадків, які можуть спостерігатися в контрольній групі протягом визначеного інтервалу після вакцинації, буде визначено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4E32AF20" w14:textId="0BFCEE25" w:rsidR="00B237FF" w:rsidRPr="00B02BAD" w:rsidRDefault="00EB1081" w:rsidP="00156779">
      <w:pPr>
        <w:pStyle w:val="a5"/>
        <w:numPr>
          <w:ilvl w:val="0"/>
          <w:numId w:val="9"/>
        </w:numPr>
        <w:spacing w:after="0" w:line="360" w:lineRule="auto"/>
        <w:ind w:left="709" w:hanging="709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Накопичено необхідну кількість подій (тобто випадків).</w:t>
      </w:r>
      <w:r w:rsidR="00B237F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E2EB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Ц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ей </w:t>
      </w:r>
      <w:r w:rsidR="00B237F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підхід,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орієнтований </w:t>
      </w:r>
      <w:r w:rsidR="00B237F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на вивченн</w:t>
      </w:r>
      <w:r w:rsidR="00AE2EB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я</w:t>
      </w:r>
      <w:r w:rsidR="00B237F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випадків захворювання, може бути найбільш </w:t>
      </w:r>
      <w:r w:rsidR="00AE2EBD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відповідним</w:t>
      </w:r>
      <w:r w:rsidR="00B237FF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коли </w:t>
      </w:r>
      <w:r w:rsidR="00264B66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темп</w:t>
      </w:r>
      <w:r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накопичення випадків менш </w:t>
      </w:r>
      <w:r w:rsidR="00264B66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очевид</w:t>
      </w:r>
      <w:r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ний</w:t>
      </w:r>
      <w:r w:rsidR="00B237F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14:paraId="097534A5" w14:textId="0B7B34AA" w:rsidR="00896EAB" w:rsidRPr="00B02BAD" w:rsidRDefault="00886D5C" w:rsidP="0034350D">
      <w:pPr>
        <w:spacing w:after="0" w:line="360" w:lineRule="auto"/>
        <w:ind w:firstLine="709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Первинний аналіз має бути </w:t>
      </w:r>
      <w:r w:rsidR="00C7466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приведений у відповідність до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цільово</w:t>
      </w:r>
      <w:r w:rsidR="00C7466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ї оцінки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(</w:t>
      </w:r>
      <w:r w:rsidR="00C7466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показник оцінки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), як визначено метою випробування. </w:t>
      </w:r>
      <w:r w:rsidR="00B65ADD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В</w:t>
      </w:r>
      <w:r w:rsidR="00C7466C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изнач</w:t>
      </w:r>
      <w:r w:rsidR="00B65ADD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аючи</w:t>
      </w:r>
      <w:r w:rsidR="00157F24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цілі оцінки, </w:t>
      </w:r>
      <w:r w:rsidR="00B65ADD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слід враховувати, </w:t>
      </w:r>
      <w:r w:rsidR="006E188F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наприклад</w:t>
      </w:r>
      <w:r w:rsidR="00B65ADD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157F24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цільову популяцію, щодо якої будуть зроблені підтверд</w:t>
      </w:r>
      <w:r w:rsidR="00B65ADD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н</w:t>
      </w:r>
      <w:r w:rsidR="00157F24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і висн</w:t>
      </w:r>
      <w:r w:rsidR="00157F2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овки, і дотримання графіка лікування</w:t>
      </w:r>
      <w:r w:rsidR="00DA391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  <w:r w:rsidR="00157F2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E188F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Крім того, з</w:t>
      </w:r>
      <w:r w:rsidR="00896EAB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алежно від конкретної ситуації </w:t>
      </w:r>
      <w:r w:rsidR="006E188F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потрібно враховувати й</w:t>
      </w:r>
      <w:r w:rsidR="00896EAB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інш</w:t>
      </w:r>
      <w:r w:rsidR="00702A47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 </w:t>
      </w:r>
      <w:r w:rsidR="006E188F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обставини</w:t>
      </w:r>
      <w:r w:rsidR="00896EAB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6E188F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зокрема</w:t>
      </w:r>
      <w:r w:rsidR="00896EAB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A4887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смерть</w:t>
      </w:r>
      <w:r w:rsidR="00896EAB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явно </w:t>
      </w:r>
      <w:r w:rsidR="00B237FF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не </w:t>
      </w:r>
      <w:r w:rsidR="002B3FBD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пов’</w:t>
      </w:r>
      <w:r w:rsidR="00EA4887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язану</w:t>
      </w:r>
      <w:r w:rsidR="00896EAB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інфекційним захворюванням, </w:t>
      </w:r>
      <w:r w:rsidR="00EA4887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як</w:t>
      </w:r>
      <w:r w:rsidR="00DA391E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ому</w:t>
      </w:r>
      <w:r w:rsidR="00EA4887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E188F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треба</w:t>
      </w:r>
      <w:r w:rsidR="00EA4887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запобігти</w:t>
      </w:r>
      <w:r w:rsidR="006A01ED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="00DA391E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C1410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що виключа</w:t>
      </w:r>
      <w:r w:rsidR="006A01ED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є</w:t>
      </w:r>
      <w:r w:rsidR="000C1410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можливість</w:t>
      </w:r>
      <w:r w:rsidR="00896EAB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спостереження</w:t>
      </w:r>
      <w:r w:rsidR="0068787D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за змінною, </w:t>
      </w:r>
      <w:r w:rsidR="006A01ED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яка</w:t>
      </w:r>
      <w:r w:rsidR="00896EAB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4CD2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становить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інтерес.</w:t>
      </w:r>
    </w:p>
    <w:p w14:paraId="7071657F" w14:textId="07637A8F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Залежно від інфекційного захворювання, </w:t>
      </w:r>
      <w:r w:rsidR="00FF664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як</w:t>
      </w:r>
      <w:r w:rsidR="004F06B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ому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4CD2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треба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запобігти, </w:t>
      </w:r>
      <w:r w:rsidR="006D4013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і від</w:t>
      </w:r>
      <w:r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так</w:t>
      </w:r>
      <w:r w:rsidR="006D4013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их</w:t>
      </w:r>
      <w:r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ф</w:t>
      </w:r>
      <w:r w:rsidR="00B237FF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актор</w:t>
      </w:r>
      <w:r w:rsidR="006D4013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ів</w:t>
      </w:r>
      <w:r w:rsidR="00B237FF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="00B237F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як очікувана частка </w:t>
      </w:r>
      <w:r w:rsidR="002B3FB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суб’єктів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які вже мають природний захист до вакцинації, можуть бути прийнятними різні пі</w:t>
      </w:r>
      <w:r w:rsidR="00B237F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дходи до побудови оцінки та </w:t>
      </w:r>
      <w:r w:rsidR="002B3FB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пов’язаного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нею первинного аналізу. У кожному випадку спонсор повинен повністю обґрунтувати основну мету випробування, яка визначатиме популяцію </w:t>
      </w:r>
      <w:r w:rsidR="003D1D2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для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первинного аналізу, що становить найбільший інтерес. </w:t>
      </w:r>
      <w:r w:rsidR="006D4013"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Ось деякі рекомендації</w:t>
      </w:r>
      <w:r w:rsidRPr="00AE57CC">
        <w:rPr>
          <w:rStyle w:val="ad"/>
          <w:rFonts w:ascii="Times New Roman" w:hAnsi="Times New Roman" w:cs="Times New Roman"/>
          <w:i w:val="0"/>
          <w:sz w:val="28"/>
          <w:szCs w:val="28"/>
        </w:rPr>
        <w:t>:</w:t>
      </w:r>
    </w:p>
    <w:p w14:paraId="494FA4E2" w14:textId="6A4F4F93" w:rsidR="00981FFE" w:rsidRPr="00B02BAD" w:rsidRDefault="009E2BBD" w:rsidP="00156779">
      <w:pPr>
        <w:pStyle w:val="a5"/>
        <w:numPr>
          <w:ilvl w:val="0"/>
          <w:numId w:val="12"/>
        </w:numPr>
        <w:spacing w:after="0" w:line="360" w:lineRule="auto"/>
        <w:ind w:left="709" w:hanging="709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Якщо </w:t>
      </w:r>
      <w:r w:rsidR="006918F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найбільший </w:t>
      </w:r>
      <w:r w:rsidR="00DE228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інтерес </w:t>
      </w:r>
      <w:r w:rsidR="002D5035" w:rsidRPr="006B1B60">
        <w:rPr>
          <w:rStyle w:val="ad"/>
          <w:rFonts w:ascii="Times New Roman" w:hAnsi="Times New Roman" w:cs="Times New Roman"/>
          <w:i w:val="0"/>
          <w:sz w:val="28"/>
          <w:szCs w:val="28"/>
        </w:rPr>
        <w:t>становить</w:t>
      </w:r>
      <w:r w:rsidR="00DE228D" w:rsidRPr="006B1B6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оцін</w:t>
      </w:r>
      <w:r w:rsidR="002D5035" w:rsidRPr="006B1B60">
        <w:rPr>
          <w:rStyle w:val="ad"/>
          <w:rFonts w:ascii="Times New Roman" w:hAnsi="Times New Roman" w:cs="Times New Roman"/>
          <w:i w:val="0"/>
          <w:sz w:val="28"/>
          <w:szCs w:val="28"/>
        </w:rPr>
        <w:t>ка</w:t>
      </w:r>
      <w:r w:rsidR="00DE228D" w:rsidRPr="006B1B6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6B1B60">
        <w:rPr>
          <w:rStyle w:val="ad"/>
          <w:rFonts w:ascii="Times New Roman" w:hAnsi="Times New Roman" w:cs="Times New Roman"/>
          <w:i w:val="0"/>
          <w:sz w:val="28"/>
          <w:szCs w:val="28"/>
        </w:rPr>
        <w:t>ефективності вакцини при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E228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рутинному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застосуванні, популяція первинного аналізу зазвичай включає всіх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рандомізованих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суб’єктів, </w:t>
      </w:r>
      <w:r w:rsidR="002D5035" w:rsidRPr="006B1B60">
        <w:rPr>
          <w:rStyle w:val="ad"/>
          <w:rFonts w:ascii="Times New Roman" w:hAnsi="Times New Roman" w:cs="Times New Roman"/>
          <w:i w:val="0"/>
          <w:sz w:val="28"/>
          <w:szCs w:val="28"/>
        </w:rPr>
        <w:t>що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отримали принаймні одну дозу призначеного лікування. </w:t>
      </w:r>
      <w:r w:rsidR="0078387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Якщо це не визначена популяція для первинного аналізу</w:t>
      </w:r>
      <w:r w:rsidR="006A01E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="00981FF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8387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слід завжди проводити попередньо спланований вторинний аналіз </w:t>
      </w:r>
      <w:r w:rsidR="00981FF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за участю всіх </w:t>
      </w:r>
      <w:proofErr w:type="spellStart"/>
      <w:r w:rsidR="00981FF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рандомізованих</w:t>
      </w:r>
      <w:proofErr w:type="spellEnd"/>
      <w:r w:rsidR="00981FF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суб’єктів, які отримали хоча б одну дозу призначеного лікування.</w:t>
      </w:r>
    </w:p>
    <w:p w14:paraId="0F7553BD" w14:textId="74ACB945" w:rsidR="002858B1" w:rsidRPr="00B02BAD" w:rsidRDefault="00775053" w:rsidP="00156779">
      <w:pPr>
        <w:pStyle w:val="a5"/>
        <w:numPr>
          <w:ilvl w:val="0"/>
          <w:numId w:val="12"/>
        </w:numPr>
        <w:spacing w:after="0" w:line="360" w:lineRule="auto"/>
        <w:ind w:left="709" w:hanging="709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Якщо </w:t>
      </w:r>
      <w:r w:rsidR="006918F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найбільший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інтерес </w:t>
      </w:r>
      <w:r w:rsidR="002D5035" w:rsidRPr="006B1B60">
        <w:rPr>
          <w:rStyle w:val="ad"/>
          <w:rFonts w:ascii="Times New Roman" w:hAnsi="Times New Roman" w:cs="Times New Roman"/>
          <w:i w:val="0"/>
          <w:sz w:val="28"/>
          <w:szCs w:val="28"/>
        </w:rPr>
        <w:t>становить оцінка</w:t>
      </w:r>
      <w:r w:rsidR="002D503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ефективності вакцини при повному дотриманні графіка вакцинації та за умови відсутності систематичних відмінностей між </w:t>
      </w:r>
      <w:r w:rsidR="0035386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суб’єктами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що пройшли весь графік вакцинації в кожній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рандомізованій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групі, в популяцію первинного аналізу можна включити лише тих </w:t>
      </w:r>
      <w:r w:rsidR="0035386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суб’єктів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які отримали всі призначені дози у заздалегідь встановлені терміни.</w:t>
      </w:r>
      <w:r w:rsidR="002858B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Для деяких вакцин та інфекційних захворювань також може бути прийнятним, щоб популяція первинного аналізу включала лише суб’єктів, які були </w:t>
      </w:r>
      <w:proofErr w:type="spellStart"/>
      <w:r w:rsidR="002858B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серонегативними</w:t>
      </w:r>
      <w:proofErr w:type="spellEnd"/>
      <w:r w:rsidR="002858B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31F2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або не були інфіковані цільовим збудником на вихідному рівні випробування</w:t>
      </w:r>
      <w:r w:rsidR="002858B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231A20C6" w14:textId="012EE5EB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Первинний аналіз ефективності може </w:t>
      </w:r>
      <w:r w:rsidR="0035386F">
        <w:rPr>
          <w:rStyle w:val="ad"/>
          <w:rFonts w:ascii="Times New Roman" w:hAnsi="Times New Roman" w:cs="Times New Roman"/>
          <w:i w:val="0"/>
          <w:sz w:val="28"/>
          <w:szCs w:val="28"/>
        </w:rPr>
        <w:t>ґрунтуватися на всіх випадках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що відповідають </w:t>
      </w:r>
      <w:r w:rsidR="009E339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визначенню первинного </w:t>
      </w:r>
      <w:r w:rsidR="009E3397" w:rsidRPr="006B1B60">
        <w:rPr>
          <w:rStyle w:val="ad"/>
          <w:rFonts w:ascii="Times New Roman" w:hAnsi="Times New Roman" w:cs="Times New Roman"/>
          <w:i w:val="0"/>
          <w:sz w:val="28"/>
          <w:szCs w:val="28"/>
        </w:rPr>
        <w:t>випадку</w:t>
      </w:r>
      <w:r w:rsidR="008A3354" w:rsidRPr="006B1B6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994D63" w:rsidRPr="006B1B6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 моменту </w:t>
      </w:r>
      <w:proofErr w:type="spellStart"/>
      <w:r w:rsidRPr="006B1B60">
        <w:rPr>
          <w:rStyle w:val="ad"/>
          <w:rFonts w:ascii="Times New Roman" w:hAnsi="Times New Roman" w:cs="Times New Roman"/>
          <w:i w:val="0"/>
          <w:sz w:val="28"/>
          <w:szCs w:val="28"/>
        </w:rPr>
        <w:t>рандомізації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або може обмежуватися випадками, що виникають через певну кількість днів після останньої дози вакцини, за умови відсутності сис</w:t>
      </w:r>
      <w:r w:rsidR="006B3D1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тематичних відмінностей між суб’єктами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які відповідають </w:t>
      </w:r>
      <w:r w:rsidRPr="0035386F">
        <w:rPr>
          <w:rStyle w:val="ad"/>
          <w:rFonts w:ascii="Times New Roman" w:hAnsi="Times New Roman" w:cs="Times New Roman"/>
          <w:i w:val="0"/>
          <w:sz w:val="28"/>
          <w:szCs w:val="28"/>
        </w:rPr>
        <w:t>визначе</w:t>
      </w:r>
      <w:r w:rsidR="0035386F" w:rsidRPr="0035386F">
        <w:rPr>
          <w:rStyle w:val="ad"/>
          <w:rFonts w:ascii="Times New Roman" w:hAnsi="Times New Roman" w:cs="Times New Roman"/>
          <w:i w:val="0"/>
          <w:sz w:val="28"/>
          <w:szCs w:val="28"/>
        </w:rPr>
        <w:t>нню</w:t>
      </w:r>
      <w:r w:rsidR="004E0A2C" w:rsidRPr="0035386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5386F">
        <w:rPr>
          <w:rStyle w:val="ad"/>
          <w:rFonts w:ascii="Times New Roman" w:hAnsi="Times New Roman" w:cs="Times New Roman"/>
          <w:i w:val="0"/>
          <w:sz w:val="28"/>
          <w:szCs w:val="28"/>
        </w:rPr>
        <w:t>випадку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у проміжному періоді в кожній групі. </w:t>
      </w:r>
      <w:r w:rsidR="00217D5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Інтервал після введення дози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E0A2C" w:rsidRPr="00EC5372">
        <w:rPr>
          <w:rStyle w:val="ad"/>
          <w:rFonts w:ascii="Times New Roman" w:hAnsi="Times New Roman" w:cs="Times New Roman"/>
          <w:i w:val="0"/>
          <w:sz w:val="28"/>
          <w:szCs w:val="28"/>
        </w:rPr>
        <w:t>до</w:t>
      </w:r>
      <w:r w:rsidRPr="00EC537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підрахунк</w:t>
      </w:r>
      <w:r w:rsidR="004E0A2C" w:rsidRPr="00EC5372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випадків слід визначати на основі </w:t>
      </w:r>
      <w:r w:rsidR="004E0A2C" w:rsidRPr="00EC5372">
        <w:rPr>
          <w:rStyle w:val="ad"/>
          <w:rFonts w:ascii="Times New Roman" w:hAnsi="Times New Roman" w:cs="Times New Roman"/>
          <w:i w:val="0"/>
          <w:sz w:val="28"/>
          <w:szCs w:val="28"/>
        </w:rPr>
        <w:t>даних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про кінетику імунної відповіді. У разі застосування</w:t>
      </w:r>
      <w:r w:rsidR="00217D5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останнього підходу необхідно провести вторинний аналіз усіх випадків, що виник</w:t>
      </w:r>
      <w:r w:rsidR="0078254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ають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моменту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рандомізації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78254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За потреб</w:t>
      </w:r>
      <w:r w:rsidR="0078254C" w:rsidRPr="00EC5372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аналіз повинен також проводитися в популяціях </w:t>
      </w:r>
      <w:r w:rsidR="0078254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для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вторинного аналізу, визначених, наприклад, відповідно до кількості фактично отриманих доз вакцини.</w:t>
      </w:r>
    </w:p>
    <w:p w14:paraId="003B032C" w14:textId="77777777" w:rsidR="00981BC3" w:rsidRPr="00B02BAD" w:rsidRDefault="00981BC3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16F9466" w14:textId="77777777" w:rsidR="00896EAB" w:rsidRPr="00B02BAD" w:rsidRDefault="00A15587" w:rsidP="00A15587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bookmarkStart w:id="17" w:name="_bookmark25"/>
      <w:bookmarkEnd w:id="17"/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4.6.3. </w:t>
      </w:r>
      <w:r w:rsidR="00896EAB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Інші питання інтерпретації ефективності вакцин</w:t>
      </w:r>
    </w:p>
    <w:p w14:paraId="309CC3D4" w14:textId="77777777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9116D65" w14:textId="1E905989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Ефективність вакцини може бути продемонстрована лише в регіонах, де є достатня кількість </w:t>
      </w:r>
      <w:r w:rsidRPr="00EC5372">
        <w:rPr>
          <w:rStyle w:val="ad"/>
          <w:rFonts w:ascii="Times New Roman" w:hAnsi="Times New Roman" w:cs="Times New Roman"/>
          <w:i w:val="0"/>
          <w:sz w:val="28"/>
          <w:szCs w:val="28"/>
        </w:rPr>
        <w:t>захворювань</w:t>
      </w:r>
      <w:r w:rsidR="00A251A8" w:rsidRPr="00EC5372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D70A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щоб можна було провести випробування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 розумні терміни. Таким чином, використання вакцини для профілактики захворювання, яке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рідко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зустрічається в країнах ЄС, буде ґрунтуватися виключно на клінічних даних, отриманих в регіонах з високою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ендемічністю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7C9E5E58" w14:textId="3C7C11A5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Якщо </w:t>
      </w:r>
      <w:r w:rsidR="00EB3F9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базове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клінічне </w:t>
      </w:r>
      <w:r w:rsidR="00EB3F9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випробування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ефективності проводилося в ендемічних регіонах за межами ЄС, де </w:t>
      </w:r>
      <w:r w:rsidR="00BE0BA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спостерігався</w:t>
      </w:r>
      <w:r w:rsidR="00A17D4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значний природний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праймінг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4625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 вакцинації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та/або перехресний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праймінг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після вакцинації проти близькоспоріднених </w:t>
      </w:r>
      <w:r w:rsidR="00636D0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збудників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дані, отримані від </w:t>
      </w:r>
      <w:r w:rsidR="00703FE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суб’єктів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A251A8" w:rsidRPr="00F077CC">
        <w:rPr>
          <w:rStyle w:val="ad"/>
          <w:rFonts w:ascii="Times New Roman" w:hAnsi="Times New Roman" w:cs="Times New Roman"/>
          <w:i w:val="0"/>
          <w:sz w:val="28"/>
          <w:szCs w:val="28"/>
        </w:rPr>
        <w:t>що</w:t>
      </w:r>
      <w:r w:rsidRPr="00F077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були </w:t>
      </w:r>
      <w:r w:rsidR="008809C2" w:rsidRPr="00F077CC">
        <w:rPr>
          <w:rStyle w:val="ad"/>
          <w:rFonts w:ascii="Times New Roman" w:hAnsi="Times New Roman" w:cs="Times New Roman"/>
          <w:i w:val="0"/>
          <w:sz w:val="28"/>
          <w:szCs w:val="28"/>
        </w:rPr>
        <w:t>не</w:t>
      </w:r>
      <w:r w:rsidR="00A251A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809C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інфіковані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809C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відповідним(и) </w:t>
      </w:r>
      <w:r w:rsidR="00C35FA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збудником(</w:t>
      </w:r>
      <w:proofErr w:type="spellStart"/>
      <w:r w:rsidR="00C35FA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ами</w:t>
      </w:r>
      <w:proofErr w:type="spellEnd"/>
      <w:r w:rsidR="00C35FA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)</w:t>
      </w:r>
      <w:r w:rsidR="008809C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 початку дослідження, можуть бути найбільш релевантними для </w:t>
      </w:r>
      <w:r w:rsidR="008809C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жителів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ЄС. У таких випадках спонсори повинні розглянути</w:t>
      </w:r>
      <w:r w:rsidR="00CA7B4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питання про те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чи </w:t>
      </w:r>
      <w:r w:rsidR="00CA7B4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потрібно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підкріплювати оцінку користі для жителів ЄС </w:t>
      </w:r>
      <w:r w:rsidR="00C35FA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шляхом порівняння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імунної відповіді на вакцинацію мі</w:t>
      </w:r>
      <w:r w:rsidR="00CA7B4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ж </w:t>
      </w:r>
      <w:proofErr w:type="spellStart"/>
      <w:r w:rsidR="00CA7B4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серонегативними</w:t>
      </w:r>
      <w:proofErr w:type="spellEnd"/>
      <w:r w:rsidR="00CA7B4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03FE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суб’єктами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які проживають в ендемічному регіоні, </w:t>
      </w:r>
      <w:r w:rsidR="00A251A8" w:rsidRPr="00F077CC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відповідними за віком жителями ЄС.</w:t>
      </w:r>
    </w:p>
    <w:p w14:paraId="62964353" w14:textId="0A548E83" w:rsidR="00896EAB" w:rsidRPr="00B02BAD" w:rsidRDefault="00863BC1" w:rsidP="00547C27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F077CC">
        <w:rPr>
          <w:rStyle w:val="ad"/>
          <w:rFonts w:ascii="Times New Roman" w:hAnsi="Times New Roman" w:cs="Times New Roman"/>
          <w:i w:val="0"/>
          <w:sz w:val="28"/>
          <w:szCs w:val="28"/>
        </w:rPr>
        <w:t>Також</w:t>
      </w:r>
      <w:r w:rsidR="00C35FA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питання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може виникнути, якщо вакцина </w:t>
      </w:r>
      <w:r w:rsidR="00213D0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показала свою ефективність у регіоні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де </w:t>
      </w:r>
      <w:r w:rsidR="00896EAB" w:rsidRPr="00F077CC">
        <w:rPr>
          <w:rStyle w:val="ad"/>
          <w:rFonts w:ascii="Times New Roman" w:hAnsi="Times New Roman" w:cs="Times New Roman"/>
          <w:i w:val="0"/>
          <w:sz w:val="28"/>
          <w:szCs w:val="28"/>
        </w:rPr>
        <w:t>підтипи збудника</w:t>
      </w:r>
      <w:r w:rsidRPr="00F077CC">
        <w:rPr>
          <w:rStyle w:val="ad"/>
          <w:rFonts w:ascii="Times New Roman" w:hAnsi="Times New Roman" w:cs="Times New Roman"/>
          <w:i w:val="0"/>
          <w:sz w:val="28"/>
          <w:szCs w:val="28"/>
        </w:rPr>
        <w:t>, які циркулюють,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суттєво відрізняються від найбільш поширених в ЄС, а наявні дані свідчать про те, що перехресний захист між усіма підтипами </w:t>
      </w:r>
      <w:r w:rsidR="00896EAB" w:rsidRPr="00395CB5">
        <w:rPr>
          <w:rStyle w:val="ad"/>
          <w:rFonts w:ascii="Times New Roman" w:hAnsi="Times New Roman" w:cs="Times New Roman"/>
          <w:i w:val="0"/>
          <w:sz w:val="28"/>
          <w:szCs w:val="28"/>
        </w:rPr>
        <w:t>не</w:t>
      </w:r>
      <w:r w:rsidR="00E85C5C" w:rsidRPr="00395CB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є </w:t>
      </w:r>
      <w:r w:rsidR="00896EAB" w:rsidRPr="00395CB5">
        <w:rPr>
          <w:rStyle w:val="ad"/>
          <w:rFonts w:ascii="Times New Roman" w:hAnsi="Times New Roman" w:cs="Times New Roman"/>
          <w:i w:val="0"/>
          <w:sz w:val="28"/>
          <w:szCs w:val="28"/>
        </w:rPr>
        <w:t>мож</w:t>
      </w:r>
      <w:r w:rsidR="00E85C5C" w:rsidRPr="00395CB5">
        <w:rPr>
          <w:rStyle w:val="ad"/>
          <w:rFonts w:ascii="Times New Roman" w:hAnsi="Times New Roman" w:cs="Times New Roman"/>
          <w:i w:val="0"/>
          <w:sz w:val="28"/>
          <w:szCs w:val="28"/>
        </w:rPr>
        <w:t>ливий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У цьому </w:t>
      </w:r>
      <w:r w:rsidR="00E85C5C" w:rsidRPr="00EA2348">
        <w:rPr>
          <w:rStyle w:val="ad"/>
          <w:rFonts w:ascii="Times New Roman" w:hAnsi="Times New Roman" w:cs="Times New Roman"/>
          <w:i w:val="0"/>
          <w:sz w:val="28"/>
          <w:szCs w:val="28"/>
        </w:rPr>
        <w:t>разі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може бути корисним оцінити ступінь перехресного </w:t>
      </w:r>
      <w:r w:rsidR="00896EAB" w:rsidRPr="0035386F">
        <w:rPr>
          <w:rStyle w:val="ad"/>
          <w:rFonts w:ascii="Times New Roman" w:hAnsi="Times New Roman" w:cs="Times New Roman"/>
          <w:i w:val="0"/>
          <w:sz w:val="28"/>
          <w:szCs w:val="28"/>
        </w:rPr>
        <w:t>захисту</w:t>
      </w:r>
      <w:r w:rsidR="0035386F" w:rsidRPr="0035386F">
        <w:rPr>
          <w:rStyle w:val="ad"/>
          <w:rFonts w:ascii="Times New Roman" w:hAnsi="Times New Roman" w:cs="Times New Roman"/>
          <w:i w:val="0"/>
          <w:sz w:val="28"/>
          <w:szCs w:val="28"/>
        </w:rPr>
        <w:t>, який може виникнути</w:t>
      </w:r>
      <w:r w:rsidR="00896EAB" w:rsidRPr="0035386F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896EAB" w:rsidRPr="0035386F">
        <w:rPr>
          <w:rStyle w:val="ad"/>
          <w:rFonts w:ascii="Times New Roman" w:hAnsi="Times New Roman" w:cs="Times New Roman"/>
          <w:sz w:val="28"/>
          <w:szCs w:val="28"/>
        </w:rPr>
        <w:t>in</w:t>
      </w:r>
      <w:proofErr w:type="spellEnd"/>
      <w:r w:rsidR="00896EAB" w:rsidRPr="0035386F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EAB" w:rsidRPr="0035386F">
        <w:rPr>
          <w:rStyle w:val="ad"/>
          <w:rFonts w:ascii="Times New Roman" w:hAnsi="Times New Roman" w:cs="Times New Roman"/>
          <w:sz w:val="28"/>
          <w:szCs w:val="28"/>
        </w:rPr>
        <w:t>vitro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20C1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для підтвердження очікуваної ефективності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вакцини в різних регіонах. Наприклад, залежно від збудника, функціональні імунні відповіді, викликані вакциною, </w:t>
      </w:r>
      <w:r w:rsidR="00547C2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можна оцінити за величиною та тривалістю, використовуючи ряд </w:t>
      </w:r>
      <w:r w:rsidR="00547C27" w:rsidRPr="00EA234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організмів, </w:t>
      </w:r>
      <w:r w:rsidR="00E85C5C" w:rsidRPr="00EA2348">
        <w:rPr>
          <w:rStyle w:val="ad"/>
          <w:rFonts w:ascii="Times New Roman" w:hAnsi="Times New Roman" w:cs="Times New Roman"/>
          <w:i w:val="0"/>
          <w:sz w:val="28"/>
          <w:szCs w:val="28"/>
        </w:rPr>
        <w:t>що циркулюють</w:t>
      </w:r>
      <w:r w:rsidR="00547C27" w:rsidRPr="00EA234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36154" w:rsidRPr="00EA2348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="00547C27" w:rsidRPr="00EA234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ЄС</w:t>
      </w:r>
      <w:r w:rsidR="00896EAB" w:rsidRPr="00EA2348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39A1B838" w14:textId="77777777" w:rsidR="00547C27" w:rsidRPr="00B02BAD" w:rsidRDefault="00547C27" w:rsidP="00A15587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bookmarkStart w:id="18" w:name="_bookmark26"/>
      <w:bookmarkEnd w:id="18"/>
    </w:p>
    <w:p w14:paraId="0C2519DC" w14:textId="77777777" w:rsidR="00896EAB" w:rsidRPr="00B02BAD" w:rsidRDefault="00A15587" w:rsidP="00A15587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4.7. </w:t>
      </w:r>
      <w:r w:rsidR="00896EAB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Інші підходи до оцінки ефективності вакцин</w:t>
      </w:r>
    </w:p>
    <w:p w14:paraId="065DB46A" w14:textId="77777777" w:rsidR="007B3736" w:rsidRPr="00B02BAD" w:rsidRDefault="007B3736" w:rsidP="003C6F09">
      <w:pPr>
        <w:spacing w:after="0" w:line="360" w:lineRule="auto"/>
        <w:ind w:left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53DEEF6B" w14:textId="53159A8A" w:rsidR="003C6F09" w:rsidRPr="00B02BAD" w:rsidRDefault="00C36154" w:rsidP="003C6F09">
      <w:pPr>
        <w:spacing w:after="0" w:line="360" w:lineRule="auto"/>
        <w:ind w:left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A2348">
        <w:rPr>
          <w:rStyle w:val="ad"/>
          <w:rFonts w:ascii="Times New Roman" w:hAnsi="Times New Roman" w:cs="Times New Roman"/>
          <w:i w:val="0"/>
          <w:sz w:val="28"/>
          <w:szCs w:val="28"/>
        </w:rPr>
        <w:t>При</w:t>
      </w:r>
      <w:r w:rsidR="00896EAB" w:rsidRPr="00EA234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деяких інфекційних захворюван</w:t>
      </w:r>
      <w:r w:rsidRPr="00EA2348">
        <w:rPr>
          <w:rStyle w:val="ad"/>
          <w:rFonts w:ascii="Times New Roman" w:hAnsi="Times New Roman" w:cs="Times New Roman"/>
          <w:i w:val="0"/>
          <w:sz w:val="28"/>
          <w:szCs w:val="28"/>
        </w:rPr>
        <w:t>нях</w:t>
      </w:r>
      <w:r w:rsidR="00896EAB" w:rsidRPr="00EA234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може бути</w:t>
      </w:r>
      <w:r w:rsidR="007B3736" w:rsidRPr="00EA234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відсутн</w:t>
      </w:r>
      <w:r w:rsidR="00A17D49" w:rsidRPr="00EA2348">
        <w:rPr>
          <w:rStyle w:val="ad"/>
          <w:rFonts w:ascii="Times New Roman" w:hAnsi="Times New Roman" w:cs="Times New Roman"/>
          <w:i w:val="0"/>
          <w:sz w:val="28"/>
          <w:szCs w:val="28"/>
        </w:rPr>
        <w:t>я</w:t>
      </w:r>
      <w:r w:rsidR="00896EAB" w:rsidRPr="00EA2348">
        <w:rPr>
          <w:rStyle w:val="ad"/>
          <w:rFonts w:ascii="Times New Roman" w:hAnsi="Times New Roman" w:cs="Times New Roman"/>
          <w:i w:val="0"/>
          <w:sz w:val="28"/>
          <w:szCs w:val="28"/>
        </w:rPr>
        <w:t>: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2A93BC75" w14:textId="1AB76332" w:rsidR="003C6F09" w:rsidRPr="00B02BAD" w:rsidRDefault="00896EAB" w:rsidP="003C6F09">
      <w:pPr>
        <w:pStyle w:val="a5"/>
        <w:numPr>
          <w:ilvl w:val="0"/>
          <w:numId w:val="14"/>
        </w:numPr>
        <w:spacing w:after="0" w:line="360" w:lineRule="auto"/>
        <w:ind w:left="709" w:hanging="709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можливість порівняти імунні відповіді між вакциною-кандидатом і </w:t>
      </w:r>
      <w:r w:rsidR="007B373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зареєстрованою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вакциною, </w:t>
      </w:r>
      <w:r w:rsidR="00C36154" w:rsidRPr="00EA2348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якої є документально підтверджена ефективність</w:t>
      </w:r>
      <w:r w:rsidR="007B373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або результативність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; </w:t>
      </w:r>
    </w:p>
    <w:p w14:paraId="00B18D27" w14:textId="77777777" w:rsidR="003C6F09" w:rsidRPr="00B02BAD" w:rsidRDefault="00896EAB" w:rsidP="003C6F09">
      <w:pPr>
        <w:pStyle w:val="a5"/>
        <w:numPr>
          <w:ilvl w:val="0"/>
          <w:numId w:val="14"/>
        </w:numPr>
        <w:spacing w:after="0" w:line="360" w:lineRule="auto"/>
        <w:ind w:left="709" w:hanging="709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можливість провести випробування ефективності вакцини; </w:t>
      </w:r>
    </w:p>
    <w:p w14:paraId="3680D0EF" w14:textId="4C531666" w:rsidR="003C6F09" w:rsidRPr="00B02BAD" w:rsidRDefault="00EA2348" w:rsidP="003C6F09">
      <w:pPr>
        <w:pStyle w:val="a5"/>
        <w:numPr>
          <w:ilvl w:val="0"/>
          <w:numId w:val="14"/>
        </w:numPr>
        <w:spacing w:after="0" w:line="360" w:lineRule="auto"/>
        <w:ind w:left="709" w:hanging="709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або порогові значення, які можна було б застосувати для інтерпретації імунних відповідей. </w:t>
      </w:r>
    </w:p>
    <w:p w14:paraId="06DC2A69" w14:textId="77777777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У таких ситуаціях можна розглянути інші підходи до оцінки ефективності вакцин.</w:t>
      </w:r>
    </w:p>
    <w:p w14:paraId="4753A4F5" w14:textId="7EBFD246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Наприклад, </w:t>
      </w:r>
      <w:r w:rsidR="0035386F">
        <w:rPr>
          <w:rStyle w:val="ad"/>
          <w:rFonts w:ascii="Times New Roman" w:hAnsi="Times New Roman" w:cs="Times New Roman"/>
          <w:i w:val="0"/>
          <w:sz w:val="28"/>
          <w:szCs w:val="28"/>
        </w:rPr>
        <w:t>можна розглянути можливість проведення випробувань за участю людини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 Такі випробування мож</w:t>
      </w:r>
      <w:r w:rsidR="00C36154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на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проводит</w:t>
      </w:r>
      <w:r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 досить ранні</w:t>
      </w:r>
      <w:r w:rsidR="00A17D4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17D4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стадіях</w:t>
      </w:r>
      <w:r w:rsidR="0014337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клінічної розробки</w:t>
      </w:r>
      <w:r w:rsidR="0014337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для підтвердження концепції та/або для </w:t>
      </w:r>
      <w:r w:rsidR="00C36154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визначення</w:t>
      </w:r>
      <w:r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дози </w:t>
      </w:r>
      <w:r w:rsidR="00C36154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схеми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лікування. У деяких випадках такі випробування можуть бути єдиним можливим варіантом оцінки клінічної ефективності в період, що передує затвердженню. </w:t>
      </w:r>
      <w:r w:rsidR="00BB273E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Однак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існують визнані обмеження випробувань </w:t>
      </w:r>
      <w:r w:rsidR="0035386F">
        <w:rPr>
          <w:rStyle w:val="ad"/>
          <w:rFonts w:ascii="Times New Roman" w:hAnsi="Times New Roman" w:cs="Times New Roman"/>
          <w:i w:val="0"/>
          <w:sz w:val="28"/>
          <w:szCs w:val="28"/>
        </w:rPr>
        <w:t>за участю людини</w:t>
      </w:r>
      <w:r w:rsidR="0014337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для прогнозування захисту від природної інфекції патогенними мікроорганізмами дикого типу.</w:t>
      </w:r>
    </w:p>
    <w:p w14:paraId="6EEC2849" w14:textId="77777777" w:rsidR="00896EAB" w:rsidRPr="00B02BAD" w:rsidRDefault="006B5543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 них належать, зокрема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:</w:t>
      </w:r>
    </w:p>
    <w:p w14:paraId="74D27E30" w14:textId="77777777" w:rsidR="00A15587" w:rsidRPr="00B02BAD" w:rsidRDefault="00A15587" w:rsidP="002F0142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1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</w:t>
      </w:r>
      <w:r w:rsidR="006B554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необхідність використання </w:t>
      </w:r>
      <w:proofErr w:type="spellStart"/>
      <w:r w:rsidR="006B554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атенуйованих</w:t>
      </w:r>
      <w:proofErr w:type="spellEnd"/>
      <w:r w:rsidR="006B554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штамів деяких збудників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;  </w:t>
      </w:r>
    </w:p>
    <w:p w14:paraId="4A3FF970" w14:textId="58468065" w:rsidR="00A15587" w:rsidRPr="00B02BAD" w:rsidRDefault="00A15587" w:rsidP="002F0142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2</w:t>
      </w:r>
      <w:r w:rsidR="002F014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 </w:t>
      </w:r>
      <w:r w:rsidR="00DA36B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невизначена чи невідома значущість контрольних доз порівняно з природними </w:t>
      </w:r>
      <w:proofErr w:type="spellStart"/>
      <w:r w:rsidR="00DA36B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інф</w:t>
      </w:r>
      <w:r w:rsidR="001B2169">
        <w:rPr>
          <w:rStyle w:val="ad"/>
          <w:rFonts w:ascii="Times New Roman" w:hAnsi="Times New Roman" w:cs="Times New Roman"/>
          <w:i w:val="0"/>
          <w:sz w:val="28"/>
          <w:szCs w:val="28"/>
        </w:rPr>
        <w:t>ікуючими</w:t>
      </w:r>
      <w:proofErr w:type="spellEnd"/>
      <w:r w:rsidR="00DA36B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дозами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; </w:t>
      </w:r>
    </w:p>
    <w:p w14:paraId="13511D39" w14:textId="7C7AACB7" w:rsidR="00896EAB" w:rsidRPr="00B02BAD" w:rsidRDefault="00A15587" w:rsidP="002F0142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3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</w:t>
      </w:r>
      <w:proofErr w:type="spellStart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релевантність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дослідж</w:t>
      </w:r>
      <w:r w:rsidR="00DD27B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уваної популяції, яка зазвичай </w:t>
      </w:r>
      <w:r w:rsidR="00BB273E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складається зі</w:t>
      </w:r>
      <w:r w:rsidR="00896EAB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здорови</w:t>
      </w:r>
      <w:r w:rsidR="00BB273E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х</w:t>
      </w:r>
      <w:r w:rsidR="00896EAB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доросли</w:t>
      </w:r>
      <w:r w:rsidR="00BB273E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х</w:t>
      </w:r>
      <w:r w:rsidR="00896EAB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B273E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осіб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віком до 50 років, </w:t>
      </w:r>
      <w:r w:rsidR="00BB273E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стосовно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всієї цільової популяції для</w:t>
      </w:r>
      <w:r w:rsidR="00A17D4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17D49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вакцинації</w:t>
      </w:r>
      <w:r w:rsidR="00BB273E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;</w:t>
      </w:r>
    </w:p>
    <w:p w14:paraId="29DADDE3" w14:textId="77777777" w:rsidR="00A15587" w:rsidRPr="00B02BAD" w:rsidRDefault="00A15587" w:rsidP="00AC5FBF">
      <w:pPr>
        <w:spacing w:after="0" w:line="360" w:lineRule="auto"/>
        <w:ind w:firstLine="709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4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</w:t>
      </w:r>
      <w:r w:rsidR="00AC5FB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раннє втручання із застосуванням антимікробного лікування на основі перших можливих ознак клінічного перебігу захворювання, при цьому ефективність щодо запобігання самому захворюванню не визначається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; </w:t>
      </w:r>
    </w:p>
    <w:p w14:paraId="4C7F208F" w14:textId="338A91F4" w:rsidR="00896EAB" w:rsidRPr="00B02BAD" w:rsidRDefault="00A15587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5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</w:t>
      </w:r>
      <w:r w:rsidR="0063478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залежність від лабораторних даних</w:t>
      </w:r>
      <w:r w:rsidR="00F153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7488F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(</w:t>
      </w:r>
      <w:r w:rsidR="00634789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таких </w:t>
      </w:r>
      <w:r w:rsidR="00896EAB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 різниця у вірусному навантаженні між вакцинованими </w:t>
      </w:r>
      <w:r w:rsidR="0017488F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="00896EAB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не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вакцинованими групами), оскільки </w:t>
      </w:r>
      <w:r w:rsidR="00AC5FB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виникнення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клінічн</w:t>
      </w:r>
      <w:r w:rsidR="00AC5FB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ого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захворювання у досліджуваній популяції</w:t>
      </w:r>
      <w:r w:rsidR="00AC5FB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малоймовірне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4410F8A6" w14:textId="25F3806A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>Іноді єдиним варіантом оцінки ефективності вакцин-кандидатів може бути використання</w:t>
      </w:r>
      <w:r w:rsidR="007E144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відповідних тваринних моделей інфекції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135BD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які можуть включати </w:t>
      </w:r>
      <w:proofErr w:type="spellStart"/>
      <w:r w:rsidR="00135BD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поствакцинальні</w:t>
      </w:r>
      <w:proofErr w:type="spellEnd"/>
      <w:r w:rsidR="00135BD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дослідження та дослідження пасивної імунізації з використанням сироваток або Т-клітин від вакцинованих </w:t>
      </w:r>
      <w:r w:rsidR="004D7263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чи</w:t>
      </w:r>
      <w:r w:rsidR="00135BD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природно інфікованих тварин та/або людини. </w:t>
      </w:r>
      <w:r w:rsidR="00806D0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Вибір моделі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(ей) </w:t>
      </w:r>
      <w:r w:rsidR="00455B6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потребує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ретельного обґрунтування. </w:t>
      </w:r>
      <w:r w:rsidR="00455B6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 умовах відсутності </w:t>
      </w:r>
      <w:r w:rsidR="00327628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</w:t>
      </w:r>
      <w:r w:rsidR="00455B6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екстраполяція ефективності вакцин, що спостерігається </w:t>
      </w:r>
      <w:r w:rsidR="00F153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тварин, на люд</w:t>
      </w:r>
      <w:r w:rsidR="00455B6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ину</w:t>
      </w:r>
      <w:r w:rsidR="004D726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D7263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щонайменше</w:t>
      </w:r>
      <w:r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вимагає </w:t>
      </w:r>
      <w:r w:rsidR="004D7263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вивчення</w:t>
      </w:r>
      <w:r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імунн</w:t>
      </w:r>
      <w:r w:rsidR="00455B66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ого(</w:t>
      </w:r>
      <w:proofErr w:type="spellStart"/>
      <w:r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их</w:t>
      </w:r>
      <w:proofErr w:type="spellEnd"/>
      <w:r w:rsidR="00455B66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)</w:t>
      </w:r>
      <w:r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параметр</w:t>
      </w:r>
      <w:r w:rsidR="004D7263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="00455B66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(</w:t>
      </w:r>
      <w:proofErr w:type="spellStart"/>
      <w:r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</w:t>
      </w:r>
      <w:proofErr w:type="spellEnd"/>
      <w:r w:rsidR="00455B6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)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найбільш важлив</w:t>
      </w:r>
      <w:r w:rsidR="00455B6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ого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55B6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для забезпечення захисту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У цій ситуації все одно будуть потрібні клінічні випробування безпеки та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імуногенності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Інтерпретація даних щодо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імуногенності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55B6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людини повинна врахов</w:t>
      </w:r>
      <w:r w:rsidR="00455B6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увати </w:t>
      </w:r>
      <w:proofErr w:type="spellStart"/>
      <w:r w:rsidR="00455B6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клінічні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результати і обговорюватися в кожному конкретному випадку.</w:t>
      </w:r>
    </w:p>
    <w:p w14:paraId="5A1FC4F4" w14:textId="77777777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Якщо дозвіл ґрунтується на таких даних, на момент затвердження </w:t>
      </w:r>
      <w:r w:rsidR="00F3414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мають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бути розроблені плани оцінки ефективності вакцини та/або її результат</w:t>
      </w:r>
      <w:r w:rsidR="00C04B9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ивності, якщо </w:t>
      </w:r>
      <w:r w:rsidR="00A17D4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виникне така можливість.</w:t>
      </w:r>
    </w:p>
    <w:p w14:paraId="0FD3BDE1" w14:textId="77777777" w:rsidR="00F34142" w:rsidRPr="00B02BAD" w:rsidRDefault="00F34142" w:rsidP="00DA36BE">
      <w:pPr>
        <w:spacing w:after="0" w:line="240" w:lineRule="auto"/>
        <w:jc w:val="both"/>
        <w:rPr>
          <w:rStyle w:val="ad"/>
          <w:rFonts w:ascii="Times New Roman" w:hAnsi="Times New Roman" w:cs="Times New Roman"/>
          <w:i w:val="0"/>
          <w:color w:val="5B9BD5" w:themeColor="accent1"/>
          <w:sz w:val="24"/>
          <w:szCs w:val="24"/>
        </w:rPr>
      </w:pPr>
    </w:p>
    <w:p w14:paraId="4928102B" w14:textId="7098EC17" w:rsidR="00896EAB" w:rsidRPr="00B02BAD" w:rsidRDefault="00A15587" w:rsidP="00A15587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5. </w:t>
      </w:r>
      <w:r w:rsidR="00492390" w:rsidRPr="00327628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ДІЄВІСТЬ</w:t>
      </w:r>
    </w:p>
    <w:p w14:paraId="21011AA3" w14:textId="77777777" w:rsidR="00BB2EE2" w:rsidRPr="00B02BAD" w:rsidRDefault="00BB2EE2" w:rsidP="00BB2EE2">
      <w:pPr>
        <w:spacing w:after="0" w:line="24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4267B0F6" w14:textId="43346C2F" w:rsidR="00896EAB" w:rsidRPr="00B02BAD" w:rsidRDefault="003A62D4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Оцінка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дієвості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відобража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є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прямий (індуко</w:t>
      </w:r>
      <w:r w:rsidR="0049521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ваний вакциною) і непрямий (</w:t>
      </w:r>
      <w:r w:rsidR="00AE71F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пов’язаний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популяцією) захист при рутинному застосуванні.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Дієвість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вакцини може бути оцінена за результатами досліджень, що описують виникнення захворювання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як</w:t>
      </w:r>
      <w:r w:rsidR="00AE71F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ому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E71F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слід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запобігти</w:t>
      </w:r>
      <w:r w:rsidR="00176063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 вакцинованій цільовій популяції</w:t>
      </w:r>
      <w:r w:rsidR="0018692F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часом</w:t>
      </w:r>
      <w:r w:rsidR="00896EAB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Наприклад, це можуть бути </w:t>
      </w:r>
      <w:r w:rsidR="00E30D70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спостережні</w:t>
      </w:r>
      <w:r w:rsidR="00896EAB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896EAB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ког</w:t>
      </w:r>
      <w:r w:rsidR="00495214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ортні</w:t>
      </w:r>
      <w:proofErr w:type="spellEnd"/>
      <w:r w:rsidR="00495214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дослідження, дослідження </w:t>
      </w:r>
      <w:r w:rsidR="00E30D70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типу </w:t>
      </w:r>
      <w:r w:rsidR="00495214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«випадок</w:t>
      </w:r>
      <w:r w:rsidR="00176063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— </w:t>
      </w:r>
      <w:r w:rsidR="00495214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контроль»</w:t>
      </w:r>
      <w:r w:rsidR="00896EAB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або </w:t>
      </w:r>
      <w:r w:rsidR="00495214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«</w:t>
      </w:r>
      <w:r w:rsidR="00896EAB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випадок</w:t>
      </w:r>
      <w:r w:rsidR="00176063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— </w:t>
      </w:r>
      <w:r w:rsidR="00896EAB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когорта</w:t>
      </w:r>
      <w:r w:rsidR="00495214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»</w:t>
      </w:r>
      <w:r w:rsidR="00896EAB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74248A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Крім того</w:t>
      </w:r>
      <w:r w:rsidR="00896EAB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E30D70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дієвість може бути</w:t>
      </w:r>
      <w:r w:rsidR="00896EAB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оцін</w:t>
      </w:r>
      <w:r w:rsidR="00E30D70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ена</w:t>
      </w:r>
      <w:r w:rsidR="00896EAB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 основі даних, зібраних під час поетапного (наприклад, у послідовних вікових групах або групах ризику) введення вакцини </w:t>
      </w:r>
      <w:r w:rsidR="00FA50F8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цільовій популяції</w:t>
      </w:r>
      <w:r w:rsidR="00176063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="00896EAB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A50F8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та</w:t>
      </w:r>
      <w:r w:rsidR="00FA50F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іноді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A50F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 використанням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інших </w:t>
      </w:r>
      <w:proofErr w:type="spellStart"/>
      <w:r w:rsidR="005F4ED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дизайнів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досліджень, мереж епіднагляду за захворюваннями або реєстрів захворювань.</w:t>
      </w:r>
    </w:p>
    <w:p w14:paraId="1EFCADBA" w14:textId="22B9B683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Дослідження ефективності вакцин не завжди </w:t>
      </w:r>
      <w:r w:rsidR="0074248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потрібні</w:t>
      </w:r>
      <w:r w:rsidR="005F4ED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але можуть бути особливо корисними в деяких ситуаціях та/або для </w:t>
      </w:r>
      <w:r w:rsidR="00176063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розв’язання</w:t>
      </w:r>
      <w:r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певних питань, </w:t>
      </w:r>
      <w:r w:rsidR="00176063"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зокрема таких</w:t>
      </w:r>
      <w:r w:rsidRPr="00327628">
        <w:rPr>
          <w:rStyle w:val="ad"/>
          <w:rFonts w:ascii="Times New Roman" w:hAnsi="Times New Roman" w:cs="Times New Roman"/>
          <w:i w:val="0"/>
          <w:sz w:val="28"/>
          <w:szCs w:val="28"/>
        </w:rPr>
        <w:t>:</w:t>
      </w:r>
    </w:p>
    <w:p w14:paraId="5EA182AC" w14:textId="620AE4A8" w:rsidR="00896EAB" w:rsidRPr="008B70ED" w:rsidRDefault="005F4ED9" w:rsidP="004E1A22">
      <w:pPr>
        <w:pStyle w:val="a5"/>
        <w:numPr>
          <w:ilvl w:val="0"/>
          <w:numId w:val="10"/>
        </w:numPr>
        <w:spacing w:after="0" w:line="360" w:lineRule="auto"/>
        <w:ind w:left="589" w:hanging="589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>реєстрація</w:t>
      </w:r>
      <w:r w:rsidR="00F85D4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ґрунтува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лася</w:t>
      </w:r>
      <w:r w:rsidR="00F85D4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="00254B4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доклінічних</w:t>
      </w:r>
      <w:proofErr w:type="spellEnd"/>
      <w:r w:rsidR="00254B4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85D4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даних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ефективності</w:t>
      </w:r>
      <w:r w:rsidR="00254B4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та порівнянні імунних </w:t>
      </w:r>
      <w:r w:rsidR="00254B4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відповідей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4248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 захищених </w:t>
      </w:r>
      <w:r w:rsidR="0074248A" w:rsidRPr="008B70E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тварин </w:t>
      </w:r>
      <w:r w:rsidR="00176063" w:rsidRPr="008B70ED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="0074248A" w:rsidRPr="008B70E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вакцинованих людей </w:t>
      </w:r>
      <w:r w:rsidR="00896EAB" w:rsidRPr="008B70E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та/або на результатах </w:t>
      </w:r>
      <w:r w:rsidR="00896EAB" w:rsidRPr="001B2169">
        <w:rPr>
          <w:rStyle w:val="ad"/>
          <w:rFonts w:ascii="Times New Roman" w:hAnsi="Times New Roman" w:cs="Times New Roman"/>
          <w:i w:val="0"/>
          <w:sz w:val="28"/>
          <w:szCs w:val="28"/>
        </w:rPr>
        <w:t>випробуван</w:t>
      </w:r>
      <w:r w:rsidR="004E1A22" w:rsidRPr="001B2169">
        <w:rPr>
          <w:rStyle w:val="ad"/>
          <w:rFonts w:ascii="Times New Roman" w:hAnsi="Times New Roman" w:cs="Times New Roman"/>
          <w:i w:val="0"/>
          <w:sz w:val="28"/>
          <w:szCs w:val="28"/>
        </w:rPr>
        <w:t>ня</w:t>
      </w:r>
      <w:r w:rsidR="00896EAB" w:rsidRPr="001B216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B2169">
        <w:rPr>
          <w:rStyle w:val="ad"/>
          <w:rFonts w:ascii="Times New Roman" w:hAnsi="Times New Roman" w:cs="Times New Roman"/>
          <w:i w:val="0"/>
          <w:sz w:val="28"/>
          <w:szCs w:val="28"/>
        </w:rPr>
        <w:t>за участю людини</w:t>
      </w:r>
      <w:r w:rsidR="00896EAB" w:rsidRPr="008B70ED">
        <w:rPr>
          <w:rStyle w:val="ad"/>
          <w:rFonts w:ascii="Times New Roman" w:hAnsi="Times New Roman" w:cs="Times New Roman"/>
          <w:i w:val="0"/>
          <w:sz w:val="28"/>
          <w:szCs w:val="28"/>
        </w:rPr>
        <w:t>;</w:t>
      </w:r>
    </w:p>
    <w:p w14:paraId="3EFC03A1" w14:textId="77777777" w:rsidR="008B70ED" w:rsidRPr="008B70ED" w:rsidRDefault="005F4ED9" w:rsidP="00B872F5">
      <w:pPr>
        <w:pStyle w:val="a5"/>
        <w:numPr>
          <w:ilvl w:val="0"/>
          <w:numId w:val="10"/>
        </w:numPr>
        <w:spacing w:after="0" w:line="360" w:lineRule="auto"/>
        <w:ind w:left="589" w:hanging="589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евідомо, як довго триватиме захист після первинної серії та/або після </w:t>
      </w:r>
      <w:r w:rsidR="00EB1E1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ревакцинації</w:t>
      </w:r>
      <w:r w:rsidR="00896EAB" w:rsidRPr="008B70ED">
        <w:rPr>
          <w:rStyle w:val="ad"/>
          <w:rFonts w:ascii="Times New Roman" w:hAnsi="Times New Roman" w:cs="Times New Roman"/>
          <w:i w:val="0"/>
          <w:sz w:val="28"/>
          <w:szCs w:val="28"/>
        </w:rPr>
        <w:t>;</w:t>
      </w:r>
      <w:r w:rsidR="00B872F5" w:rsidRPr="008B70E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3F5C2947" w14:textId="14A89A11" w:rsidR="00896EAB" w:rsidRPr="00B872F5" w:rsidRDefault="005F4ED9" w:rsidP="00B872F5">
      <w:pPr>
        <w:pStyle w:val="a5"/>
        <w:numPr>
          <w:ilvl w:val="0"/>
          <w:numId w:val="10"/>
        </w:numPr>
        <w:spacing w:after="0" w:line="360" w:lineRule="auto"/>
        <w:ind w:left="589" w:hanging="589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8B70ED">
        <w:rPr>
          <w:rStyle w:val="ad"/>
          <w:rFonts w:ascii="Times New Roman" w:hAnsi="Times New Roman" w:cs="Times New Roman"/>
          <w:i w:val="0"/>
          <w:sz w:val="28"/>
          <w:szCs w:val="28"/>
        </w:rPr>
        <w:t>п</w:t>
      </w:r>
      <w:r w:rsidR="00896EAB" w:rsidRPr="00B872F5">
        <w:rPr>
          <w:rStyle w:val="ad"/>
          <w:rFonts w:ascii="Times New Roman" w:hAnsi="Times New Roman" w:cs="Times New Roman"/>
          <w:i w:val="0"/>
          <w:sz w:val="28"/>
          <w:szCs w:val="28"/>
        </w:rPr>
        <w:t>ропонується використовувати</w:t>
      </w:r>
      <w:r w:rsidR="00EB1E17" w:rsidRPr="00B872F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дані,</w:t>
      </w:r>
      <w:r w:rsidR="00896EAB" w:rsidRPr="00B872F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зібрані </w:t>
      </w:r>
      <w:r w:rsidR="00EB1E17" w:rsidRPr="00B872F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для </w:t>
      </w:r>
      <w:r w:rsidR="00EB1E17" w:rsidRPr="00D80073">
        <w:rPr>
          <w:rStyle w:val="ad"/>
          <w:rFonts w:ascii="Times New Roman" w:hAnsi="Times New Roman" w:cs="Times New Roman"/>
          <w:i w:val="0"/>
          <w:sz w:val="28"/>
          <w:szCs w:val="28"/>
        </w:rPr>
        <w:t>роз</w:t>
      </w:r>
      <w:r w:rsidR="00305968" w:rsidRPr="00D80073">
        <w:rPr>
          <w:rStyle w:val="ad"/>
          <w:rFonts w:ascii="Times New Roman" w:hAnsi="Times New Roman" w:cs="Times New Roman"/>
          <w:i w:val="0"/>
          <w:sz w:val="28"/>
          <w:szCs w:val="28"/>
        </w:rPr>
        <w:t>в’язання</w:t>
      </w:r>
      <w:r w:rsidR="00896EAB" w:rsidRPr="00B872F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4248A" w:rsidRPr="00B872F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питання </w:t>
      </w:r>
      <w:r w:rsidR="00896EAB" w:rsidRPr="00B872F5">
        <w:rPr>
          <w:rStyle w:val="ad"/>
          <w:rFonts w:ascii="Times New Roman" w:hAnsi="Times New Roman" w:cs="Times New Roman"/>
          <w:i w:val="0"/>
          <w:sz w:val="28"/>
          <w:szCs w:val="28"/>
        </w:rPr>
        <w:t>довгострокового захисту</w:t>
      </w:r>
      <w:r w:rsidR="00305968" w:rsidRPr="008B70E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щоб сприяти </w:t>
      </w:r>
      <w:r w:rsidR="00896EAB" w:rsidRPr="008B70ED">
        <w:rPr>
          <w:rStyle w:val="ad"/>
          <w:rFonts w:ascii="Times New Roman" w:hAnsi="Times New Roman" w:cs="Times New Roman"/>
          <w:i w:val="0"/>
          <w:sz w:val="28"/>
          <w:szCs w:val="28"/>
        </w:rPr>
        <w:t>ідентифікації</w:t>
      </w:r>
      <w:r w:rsidR="00FA05B2" w:rsidRPr="00B872F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B70ED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</w:t>
      </w:r>
      <w:r w:rsidR="00896EAB" w:rsidRPr="00B872F5">
        <w:rPr>
          <w:rStyle w:val="ad"/>
          <w:rFonts w:ascii="Times New Roman" w:hAnsi="Times New Roman" w:cs="Times New Roman"/>
          <w:i w:val="0"/>
          <w:sz w:val="28"/>
          <w:szCs w:val="28"/>
        </w:rPr>
        <w:t>;</w:t>
      </w:r>
    </w:p>
    <w:p w14:paraId="4DA85525" w14:textId="3F332FF9" w:rsidR="00896EAB" w:rsidRPr="00B02BAD" w:rsidRDefault="00305968" w:rsidP="00156779">
      <w:pPr>
        <w:pStyle w:val="a5"/>
        <w:numPr>
          <w:ilvl w:val="0"/>
          <w:numId w:val="10"/>
        </w:numPr>
        <w:spacing w:after="0" w:line="360" w:lineRule="auto"/>
        <w:ind w:left="589" w:hanging="589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8B70ED">
        <w:rPr>
          <w:rStyle w:val="ad"/>
          <w:rFonts w:ascii="Times New Roman" w:hAnsi="Times New Roman" w:cs="Times New Roman"/>
          <w:i w:val="0"/>
          <w:sz w:val="28"/>
          <w:szCs w:val="28"/>
        </w:rPr>
        <w:t>існують</w:t>
      </w:r>
      <w:r w:rsidR="00F6586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невирішені питання щодо ефективності вакцини проти широкого ряду підтипів </w:t>
      </w:r>
      <w:r w:rsidR="0074248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збудника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;</w:t>
      </w:r>
    </w:p>
    <w:p w14:paraId="4DD749CD" w14:textId="5792C0A2" w:rsidR="00896EAB" w:rsidRPr="00B02BAD" w:rsidRDefault="005F4ED9" w:rsidP="00156779">
      <w:pPr>
        <w:pStyle w:val="a5"/>
        <w:numPr>
          <w:ilvl w:val="0"/>
          <w:numId w:val="10"/>
        </w:numPr>
        <w:spacing w:after="0" w:line="360" w:lineRule="auto"/>
        <w:ind w:left="589" w:hanging="589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="000761A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снують наукові підстави вважати, що оцінка ефективності вакцини, </w:t>
      </w:r>
      <w:r w:rsidR="00305968" w:rsidRPr="008B70ED">
        <w:rPr>
          <w:rStyle w:val="ad"/>
          <w:rFonts w:ascii="Times New Roman" w:hAnsi="Times New Roman" w:cs="Times New Roman"/>
          <w:i w:val="0"/>
          <w:sz w:val="28"/>
          <w:szCs w:val="28"/>
        </w:rPr>
        <w:t>зроблена</w:t>
      </w:r>
      <w:r w:rsidR="000761A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 ході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передреєстраційного</w:t>
      </w:r>
      <w:proofErr w:type="spellEnd"/>
      <w:r w:rsidR="000761A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випробуван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ня</w:t>
      </w:r>
      <w:r w:rsidR="000761A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не </w:t>
      </w:r>
      <w:r w:rsidR="000761A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може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широко застосовуватися</w:t>
      </w:r>
      <w:r w:rsidR="000761A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4248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</w:t>
      </w:r>
      <w:r w:rsidR="000761A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інших популяцій (наприклад, </w:t>
      </w:r>
      <w:r w:rsidR="0074248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до </w:t>
      </w:r>
      <w:r w:rsidR="0030596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суб’єктів</w:t>
      </w:r>
      <w:r w:rsidR="000761A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які проживають у різних ендемічних або неендемічних регіонах</w:t>
      </w:r>
      <w:r w:rsidR="000761A2" w:rsidRPr="00B02BAD">
        <w:rPr>
          <w:rStyle w:val="ad"/>
          <w:rFonts w:ascii="Times New Roman" w:hAnsi="Times New Roman" w:cs="Times New Roman"/>
          <w:i w:val="0"/>
          <w:sz w:val="24"/>
          <w:szCs w:val="24"/>
        </w:rPr>
        <w:t>)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;</w:t>
      </w:r>
    </w:p>
    <w:p w14:paraId="573723C0" w14:textId="2B63978B" w:rsidR="00896EAB" w:rsidRPr="00DF5977" w:rsidRDefault="005F4ED9" w:rsidP="003F760F">
      <w:pPr>
        <w:pStyle w:val="a5"/>
        <w:numPr>
          <w:ilvl w:val="0"/>
          <w:numId w:val="10"/>
        </w:numPr>
        <w:spacing w:after="0" w:line="360" w:lineRule="auto"/>
        <w:ind w:left="567" w:hanging="567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різних країнах або регіонах застосовуються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різні стратегії впровадження вакцин</w:t>
      </w:r>
      <w:r w:rsidR="009A739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що може вплинути на оцінку</w:t>
      </w:r>
      <w:r w:rsidR="009A739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її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A739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дієвості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(наприклад, коли </w:t>
      </w:r>
      <w:r w:rsidR="003F760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запровадження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F760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рутинного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використання</w:t>
      </w:r>
      <w:r w:rsidR="003F760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вакцини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05968" w:rsidRPr="00504BFA">
        <w:rPr>
          <w:rStyle w:val="ad"/>
          <w:rFonts w:ascii="Times New Roman" w:hAnsi="Times New Roman" w:cs="Times New Roman"/>
          <w:i w:val="0"/>
          <w:sz w:val="28"/>
          <w:szCs w:val="28"/>
        </w:rPr>
        <w:t>для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немовлят супроводжується програмою </w:t>
      </w:r>
      <w:r w:rsidR="00F6209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надолужен</w:t>
      </w:r>
      <w:r w:rsidR="004F07A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ня</w:t>
      </w:r>
      <w:r w:rsidR="00F6209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F07A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імунізації</w:t>
      </w:r>
      <w:r w:rsidR="003F760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05968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>для</w:t>
      </w:r>
      <w:r w:rsidR="00896EAB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544FD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старших </w:t>
      </w:r>
      <w:r w:rsidR="004F07A4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суб’єктів та охоплення </w:t>
      </w:r>
      <w:r w:rsidR="008C52AB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>суб’єктів</w:t>
      </w:r>
      <w:r w:rsidR="004F07A4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F557D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більш старшого </w:t>
      </w:r>
      <w:r w:rsidR="00896EAB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>вік</w:t>
      </w:r>
      <w:r w:rsidR="008F557D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="00896EAB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>). У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таких випадках оцінк</w:t>
      </w:r>
      <w:r w:rsidR="00D502C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502C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дієвості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</w:t>
      </w:r>
      <w:r w:rsidR="00D502C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C11179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>зроблена</w:t>
      </w:r>
      <w:r w:rsidR="00896EAB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використанням різних </w:t>
      </w:r>
      <w:proofErr w:type="spellStart"/>
      <w:r w:rsidR="00B872F5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>методик</w:t>
      </w:r>
      <w:proofErr w:type="spellEnd"/>
      <w:r w:rsidR="00896EAB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D502CC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може </w:t>
      </w:r>
      <w:r w:rsidR="00B872F5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>допомогти</w:t>
      </w:r>
      <w:r w:rsidR="00D502CC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виб</w:t>
      </w:r>
      <w:r w:rsidR="00B872F5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>рати основну стратегію</w:t>
      </w:r>
      <w:r w:rsidR="00D502CC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>для досягнення швидкого та ефективного контролю над хворобою;</w:t>
      </w:r>
    </w:p>
    <w:p w14:paraId="79635443" w14:textId="26B97136" w:rsidR="00896EAB" w:rsidRPr="00B02BAD" w:rsidRDefault="008F557D" w:rsidP="00156779">
      <w:pPr>
        <w:pStyle w:val="a5"/>
        <w:numPr>
          <w:ilvl w:val="0"/>
          <w:numId w:val="10"/>
        </w:numPr>
        <w:spacing w:after="0" w:line="360" w:lineRule="auto"/>
        <w:ind w:left="589" w:hanging="589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>є</w:t>
      </w:r>
      <w:r w:rsidR="00896EAB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підстави підозрювати, що широке </w:t>
      </w:r>
      <w:r w:rsidR="0088222E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>використання</w:t>
      </w:r>
      <w:r w:rsidR="00896EAB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вакцини може </w:t>
      </w:r>
      <w:r w:rsidR="00413A03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спричинити зміну </w:t>
      </w:r>
      <w:r w:rsidR="00896EAB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>підтипів збудника</w:t>
      </w:r>
      <w:r w:rsidR="0088222E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захворювання</w:t>
      </w:r>
      <w:r w:rsidR="00413A0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="0088222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порівняно з періодом до вакцинації.</w:t>
      </w:r>
    </w:p>
    <w:p w14:paraId="72A49489" w14:textId="48A9780A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Дослідження </w:t>
      </w:r>
      <w:r w:rsidR="003E7C2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дієвості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</w:t>
      </w:r>
      <w:r w:rsidR="0069110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и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вимагають наявності відповідної інфраструктури для встановлення </w:t>
      </w:r>
      <w:r w:rsidR="00B872F5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підтвердження випадків захворювання відповідно до клінічних та лабораторних критеріїв, </w:t>
      </w:r>
      <w:r w:rsidR="001840B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тому отримання достовірних даних можливе не у всіх країнах </w:t>
      </w:r>
      <w:r w:rsidR="00B872F5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="001840B8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регіонах</w:t>
      </w:r>
      <w:r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602998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Крім того, при деяких інфекційних захворюваннях </w:t>
      </w:r>
      <w:r w:rsidR="003820AE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оцінка </w:t>
      </w:r>
      <w:r w:rsidR="00C91B15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>дієв</w:t>
      </w:r>
      <w:r w:rsidR="003820AE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>ості</w:t>
      </w:r>
      <w:r w:rsidR="00602998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</w:t>
      </w:r>
      <w:r w:rsidR="003820AE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="00602998" w:rsidRPr="00DF5977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можлива</w:t>
      </w:r>
      <w:r w:rsidR="0060299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лише у разі епідемії природного походження чи навмисного викиду збудника за умов біотероризму.</w:t>
      </w:r>
      <w:r w:rsidR="00602998" w:rsidRPr="00B02BAD">
        <w:rPr>
          <w:rStyle w:val="ad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B2169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>До того ж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для проведення досліджен</w:t>
      </w:r>
      <w:r w:rsidR="00C91B1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91B1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дієвості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</w:t>
      </w:r>
      <w:r w:rsidR="00C91B1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ації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необхідно, щоб було прийнято політичне рішення про вакцинацію достатньо великої кількості населення</w:t>
      </w:r>
      <w:r w:rsidR="003820A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3820AE" w:rsidRPr="00254EC0">
        <w:rPr>
          <w:rStyle w:val="ad"/>
          <w:rFonts w:ascii="Times New Roman" w:hAnsi="Times New Roman" w:cs="Times New Roman"/>
          <w:i w:val="0"/>
          <w:sz w:val="28"/>
          <w:szCs w:val="28"/>
        </w:rPr>
        <w:t>щоб</w:t>
      </w:r>
      <w:r w:rsidRPr="00254EC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820AE" w:rsidRPr="00254EC0">
        <w:rPr>
          <w:rStyle w:val="ad"/>
          <w:rFonts w:ascii="Times New Roman" w:hAnsi="Times New Roman" w:cs="Times New Roman"/>
          <w:i w:val="0"/>
          <w:sz w:val="28"/>
          <w:szCs w:val="28"/>
        </w:rPr>
        <w:t>зробити</w:t>
      </w:r>
      <w:r w:rsidRPr="00254EC0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аналіз.</w:t>
      </w:r>
    </w:p>
    <w:p w14:paraId="2EE331E6" w14:textId="33908B89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Якщо вважається, що </w:t>
      </w:r>
      <w:r w:rsidR="003820AE" w:rsidRPr="0068194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 </w:t>
      </w:r>
      <w:r w:rsidRPr="0068194E">
        <w:rPr>
          <w:rStyle w:val="ad"/>
          <w:rFonts w:ascii="Times New Roman" w:hAnsi="Times New Roman" w:cs="Times New Roman"/>
          <w:i w:val="0"/>
          <w:sz w:val="28"/>
          <w:szCs w:val="28"/>
        </w:rPr>
        <w:t>дослідженн</w:t>
      </w:r>
      <w:r w:rsidR="003820AE" w:rsidRPr="0068194E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68194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ефективності вакцини</w:t>
      </w:r>
      <w:r w:rsidR="003820AE" w:rsidRPr="0068194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може бути отримана цінна інформація</w:t>
      </w:r>
      <w:r w:rsidRPr="0068194E">
        <w:rPr>
          <w:rStyle w:val="ad"/>
          <w:rFonts w:ascii="Times New Roman" w:hAnsi="Times New Roman" w:cs="Times New Roman"/>
          <w:i w:val="0"/>
          <w:sz w:val="28"/>
          <w:szCs w:val="28"/>
        </w:rPr>
        <w:t>, ва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жливо, щоб були розроблені плани, які дозволять </w:t>
      </w:r>
      <w:r w:rsidR="006F2E5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ініціювати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його, коли </w:t>
      </w:r>
      <w:r w:rsidR="006F2E5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з’явиться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відповідна можливість у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післяреєстраційн</w:t>
      </w:r>
      <w:r w:rsidR="006F2E5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ий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період.</w:t>
      </w:r>
    </w:p>
    <w:p w14:paraId="5CFE0E35" w14:textId="0418F18F" w:rsidR="00896EAB" w:rsidRPr="00B02BAD" w:rsidRDefault="00896EAB" w:rsidP="00AF176E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Роль власника </w:t>
      </w:r>
      <w:r w:rsidR="008F557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реєстраційного посвідчення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 розробці досліджень </w:t>
      </w:r>
      <w:r w:rsidR="00A265E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дієвості</w:t>
      </w:r>
      <w:r w:rsidR="00D54B5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вакцин, визначенні </w:t>
      </w:r>
      <w:r w:rsidR="008C694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об’єкту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та популяції для аналізу, </w:t>
      </w:r>
      <w:r w:rsidR="008C694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складанні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протоколів, </w:t>
      </w:r>
      <w:r w:rsidR="008C694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зборі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та аналізі даних потребує</w:t>
      </w:r>
      <w:r w:rsidR="008C694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розгляду в кожному конкретному </w:t>
      </w:r>
      <w:r w:rsidRPr="0068194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випадку. </w:t>
      </w:r>
      <w:r w:rsidR="005D6F8D" w:rsidRPr="0068194E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="005D6F8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більшості випадків</w:t>
      </w:r>
      <w:r w:rsidR="003E7EE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D6F8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дослідження, яке </w:t>
      </w:r>
      <w:r w:rsidR="003D2E1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фінансується</w:t>
      </w:r>
      <w:r w:rsidR="005D6F8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власником ліцензії, не є доцільним, </w:t>
      </w:r>
      <w:r w:rsidR="003E7EE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якщо тільки </w:t>
      </w:r>
      <w:r w:rsidR="005D6F8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рівень захворювано</w:t>
      </w:r>
      <w:r w:rsidR="003E7EE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ст</w:t>
      </w:r>
      <w:r w:rsidR="005D6F8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="003E7EE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 інфекційне захворювання не дуже висок</w:t>
      </w:r>
      <w:r w:rsidR="005D6F8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ий</w:t>
      </w:r>
      <w:r w:rsidR="003E7EE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 деяких регіонах, що дозволяє провести відносно </w:t>
      </w:r>
      <w:r w:rsidR="003D2E1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невелике та коротке дослідження</w:t>
      </w:r>
      <w:r w:rsidR="003E7EE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  <w:r w:rsidR="00AF176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Єдиним можливим способом оцінити </w:t>
      </w:r>
      <w:r w:rsidR="00A265E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дієвість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вакцини часто є дослідження, </w:t>
      </w:r>
      <w:r w:rsidR="0038285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що запроваджують органи охорони </w:t>
      </w:r>
      <w:r w:rsidR="008F557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здоров’я</w:t>
      </w:r>
      <w:r w:rsidR="0038285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820AE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>на</w:t>
      </w:r>
      <w:r w:rsidR="0038285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початку масштабних програм вакцинації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3820AE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>Проте</w:t>
      </w:r>
      <w:r w:rsidR="00434393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власники </w:t>
      </w:r>
      <w:r w:rsidR="008F557D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реєстраційного посвідчення </w:t>
      </w:r>
      <w:r w:rsidR="003820AE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>зобов’язані</w:t>
      </w:r>
      <w:r w:rsidR="00434393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нада</w:t>
      </w:r>
      <w:r w:rsidR="003820AE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>вати</w:t>
      </w:r>
      <w:r w:rsidR="00434393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компетентни</w:t>
      </w:r>
      <w:r w:rsidR="0043439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 органам ЄС </w:t>
      </w:r>
      <w:r w:rsidR="00434393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>відповідн</w:t>
      </w:r>
      <w:r w:rsidR="003820AE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="00434393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дан</w:t>
      </w:r>
      <w:r w:rsidR="003820AE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="00434393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>, отриман</w:t>
      </w:r>
      <w:r w:rsidR="003820AE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="00434393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ними та/або опублікован</w:t>
      </w:r>
      <w:r w:rsidR="003820AE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="00434393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 </w:t>
      </w:r>
      <w:r w:rsidR="0086112A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науковій </w:t>
      </w:r>
      <w:r w:rsidR="00434393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>літе</w:t>
      </w:r>
      <w:r w:rsidR="0043439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ратурі за результатами не </w:t>
      </w:r>
      <w:proofErr w:type="spellStart"/>
      <w:r w:rsidR="0043439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спонсорованих</w:t>
      </w:r>
      <w:proofErr w:type="spellEnd"/>
      <w:r w:rsidR="0043439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досліджен</w:t>
      </w:r>
      <w:r w:rsidR="008F557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ь.</w:t>
      </w:r>
      <w:r w:rsidR="0043439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Слід розглянути </w:t>
      </w:r>
      <w:r w:rsidR="0043439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питання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оновлення </w:t>
      </w:r>
      <w:r w:rsidR="00140FF4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SmPC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якщо </w:t>
      </w:r>
      <w:r w:rsidR="0043439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отримані </w:t>
      </w:r>
      <w:r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результати </w:t>
      </w:r>
      <w:r w:rsidR="0086112A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>безпосередньо стосуються</w:t>
      </w:r>
      <w:r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наданих рекомендацій (наприклад, </w:t>
      </w:r>
      <w:r w:rsidR="00F045D1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щодо потреби у </w:t>
      </w:r>
      <w:r w:rsidR="00CA445F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>щеплен</w:t>
      </w:r>
      <w:r w:rsidR="0086112A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>н</w:t>
      </w:r>
      <w:r w:rsidR="00CA445F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 </w:t>
      </w:r>
      <w:r w:rsidR="00F045D1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>додаткови</w:t>
      </w:r>
      <w:r w:rsidR="00CA445F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>ми</w:t>
      </w:r>
      <w:r w:rsidR="00F045D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доза</w:t>
      </w:r>
      <w:r w:rsidR="00CA445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ми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для підтримання захисту).</w:t>
      </w:r>
    </w:p>
    <w:p w14:paraId="1973F64D" w14:textId="7A86556A" w:rsidR="003314ED" w:rsidRDefault="003314ED" w:rsidP="003314ED">
      <w:pPr>
        <w:spacing w:after="0" w:line="240" w:lineRule="auto"/>
        <w:jc w:val="both"/>
        <w:rPr>
          <w:rStyle w:val="ad"/>
          <w:rFonts w:ascii="Times New Roman" w:hAnsi="Times New Roman" w:cs="Times New Roman"/>
          <w:i w:val="0"/>
          <w:color w:val="70AD47" w:themeColor="accent6"/>
          <w:sz w:val="24"/>
          <w:szCs w:val="24"/>
        </w:rPr>
      </w:pPr>
    </w:p>
    <w:p w14:paraId="0E87C895" w14:textId="77777777" w:rsidR="0086112A" w:rsidRPr="00B02BAD" w:rsidRDefault="0086112A" w:rsidP="003314ED">
      <w:pPr>
        <w:spacing w:after="0" w:line="240" w:lineRule="auto"/>
        <w:jc w:val="both"/>
        <w:rPr>
          <w:rStyle w:val="ad"/>
          <w:rFonts w:ascii="Times New Roman" w:hAnsi="Times New Roman" w:cs="Times New Roman"/>
          <w:i w:val="0"/>
          <w:color w:val="70AD47" w:themeColor="accent6"/>
          <w:sz w:val="24"/>
          <w:szCs w:val="24"/>
        </w:rPr>
      </w:pPr>
    </w:p>
    <w:p w14:paraId="10BCA2CB" w14:textId="3E87CB12" w:rsidR="00896EAB" w:rsidRPr="00B02BAD" w:rsidRDefault="00A15587" w:rsidP="00A15587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6. </w:t>
      </w:r>
      <w:r w:rsidR="0086112A" w:rsidRPr="00140FF4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БЕЗПЕКА</w:t>
      </w:r>
    </w:p>
    <w:p w14:paraId="2FBE0FC7" w14:textId="77777777" w:rsidR="003E7EE0" w:rsidRPr="00B02BAD" w:rsidRDefault="003E7EE0" w:rsidP="00302CFF">
      <w:pPr>
        <w:spacing w:after="0" w:line="24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bookmarkStart w:id="19" w:name="_bookmark29"/>
      <w:bookmarkEnd w:id="19"/>
    </w:p>
    <w:p w14:paraId="29700A74" w14:textId="2A5BE2A7" w:rsidR="00896EAB" w:rsidRPr="00B02BAD" w:rsidRDefault="00A463BB" w:rsidP="00A463BB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6.1. </w:t>
      </w:r>
      <w:r w:rsidR="00896EAB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Оцінка безпеки в клінічних </w:t>
      </w:r>
      <w:r w:rsidR="00E83093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випробуваннях</w:t>
      </w:r>
    </w:p>
    <w:p w14:paraId="4A4DD0B8" w14:textId="77777777" w:rsidR="00A463BB" w:rsidRPr="00B02BAD" w:rsidRDefault="00A463B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64CEEBF" w14:textId="3E572B8F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Основні </w:t>
      </w:r>
      <w:r w:rsidR="00306331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>рекомендації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щодо оцінки безпеки у випробуваннях вакцин такі ж, як і для інших типів лікарських засобів. Слід дотримуватися </w:t>
      </w:r>
      <w:r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>всіх відповідних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керівних принципів CHMP. Нижче наведено деякі додаткові </w:t>
      </w:r>
      <w:r w:rsidR="00306331" w:rsidRPr="00140FF4">
        <w:rPr>
          <w:rStyle w:val="ad"/>
          <w:rFonts w:ascii="Times New Roman" w:hAnsi="Times New Roman" w:cs="Times New Roman"/>
          <w:i w:val="0"/>
          <w:sz w:val="28"/>
          <w:szCs w:val="28"/>
        </w:rPr>
        <w:t>рекомендації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щодо оцінки безпеки вакцин у клінічних випробуваннях.</w:t>
      </w:r>
    </w:p>
    <w:p w14:paraId="706FEF4C" w14:textId="0E8953FC" w:rsidR="008805B2" w:rsidRPr="00B02BAD" w:rsidRDefault="00896EAB" w:rsidP="008805B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Оскільки більшість побічних реакцій на вакцини виникають протягом перших </w:t>
      </w:r>
      <w:r w:rsidR="008F557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де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кількох днів після введення дози, загальноприйнятою практикою є збір інформації про </w:t>
      </w:r>
      <w:r w:rsidR="00306331" w:rsidRPr="00EC3589">
        <w:rPr>
          <w:rStyle w:val="ad"/>
          <w:rFonts w:ascii="Times New Roman" w:hAnsi="Times New Roman" w:cs="Times New Roman"/>
          <w:i w:val="0"/>
          <w:sz w:val="28"/>
          <w:szCs w:val="28"/>
        </w:rPr>
        <w:t>місцеві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та системні симптоми протягом приблизно 5</w:t>
      </w:r>
      <w:r w:rsidR="00306331" w:rsidRPr="00EC3589">
        <w:rPr>
          <w:rStyle w:val="ad"/>
          <w:rFonts w:ascii="Times New Roman" w:hAnsi="Times New Roman" w:cs="Times New Roman"/>
          <w:i w:val="0"/>
          <w:sz w:val="28"/>
          <w:szCs w:val="28"/>
        </w:rPr>
        <w:t>–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7 днів після введення кожної дози. Для живих вакцин, здатних до реплікації, може </w:t>
      </w:r>
      <w:r w:rsidR="00306331" w:rsidRPr="00EC3589">
        <w:rPr>
          <w:rStyle w:val="ad"/>
          <w:rFonts w:ascii="Times New Roman" w:hAnsi="Times New Roman" w:cs="Times New Roman"/>
          <w:i w:val="0"/>
          <w:sz w:val="28"/>
          <w:szCs w:val="28"/>
        </w:rPr>
        <w:t>бути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більш тривалий період </w:t>
      </w:r>
      <w:r w:rsidR="00490EF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збору </w:t>
      </w:r>
      <w:r w:rsidR="00306331" w:rsidRPr="0077625E">
        <w:rPr>
          <w:rStyle w:val="ad"/>
          <w:rFonts w:ascii="Times New Roman" w:hAnsi="Times New Roman" w:cs="Times New Roman"/>
          <w:i w:val="0"/>
          <w:sz w:val="28"/>
          <w:szCs w:val="28"/>
        </w:rPr>
        <w:t>інформації про виникнення</w:t>
      </w:r>
      <w:r w:rsidR="0030633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90EF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симптом</w:t>
      </w:r>
      <w:r w:rsidR="00306331">
        <w:rPr>
          <w:rStyle w:val="ad"/>
          <w:rFonts w:ascii="Times New Roman" w:hAnsi="Times New Roman" w:cs="Times New Roman"/>
          <w:i w:val="0"/>
          <w:sz w:val="28"/>
          <w:szCs w:val="28"/>
        </w:rPr>
        <w:t>ів</w:t>
      </w:r>
      <w:r w:rsidR="00490EF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після введення </w:t>
      </w:r>
      <w:r w:rsidR="00F462E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дози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(наприклад, 10</w:t>
      </w:r>
      <w:r w:rsidR="00306331" w:rsidRPr="0077625E">
        <w:rPr>
          <w:rStyle w:val="ad"/>
          <w:rFonts w:ascii="Times New Roman" w:hAnsi="Times New Roman" w:cs="Times New Roman"/>
          <w:i w:val="0"/>
          <w:sz w:val="28"/>
          <w:szCs w:val="28"/>
        </w:rPr>
        <w:t>–</w:t>
      </w:r>
      <w:r w:rsidRPr="0077625E">
        <w:rPr>
          <w:rStyle w:val="ad"/>
          <w:rFonts w:ascii="Times New Roman" w:hAnsi="Times New Roman" w:cs="Times New Roman"/>
          <w:i w:val="0"/>
          <w:sz w:val="28"/>
          <w:szCs w:val="28"/>
        </w:rPr>
        <w:t>1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4 днів або іноді більше), залежно від того, що відомо про тривалість </w:t>
      </w:r>
      <w:r w:rsidR="008F557D" w:rsidRPr="0077625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вивільнення </w:t>
      </w:r>
      <w:r w:rsidR="0077625E">
        <w:rPr>
          <w:rStyle w:val="ad"/>
          <w:rFonts w:ascii="Times New Roman" w:hAnsi="Times New Roman" w:cs="Times New Roman"/>
          <w:i w:val="0"/>
          <w:sz w:val="28"/>
          <w:szCs w:val="28"/>
        </w:rPr>
        <w:t>(</w:t>
      </w:r>
      <w:r w:rsidR="0077625E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shedding</w:t>
      </w:r>
      <w:r w:rsidR="0077625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</w:t>
      </w:r>
      <w:r w:rsidR="008F557D" w:rsidRPr="0077625E">
        <w:rPr>
          <w:rStyle w:val="ad"/>
          <w:rFonts w:ascii="Times New Roman" w:hAnsi="Times New Roman" w:cs="Times New Roman"/>
          <w:i w:val="0"/>
          <w:sz w:val="28"/>
          <w:szCs w:val="28"/>
        </w:rPr>
        <w:t>з</w:t>
      </w:r>
      <w:r w:rsidR="008F557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будника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(</w:t>
      </w:r>
      <w:proofErr w:type="spellStart"/>
      <w:r w:rsidR="008F557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ів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). </w:t>
      </w:r>
      <w:r w:rsidR="00306331" w:rsidRPr="0077625E">
        <w:rPr>
          <w:rFonts w:ascii="Times New Roman" w:hAnsi="Times New Roman" w:cs="Times New Roman"/>
          <w:sz w:val="28"/>
          <w:szCs w:val="28"/>
        </w:rPr>
        <w:t>Упродовж</w:t>
      </w:r>
      <w:r w:rsidR="008805B2" w:rsidRPr="00B02BAD">
        <w:rPr>
          <w:rFonts w:ascii="Times New Roman" w:hAnsi="Times New Roman" w:cs="Times New Roman"/>
          <w:sz w:val="28"/>
          <w:szCs w:val="28"/>
        </w:rPr>
        <w:t xml:space="preserve"> вивільнення також </w:t>
      </w:r>
      <w:r w:rsidR="008805B2" w:rsidRPr="0077625E">
        <w:rPr>
          <w:rFonts w:ascii="Times New Roman" w:hAnsi="Times New Roman" w:cs="Times New Roman"/>
          <w:sz w:val="28"/>
          <w:szCs w:val="28"/>
        </w:rPr>
        <w:t>існу</w:t>
      </w:r>
      <w:r w:rsidR="003F1392" w:rsidRPr="0077625E">
        <w:rPr>
          <w:rFonts w:ascii="Times New Roman" w:hAnsi="Times New Roman" w:cs="Times New Roman"/>
          <w:sz w:val="28"/>
          <w:szCs w:val="28"/>
        </w:rPr>
        <w:t>є</w:t>
      </w:r>
      <w:r w:rsidR="008805B2" w:rsidRPr="00B02BAD">
        <w:rPr>
          <w:rFonts w:ascii="Times New Roman" w:hAnsi="Times New Roman" w:cs="Times New Roman"/>
          <w:sz w:val="28"/>
          <w:szCs w:val="28"/>
        </w:rPr>
        <w:t xml:space="preserve"> потенційний ризик для тих, хто контактує з вакцинованою людиною.</w:t>
      </w:r>
    </w:p>
    <w:p w14:paraId="113C359E" w14:textId="1E387FF2" w:rsidR="00896EAB" w:rsidRPr="00B02BAD" w:rsidRDefault="00896EAB" w:rsidP="008805B2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Перелік </w:t>
      </w:r>
      <w:r w:rsidR="008F0BF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очікуваних симптомів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може </w:t>
      </w:r>
      <w:r w:rsidR="003F1392" w:rsidRPr="00C3409D">
        <w:rPr>
          <w:rStyle w:val="ad"/>
          <w:rFonts w:ascii="Times New Roman" w:hAnsi="Times New Roman" w:cs="Times New Roman"/>
          <w:i w:val="0"/>
          <w:sz w:val="28"/>
          <w:szCs w:val="28"/>
        </w:rPr>
        <w:t>відрізнятися</w:t>
      </w:r>
      <w:r w:rsidRPr="00C3409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залежно від віку (наприклад, </w:t>
      </w:r>
      <w:r w:rsidR="003F1392" w:rsidRPr="00C3409D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="008F0BF8" w:rsidRPr="00C3409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немовлят, діт</w:t>
      </w:r>
      <w:r w:rsidR="003F1392" w:rsidRPr="00C3409D">
        <w:rPr>
          <w:rStyle w:val="ad"/>
          <w:rFonts w:ascii="Times New Roman" w:hAnsi="Times New Roman" w:cs="Times New Roman"/>
          <w:i w:val="0"/>
          <w:sz w:val="28"/>
          <w:szCs w:val="28"/>
        </w:rPr>
        <w:t>ей</w:t>
      </w:r>
      <w:r w:rsidR="008F0BF8" w:rsidRPr="00C3409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ясельного віку </w:t>
      </w:r>
      <w:r w:rsidR="003F1392" w:rsidRPr="00C3409D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="008F0BF8" w:rsidRPr="00C3409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діт</w:t>
      </w:r>
      <w:r w:rsidR="00173CC5" w:rsidRPr="00C3409D">
        <w:rPr>
          <w:rStyle w:val="ad"/>
          <w:rFonts w:ascii="Times New Roman" w:hAnsi="Times New Roman" w:cs="Times New Roman"/>
          <w:i w:val="0"/>
          <w:sz w:val="28"/>
          <w:szCs w:val="28"/>
        </w:rPr>
        <w:t>ей</w:t>
      </w:r>
      <w:r w:rsidR="008F0BF8" w:rsidRPr="00C3409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старшого віку або доросли</w:t>
      </w:r>
      <w:r w:rsidR="003C6DD8" w:rsidRPr="00C3409D">
        <w:rPr>
          <w:rStyle w:val="ad"/>
          <w:rFonts w:ascii="Times New Roman" w:hAnsi="Times New Roman" w:cs="Times New Roman"/>
          <w:i w:val="0"/>
          <w:sz w:val="28"/>
          <w:szCs w:val="28"/>
        </w:rPr>
        <w:t>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). Відповідні системи</w:t>
      </w:r>
      <w:r w:rsidR="00416AC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класифікації для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оцінки тяжкості </w:t>
      </w:r>
      <w:r w:rsidR="008F0BF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мають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бути заздалегідь визначені в протоколах.</w:t>
      </w:r>
    </w:p>
    <w:p w14:paraId="4DE19D61" w14:textId="4170C853" w:rsidR="00453F96" w:rsidRPr="00B02BAD" w:rsidRDefault="00453F96" w:rsidP="00453F96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Детальні відомості про всі інші (тобто </w:t>
      </w:r>
      <w:r w:rsidR="00416AC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небажані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побічні явища після прийому дози слід отримувати під час візитів в межах дослідження та/або за допомогою дистанційного контакту. </w:t>
      </w:r>
      <w:r w:rsidR="004A3A49" w:rsidRPr="00C3409D">
        <w:rPr>
          <w:rStyle w:val="ad"/>
          <w:rFonts w:ascii="Times New Roman" w:hAnsi="Times New Roman" w:cs="Times New Roman"/>
          <w:i w:val="0"/>
          <w:sz w:val="28"/>
          <w:szCs w:val="28"/>
        </w:rPr>
        <w:t>У ході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довгострокового спостереження може бути прийнятним фіксувати лише серйозні побічні явища та побічні явища, що викликають особливий інтерес.</w:t>
      </w:r>
    </w:p>
    <w:p w14:paraId="635F67CE" w14:textId="2D32E1ED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Тривалість спостереження за безпекою після введення останньої дози </w:t>
      </w:r>
      <w:r w:rsidR="00F7359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слід обґрунтувати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 основі конструкції вакцини-кандидата, включення нового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ад</w:t>
      </w:r>
      <w:r w:rsidR="00453F9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ʼ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ювант</w:t>
      </w:r>
      <w:r w:rsidR="004A3A49" w:rsidRPr="00C3409D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та попередніх даних, що стосуються будь-якого з компонентів</w:t>
      </w:r>
      <w:r w:rsidR="00F7359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5E1E344F" w14:textId="54E985AB" w:rsidR="00DE3C41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4"/>
          <w:szCs w:val="24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Якщо цільова популяція вакцини-кандидата включає </w:t>
      </w:r>
      <w:r w:rsidR="00F377C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педіатричних </w:t>
      </w:r>
      <w:proofErr w:type="spellStart"/>
      <w:r w:rsidR="00F377C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субʼєктів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A8192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то необхідність програми </w:t>
      </w:r>
      <w:r w:rsidR="001B2169">
        <w:rPr>
          <w:rStyle w:val="ad"/>
          <w:rFonts w:ascii="Times New Roman" w:hAnsi="Times New Roman" w:cs="Times New Roman"/>
          <w:i w:val="0"/>
          <w:sz w:val="28"/>
          <w:szCs w:val="28"/>
        </w:rPr>
        <w:t>вікової деескалації</w:t>
      </w:r>
      <w:r w:rsidR="00A8192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(наприклад, спочатку безпека оцінюється у підлітків, а </w:t>
      </w:r>
      <w:r w:rsidR="00A8192C" w:rsidRPr="0045645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потім </w:t>
      </w:r>
      <w:r w:rsidR="00A16C15" w:rsidRPr="0045645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— у дітей </w:t>
      </w:r>
      <w:r w:rsidR="00A8192C" w:rsidRPr="0045645D">
        <w:rPr>
          <w:rStyle w:val="ad"/>
          <w:rFonts w:ascii="Times New Roman" w:hAnsi="Times New Roman" w:cs="Times New Roman"/>
          <w:i w:val="0"/>
          <w:sz w:val="28"/>
          <w:szCs w:val="28"/>
        </w:rPr>
        <w:t>6</w:t>
      </w:r>
      <w:r w:rsidR="00A16C15" w:rsidRPr="0045645D">
        <w:rPr>
          <w:rStyle w:val="ad"/>
          <w:rFonts w:ascii="Times New Roman" w:hAnsi="Times New Roman" w:cs="Times New Roman"/>
          <w:i w:val="0"/>
          <w:sz w:val="28"/>
          <w:szCs w:val="28"/>
        </w:rPr>
        <w:t>–</w:t>
      </w:r>
      <w:r w:rsidR="00A8192C" w:rsidRPr="0045645D">
        <w:rPr>
          <w:rStyle w:val="ad"/>
          <w:rFonts w:ascii="Times New Roman" w:hAnsi="Times New Roman" w:cs="Times New Roman"/>
          <w:i w:val="0"/>
          <w:sz w:val="28"/>
          <w:szCs w:val="28"/>
        </w:rPr>
        <w:t>12 років, 2</w:t>
      </w:r>
      <w:r w:rsidR="00A16C15" w:rsidRPr="0045645D">
        <w:rPr>
          <w:rStyle w:val="ad"/>
          <w:rFonts w:ascii="Times New Roman" w:hAnsi="Times New Roman" w:cs="Times New Roman"/>
          <w:i w:val="0"/>
          <w:sz w:val="28"/>
          <w:szCs w:val="28"/>
        </w:rPr>
        <w:t>–</w:t>
      </w:r>
      <w:r w:rsidR="00A8192C" w:rsidRPr="0045645D">
        <w:rPr>
          <w:rStyle w:val="ad"/>
          <w:rFonts w:ascii="Times New Roman" w:hAnsi="Times New Roman" w:cs="Times New Roman"/>
          <w:i w:val="0"/>
          <w:sz w:val="28"/>
          <w:szCs w:val="28"/>
        </w:rPr>
        <w:t>5 років, 1</w:t>
      </w:r>
      <w:r w:rsidR="00A16C15" w:rsidRPr="0045645D">
        <w:rPr>
          <w:rStyle w:val="ad"/>
          <w:rFonts w:ascii="Times New Roman" w:hAnsi="Times New Roman" w:cs="Times New Roman"/>
          <w:i w:val="0"/>
          <w:sz w:val="28"/>
          <w:szCs w:val="28"/>
        </w:rPr>
        <w:t>–</w:t>
      </w:r>
      <w:r w:rsidR="00A8192C" w:rsidRPr="0045645D">
        <w:rPr>
          <w:rStyle w:val="ad"/>
          <w:rFonts w:ascii="Times New Roman" w:hAnsi="Times New Roman" w:cs="Times New Roman"/>
          <w:i w:val="0"/>
          <w:sz w:val="28"/>
          <w:szCs w:val="28"/>
        </w:rPr>
        <w:t>2 років і менше)</w:t>
      </w:r>
      <w:r w:rsidR="00A8192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повинна розглядатися в кожному конкретному випадку </w:t>
      </w:r>
      <w:r w:rsidR="00A8192C" w:rsidRPr="0045645D">
        <w:rPr>
          <w:rStyle w:val="ad"/>
          <w:rFonts w:ascii="Times New Roman" w:hAnsi="Times New Roman" w:cs="Times New Roman"/>
          <w:i w:val="0"/>
          <w:sz w:val="28"/>
          <w:szCs w:val="28"/>
        </w:rPr>
        <w:t>залежно</w:t>
      </w:r>
      <w:r w:rsidR="00A8192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від вікового діапазону цільової популяції та </w:t>
      </w:r>
      <w:proofErr w:type="spellStart"/>
      <w:r w:rsidR="00A8192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релевантності</w:t>
      </w:r>
      <w:proofErr w:type="spellEnd"/>
      <w:r w:rsidR="00A8192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даних з безпеки, отриманих у старших </w:t>
      </w:r>
      <w:r w:rsidR="001B2169">
        <w:rPr>
          <w:rStyle w:val="ad"/>
          <w:rFonts w:ascii="Times New Roman" w:hAnsi="Times New Roman" w:cs="Times New Roman"/>
          <w:i w:val="0"/>
          <w:sz w:val="28"/>
          <w:szCs w:val="28"/>
        </w:rPr>
        <w:t>субпопуляціях</w:t>
      </w:r>
      <w:r w:rsidR="00A8192C" w:rsidRPr="0045645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для молодших </w:t>
      </w:r>
      <w:r w:rsidR="001B2169">
        <w:rPr>
          <w:rStyle w:val="ad"/>
          <w:rFonts w:ascii="Times New Roman" w:hAnsi="Times New Roman" w:cs="Times New Roman"/>
          <w:i w:val="0"/>
          <w:sz w:val="28"/>
          <w:szCs w:val="28"/>
        </w:rPr>
        <w:t>субпопуляцій</w:t>
      </w:r>
      <w:r w:rsidR="00A8192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  <w:r w:rsidR="00A8192C" w:rsidRPr="00B02BAD">
        <w:rPr>
          <w:rStyle w:val="ad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7C998CF" w14:textId="3F021650" w:rsidR="00A74F46" w:rsidRPr="00B02BAD" w:rsidRDefault="00896EAB" w:rsidP="00A74F46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Наприклад, </w:t>
      </w:r>
      <w:r w:rsidR="00A74F4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послідовне зниження віку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може бути </w:t>
      </w:r>
      <w:r w:rsidR="00A74F4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необхідним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F15EAA" w:rsidRPr="0045645D">
        <w:rPr>
          <w:rStyle w:val="ad"/>
          <w:rFonts w:ascii="Times New Roman" w:hAnsi="Times New Roman" w:cs="Times New Roman"/>
          <w:i w:val="0"/>
          <w:sz w:val="28"/>
          <w:szCs w:val="28"/>
        </w:rPr>
        <w:t>коли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очікується, що для різних вікових підгруп </w:t>
      </w:r>
      <w:r w:rsidR="00F15EAA" w:rsidRPr="0045645D">
        <w:rPr>
          <w:rStyle w:val="ad"/>
          <w:rFonts w:ascii="Times New Roman" w:hAnsi="Times New Roman" w:cs="Times New Roman"/>
          <w:i w:val="0"/>
          <w:sz w:val="28"/>
          <w:szCs w:val="28"/>
        </w:rPr>
        <w:t>буде потрібен</w:t>
      </w:r>
      <w:r w:rsidR="00C16CC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різний склад вакцини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і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в цьому </w:t>
      </w:r>
      <w:r w:rsidR="00F15EAA" w:rsidRPr="0045645D">
        <w:rPr>
          <w:rStyle w:val="ad"/>
          <w:rFonts w:ascii="Times New Roman" w:hAnsi="Times New Roman" w:cs="Times New Roman"/>
          <w:i w:val="0"/>
          <w:sz w:val="28"/>
          <w:szCs w:val="28"/>
        </w:rPr>
        <w:t>разі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дані з безпеки та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імуногенності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однієї вікової підгрупи аналізуються перед переходом до наступної групи.</w:t>
      </w:r>
      <w:r w:rsidR="00A74F4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Крім того, якщо антиген(и) та/або </w:t>
      </w:r>
      <w:proofErr w:type="spellStart"/>
      <w:r w:rsidR="00A74F4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адʼювант</w:t>
      </w:r>
      <w:proofErr w:type="spellEnd"/>
      <w:r w:rsidR="00A74F4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 вакцині відрізняються від тих, що містяться в ліцензованих вакцинах, </w:t>
      </w:r>
      <w:r w:rsidR="00F15EAA" w:rsidRPr="0045645D">
        <w:rPr>
          <w:rStyle w:val="ad"/>
          <w:rFonts w:ascii="Times New Roman" w:hAnsi="Times New Roman" w:cs="Times New Roman"/>
          <w:i w:val="0"/>
          <w:sz w:val="28"/>
          <w:szCs w:val="28"/>
        </w:rPr>
        <w:t>потрібен</w:t>
      </w:r>
      <w:r w:rsidR="00A74F4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більш обережний підхід.</w:t>
      </w:r>
    </w:p>
    <w:p w14:paraId="1BF81C70" w14:textId="2D0E113A" w:rsidR="00B94B18" w:rsidRPr="00B02BAD" w:rsidRDefault="004E4741" w:rsidP="00B94B18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</w:t>
      </w:r>
      <w:r w:rsidR="00B94B1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ослідовне зниження віку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може не знадобитися, якщо вакцина-кандид</w:t>
      </w:r>
      <w:r w:rsidR="00360FD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ат містить лише антиген(и) ± </w:t>
      </w:r>
      <w:proofErr w:type="spellStart"/>
      <w:r w:rsidR="00360FD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адʼ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ювант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що вже </w:t>
      </w:r>
      <w:r w:rsidR="00B94B1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включен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 до</w:t>
      </w:r>
      <w:r w:rsidR="00B94B1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складу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зареєстрованої</w:t>
      </w:r>
      <w:r w:rsidR="004D761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вакцини(</w:t>
      </w:r>
      <w:proofErr w:type="spellStart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ин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), і в цьому </w:t>
      </w:r>
      <w:r w:rsidR="00F15EAA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>разі</w:t>
      </w:r>
      <w:r w:rsidR="00896EAB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</w:t>
      </w:r>
      <w:r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>на</w:t>
      </w:r>
      <w:r w:rsidR="00896EAB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15EAA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>вивчити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наявн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у важливу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інформаці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ю</w:t>
      </w:r>
      <w:r w:rsidR="00B94B1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про безпеку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  <w:r w:rsidR="00B94B1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Крім того, </w:t>
      </w:r>
      <w:r w:rsidR="009F6D5E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очікувана </w:t>
      </w:r>
      <w:r w:rsidR="002D50AD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>відсутність або незначн</w:t>
      </w:r>
      <w:r w:rsidR="009F6D5E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="002D50AD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користь від застосування деяких вакцин у певних педіатричних вікових підгрупах</w:t>
      </w:r>
      <w:r w:rsidR="00B94B18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може </w:t>
      </w:r>
      <w:r w:rsidR="009F6D5E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>бути причиною</w:t>
      </w:r>
      <w:r w:rsidR="00B94B1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деякого небажання включати таких дітей у клініч</w:t>
      </w:r>
      <w:r w:rsidR="002D50A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ні випробування. </w:t>
      </w:r>
      <w:r w:rsidR="00B76B39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>Якщо є</w:t>
      </w:r>
      <w:r w:rsidR="002D50AD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2D50AD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>до</w:t>
      </w:r>
      <w:r w:rsidR="00B94B18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>клінічн</w:t>
      </w:r>
      <w:r w:rsidR="00B76B39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proofErr w:type="spellEnd"/>
      <w:r w:rsidR="00B94B18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дан</w:t>
      </w:r>
      <w:r w:rsidR="00B76B39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="00B94B18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та </w:t>
      </w:r>
      <w:r w:rsidR="00B76B39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>дані</w:t>
      </w:r>
      <w:r w:rsidR="00B94B18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досліджен</w:t>
      </w:r>
      <w:r w:rsidR="00B76B39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>ь</w:t>
      </w:r>
      <w:r w:rsidR="00B94B18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D50AD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>за участю</w:t>
      </w:r>
      <w:r w:rsidR="00B94B18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дорослих</w:t>
      </w:r>
      <w:r w:rsidR="00B76B39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="00B94B18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</w:t>
      </w:r>
      <w:r w:rsidR="00B94B1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е бути доцільним застосування модифікованого підходу </w:t>
      </w:r>
      <w:r w:rsidR="002D50A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 послідовного зниження віку за певних обставин</w:t>
      </w:r>
      <w:r w:rsidR="00B94B1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 Наприклад, може бути виправдани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м</w:t>
      </w:r>
      <w:r w:rsidR="00B94B1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перехід від дорослих до малюків за умови </w:t>
      </w:r>
      <w:r w:rsidR="00B94B18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>обережного вибору</w:t>
      </w:r>
      <w:r w:rsidR="00B94B1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початкових доз та повної оцінки всіх даних, отриманих у </w:t>
      </w:r>
      <w:r w:rsidR="002D50A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невеликих</w:t>
      </w:r>
      <w:r w:rsidR="00B94B1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когортах, </w:t>
      </w:r>
      <w:r w:rsidR="002D50A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перш ніж включати наступну когорту</w:t>
      </w:r>
      <w:r w:rsidR="00B94B1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1867A2FF" w14:textId="77777777" w:rsidR="00B94B18" w:rsidRPr="00B02BAD" w:rsidRDefault="00B94B18" w:rsidP="00A463BB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bookmarkStart w:id="20" w:name="_bookmark30"/>
      <w:bookmarkEnd w:id="20"/>
    </w:p>
    <w:p w14:paraId="5AE4CDDA" w14:textId="77777777" w:rsidR="00896EAB" w:rsidRPr="00B02BAD" w:rsidRDefault="00A463BB" w:rsidP="00A463BB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6.2. </w:t>
      </w:r>
      <w:r w:rsidR="00896EAB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Розмір бази даних </w:t>
      </w:r>
      <w:r w:rsidR="00161C5D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з </w:t>
      </w:r>
      <w:r w:rsidR="00896EAB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безпеки</w:t>
      </w:r>
    </w:p>
    <w:p w14:paraId="16BA0D66" w14:textId="77777777" w:rsidR="0016265A" w:rsidRPr="00B02BAD" w:rsidRDefault="0016265A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7AA0B66D" w14:textId="561C1A4A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>Розмір бази даних</w:t>
      </w:r>
      <w:r w:rsidR="00AE5ED4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</w:t>
      </w:r>
      <w:r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безпеки </w:t>
      </w:r>
      <w:r w:rsidR="004E4741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 </w:t>
      </w:r>
      <w:proofErr w:type="spellStart"/>
      <w:r w:rsidR="004E4741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>передреєстраційний</w:t>
      </w:r>
      <w:proofErr w:type="spellEnd"/>
      <w:r w:rsidR="004E4741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період</w:t>
      </w:r>
      <w:r w:rsidR="00AE5ED4" w:rsidRPr="00E33735">
        <w:rPr>
          <w:rStyle w:val="ad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6B39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>слід</w:t>
      </w:r>
      <w:r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визначати </w:t>
      </w:r>
      <w:r w:rsidR="00B76B39"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окремо </w:t>
      </w:r>
      <w:r w:rsidRPr="00E33735">
        <w:rPr>
          <w:rStyle w:val="ad"/>
          <w:rFonts w:ascii="Times New Roman" w:hAnsi="Times New Roman" w:cs="Times New Roman"/>
          <w:i w:val="0"/>
          <w:sz w:val="28"/>
          <w:szCs w:val="28"/>
        </w:rPr>
        <w:t>в кожному випадку.</w:t>
      </w:r>
    </w:p>
    <w:p w14:paraId="02837288" w14:textId="7D66946F" w:rsidR="00E165B7" w:rsidRPr="00B02BAD" w:rsidRDefault="00896EAB" w:rsidP="00E165B7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Якщо вакцина-кандидат містить компоненти, які раніше не входили до складу </w:t>
      </w:r>
      <w:r w:rsidR="004E474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зареєстрованих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вакцин, зазвичай </w:t>
      </w:r>
      <w:r w:rsidR="00373AC3" w:rsidRPr="00A90D80">
        <w:rPr>
          <w:rStyle w:val="ad"/>
          <w:rFonts w:ascii="Times New Roman" w:hAnsi="Times New Roman" w:cs="Times New Roman"/>
          <w:i w:val="0"/>
          <w:sz w:val="28"/>
          <w:szCs w:val="28"/>
        </w:rPr>
        <w:t>треба прагнути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створити базу даних з безпеки, достатню для оцінки частоти рідкісних побічних </w:t>
      </w:r>
      <w:r w:rsidR="00E165B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явищ</w:t>
      </w:r>
      <w:r w:rsidR="004E474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(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що виникають </w:t>
      </w:r>
      <w:r w:rsidR="00E165B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від 1/100 до 1/1000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вакцинованих осіб). </w:t>
      </w:r>
      <w:r w:rsidR="00373AC3" w:rsidRPr="00A90D80">
        <w:rPr>
          <w:rStyle w:val="ad"/>
          <w:rFonts w:ascii="Times New Roman" w:hAnsi="Times New Roman" w:cs="Times New Roman"/>
          <w:i w:val="0"/>
          <w:sz w:val="28"/>
          <w:szCs w:val="28"/>
        </w:rPr>
        <w:t>Проте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це не слід розглядати як загальноприйня</w:t>
      </w:r>
      <w:r w:rsidRPr="00A90D80">
        <w:rPr>
          <w:rStyle w:val="ad"/>
          <w:rFonts w:ascii="Times New Roman" w:hAnsi="Times New Roman" w:cs="Times New Roman"/>
          <w:i w:val="0"/>
          <w:sz w:val="28"/>
          <w:szCs w:val="28"/>
        </w:rPr>
        <w:t>т</w:t>
      </w:r>
      <w:r w:rsidR="00373AC3" w:rsidRPr="00A90D80">
        <w:rPr>
          <w:rStyle w:val="ad"/>
          <w:rFonts w:ascii="Times New Roman" w:hAnsi="Times New Roman" w:cs="Times New Roman"/>
          <w:i w:val="0"/>
          <w:sz w:val="28"/>
          <w:szCs w:val="28"/>
        </w:rPr>
        <w:t>н</w:t>
      </w:r>
      <w:r w:rsidRPr="00A90D80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мету, </w:t>
      </w:r>
      <w:r w:rsidR="00373AC3" w:rsidRPr="00A90D80">
        <w:rPr>
          <w:rStyle w:val="ad"/>
          <w:rFonts w:ascii="Times New Roman" w:hAnsi="Times New Roman" w:cs="Times New Roman"/>
          <w:i w:val="0"/>
          <w:sz w:val="28"/>
          <w:szCs w:val="28"/>
        </w:rPr>
        <w:t>адже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можуть </w:t>
      </w:r>
      <w:r w:rsidR="00E165B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виникнути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особливі </w:t>
      </w:r>
      <w:r w:rsidRPr="00A90D80">
        <w:rPr>
          <w:rStyle w:val="ad"/>
          <w:rFonts w:ascii="Times New Roman" w:hAnsi="Times New Roman" w:cs="Times New Roman"/>
          <w:i w:val="0"/>
          <w:sz w:val="28"/>
          <w:szCs w:val="28"/>
        </w:rPr>
        <w:t>п</w:t>
      </w:r>
      <w:r w:rsidR="00373AC3" w:rsidRPr="00A90D80">
        <w:rPr>
          <w:rStyle w:val="ad"/>
          <w:rFonts w:ascii="Times New Roman" w:hAnsi="Times New Roman" w:cs="Times New Roman"/>
          <w:i w:val="0"/>
          <w:sz w:val="28"/>
          <w:szCs w:val="28"/>
        </w:rPr>
        <w:t>итання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E165B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для </w:t>
      </w:r>
      <w:r w:rsidR="00A773F8" w:rsidRPr="00A90D80">
        <w:rPr>
          <w:rStyle w:val="ad"/>
          <w:rFonts w:ascii="Times New Roman" w:hAnsi="Times New Roman" w:cs="Times New Roman"/>
          <w:i w:val="0"/>
          <w:sz w:val="28"/>
          <w:szCs w:val="28"/>
        </w:rPr>
        <w:t>вивчення</w:t>
      </w:r>
      <w:r w:rsidR="00E165B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яких може бути потрібна значно більша база даних.</w:t>
      </w:r>
    </w:p>
    <w:p w14:paraId="07CD737F" w14:textId="1DBA5DD7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Наприклад, якщо </w:t>
      </w:r>
      <w:r w:rsidR="00FC76D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виникають питання, </w:t>
      </w:r>
      <w:r w:rsidR="00A773F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пов’язані</w:t>
      </w:r>
      <w:r w:rsidR="00FC76D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="00FC76D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доклінічними</w:t>
      </w:r>
      <w:proofErr w:type="spellEnd"/>
      <w:r w:rsidR="00FC76D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даними, історичним досвідом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застосування </w:t>
      </w:r>
      <w:r w:rsidR="00FC76D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подібної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вакцини або </w:t>
      </w:r>
      <w:r w:rsidR="00A773F8" w:rsidRPr="001A351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 </w:t>
      </w:r>
      <w:r w:rsidRPr="001A3519">
        <w:rPr>
          <w:rStyle w:val="ad"/>
          <w:rFonts w:ascii="Times New Roman" w:hAnsi="Times New Roman" w:cs="Times New Roman"/>
          <w:i w:val="0"/>
          <w:sz w:val="28"/>
          <w:szCs w:val="28"/>
        </w:rPr>
        <w:t>наявни</w:t>
      </w:r>
      <w:r w:rsidR="00A773F8" w:rsidRPr="001A3519">
        <w:rPr>
          <w:rStyle w:val="ad"/>
          <w:rFonts w:ascii="Times New Roman" w:hAnsi="Times New Roman" w:cs="Times New Roman"/>
          <w:i w:val="0"/>
          <w:sz w:val="28"/>
          <w:szCs w:val="28"/>
        </w:rPr>
        <w:t>ми</w:t>
      </w:r>
      <w:r w:rsidRPr="001A351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клінічни</w:t>
      </w:r>
      <w:r w:rsidR="00A773F8" w:rsidRPr="001A3519">
        <w:rPr>
          <w:rStyle w:val="ad"/>
          <w:rFonts w:ascii="Times New Roman" w:hAnsi="Times New Roman" w:cs="Times New Roman"/>
          <w:i w:val="0"/>
          <w:sz w:val="28"/>
          <w:szCs w:val="28"/>
        </w:rPr>
        <w:t>ми</w:t>
      </w:r>
      <w:r w:rsidRPr="001A351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дани</w:t>
      </w:r>
      <w:r w:rsidR="00A773F8" w:rsidRPr="001A3519">
        <w:rPr>
          <w:rStyle w:val="ad"/>
          <w:rFonts w:ascii="Times New Roman" w:hAnsi="Times New Roman" w:cs="Times New Roman"/>
          <w:i w:val="0"/>
          <w:sz w:val="28"/>
          <w:szCs w:val="28"/>
        </w:rPr>
        <w:t>ми</w:t>
      </w:r>
      <w:r w:rsidRPr="001A351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безпеки, </w:t>
      </w:r>
      <w:r w:rsidR="00FC76D2" w:rsidRPr="001A351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може </w:t>
      </w:r>
      <w:r w:rsidR="00A773F8" w:rsidRPr="001A3519">
        <w:rPr>
          <w:rStyle w:val="ad"/>
          <w:rFonts w:ascii="Times New Roman" w:hAnsi="Times New Roman" w:cs="Times New Roman"/>
          <w:i w:val="0"/>
          <w:sz w:val="28"/>
          <w:szCs w:val="28"/>
        </w:rPr>
        <w:t>бути</w:t>
      </w:r>
      <w:r w:rsidR="00FC76D2" w:rsidRPr="001A351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необхідним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E474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створення достатньої </w:t>
      </w:r>
      <w:proofErr w:type="spellStart"/>
      <w:r w:rsidR="004E474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передреєстраційної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баз</w:t>
      </w:r>
      <w:r w:rsidR="004E474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даних з безпеки для забезпечення точної оцінки ризику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виникнення нечастих або навіть рідкісних побічних </w:t>
      </w:r>
      <w:r w:rsidR="00D21BA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явищ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Крім того, може </w:t>
      </w:r>
      <w:r w:rsidR="00A773F8" w:rsidRPr="001A3519">
        <w:rPr>
          <w:rStyle w:val="ad"/>
          <w:rFonts w:ascii="Times New Roman" w:hAnsi="Times New Roman" w:cs="Times New Roman"/>
          <w:i w:val="0"/>
          <w:sz w:val="28"/>
          <w:szCs w:val="28"/>
        </w:rPr>
        <w:t>виникнути потреба</w:t>
      </w:r>
      <w:r w:rsidRPr="001A3519">
        <w:rPr>
          <w:rStyle w:val="ad"/>
          <w:rFonts w:ascii="Times New Roman" w:hAnsi="Times New Roman" w:cs="Times New Roman"/>
          <w:i w:val="0"/>
          <w:sz w:val="28"/>
          <w:szCs w:val="28"/>
        </w:rPr>
        <w:t>, щоб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база даних з безпеки була достатнього розміру для оцінки ризику виникнення </w:t>
      </w:r>
      <w:r w:rsidR="004E474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певного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побічно</w:t>
      </w:r>
      <w:r w:rsidR="004E474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го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E474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явища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після вакцинації.</w:t>
      </w:r>
    </w:p>
    <w:p w14:paraId="6FD4896E" w14:textId="77777777" w:rsidR="00896EAB" w:rsidRPr="00B42859" w:rsidRDefault="00896EAB" w:rsidP="006D3020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Особливі </w:t>
      </w:r>
      <w:r w:rsidR="00702D1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вимоги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5630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щодо </w:t>
      </w:r>
      <w:proofErr w:type="spellStart"/>
      <w:r w:rsidR="0015630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передреєстраційної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бази даних з безпеки можуть застосов</w:t>
      </w:r>
      <w:r w:rsidR="0015630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уватися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якщо</w:t>
      </w:r>
      <w:r w:rsidR="00702D1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: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02D1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вакцина-кандидат поєднує антигени ±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ад</w:t>
      </w:r>
      <w:r w:rsidR="006D302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ʼ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ювант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які входять до складу </w:t>
      </w:r>
      <w:r w:rsidR="00DD20B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зареєстрованих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вакцин, або </w:t>
      </w:r>
      <w:r w:rsidR="00702D1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б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містить додаткові антигени порівняно з </w:t>
      </w:r>
      <w:r w:rsidR="00DD20B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зареєстрованою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вакциною, але всі вони отримані </w:t>
      </w:r>
      <w:r w:rsidR="00DD20B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 одного і того ж</w:t>
      </w:r>
      <w:r w:rsidR="0042082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збудника і </w:t>
      </w:r>
      <w:r w:rsidR="00DD20B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виготовлені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аналогічним способом. У таких випадках інформація </w:t>
      </w:r>
      <w:r w:rsidR="0042082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щодо точного способу виробництва </w:t>
      </w:r>
      <w:r w:rsidR="006D302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різних антигенів або </w:t>
      </w:r>
      <w:proofErr w:type="spellStart"/>
      <w:r w:rsidR="006D302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адʼ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ювантів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 вакцині-кандидаті та </w:t>
      </w:r>
      <w:r w:rsidR="0042082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зареєстрованій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(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их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) вакцині(ах) може врахов</w:t>
      </w:r>
      <w:r w:rsidR="0015630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уватися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5630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під час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розгляд</w:t>
      </w:r>
      <w:r w:rsidR="00156306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вимог до</w:t>
      </w:r>
      <w:r w:rsidR="00156306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156306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передреєстраційної</w:t>
      </w:r>
      <w:proofErr w:type="spellEnd"/>
      <w:r w:rsidR="00156306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бази даних з безпеки</w:t>
      </w:r>
      <w:r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47A93DEF" w14:textId="2C03AD5C" w:rsidR="00896EAB" w:rsidRPr="00B42859" w:rsidRDefault="009953AF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В цілому</w:t>
      </w:r>
      <w:r w:rsidR="00682957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896EAB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вище</w:t>
      </w:r>
      <w:r w:rsidR="00156306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наведені</w:t>
      </w:r>
      <w:r w:rsidR="00896EAB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124A1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рекомендації</w:t>
      </w:r>
      <w:r w:rsidR="00896EAB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стосуються загальної бази даних з безпеки, тобто незалежно від </w:t>
      </w:r>
      <w:r w:rsidR="00682957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кількості </w:t>
      </w:r>
      <w:r w:rsidR="00896EAB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або </w:t>
      </w:r>
      <w:r w:rsidR="00682957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частки</w:t>
      </w:r>
      <w:r w:rsidR="00896EAB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 вікових </w:t>
      </w:r>
      <w:r w:rsidR="00B124A1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чи</w:t>
      </w:r>
      <w:r w:rsidR="00896EAB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інших </w:t>
      </w:r>
      <w:r w:rsidR="00682957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популяційних підгрупах</w:t>
      </w:r>
      <w:r w:rsidR="00896EAB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Залежно від вакцини та цільової популяції, </w:t>
      </w:r>
      <w:r w:rsidR="00682957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як правило</w:t>
      </w:r>
      <w:r w:rsidR="00896EAB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очікується, що принаймні деякі дані з безпеки будуть </w:t>
      </w:r>
      <w:r w:rsidR="00682957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отримані</w:t>
      </w:r>
      <w:r w:rsidR="00896EAB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82957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від усіх</w:t>
      </w:r>
      <w:r w:rsidR="00896EAB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цільових груп (наприклад, вікових підгруп), а в деяких випадках може </w:t>
      </w:r>
      <w:r w:rsidR="00AA050B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вимагатися</w:t>
      </w:r>
      <w:r w:rsidR="00896EAB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, щоб загальна база даних з безпеки вк</w:t>
      </w:r>
      <w:r w:rsidR="00771C7A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лючала мінімальну кількість </w:t>
      </w:r>
      <w:r w:rsidR="004D5C36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суб’єктів</w:t>
      </w:r>
      <w:r w:rsidR="00896EAB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 певному віковому діапазоні або з певними характеристиками </w:t>
      </w:r>
      <w:r w:rsidR="00682957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організму</w:t>
      </w:r>
      <w:r w:rsidR="00896EAB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42B9C3A1" w14:textId="77777777" w:rsidR="00A463BB" w:rsidRPr="00B42859" w:rsidRDefault="00A463B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bookmarkStart w:id="21" w:name="_bookmark31"/>
      <w:bookmarkEnd w:id="21"/>
    </w:p>
    <w:p w14:paraId="6B92CE1A" w14:textId="0640F31B" w:rsidR="00896EAB" w:rsidRPr="00B02BAD" w:rsidRDefault="00A463BB" w:rsidP="00A463BB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B42859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7. </w:t>
      </w:r>
      <w:r w:rsidR="009953AF" w:rsidRPr="00B42859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ОСОБЛИВІ ГРУПИ НАСЕЛЕННЯ</w:t>
      </w:r>
    </w:p>
    <w:p w14:paraId="79F9BABF" w14:textId="77777777" w:rsidR="00A91C2F" w:rsidRPr="00B02BAD" w:rsidRDefault="00A91C2F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7C7E229A" w14:textId="77777777" w:rsidR="00896EAB" w:rsidRPr="00B02BAD" w:rsidRDefault="00A463BB" w:rsidP="00A463BB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bookmarkStart w:id="22" w:name="_bookmark32"/>
      <w:bookmarkEnd w:id="22"/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7.1. </w:t>
      </w:r>
      <w:r w:rsidR="00896EAB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Вагітні жінки</w:t>
      </w:r>
    </w:p>
    <w:p w14:paraId="0E025979" w14:textId="77777777" w:rsidR="00A463BB" w:rsidRPr="00B02BAD" w:rsidRDefault="00A463B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B2F1D40" w14:textId="1665A62E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Не всі вакцини </w:t>
      </w:r>
      <w:r w:rsidR="00CA5AC1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п</w:t>
      </w:r>
      <w:r w:rsidR="00A038F9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ідходять</w:t>
      </w:r>
      <w:r w:rsidR="00275E1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для введення вагітним жінкам. </w:t>
      </w:r>
      <w:r w:rsidR="00A038F9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Цей</w:t>
      </w:r>
      <w:r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розділ передбачає,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що вакцини-кандидати, запропоновані для введення під час вагітнос</w:t>
      </w:r>
      <w:r w:rsidR="00F8509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ті, </w:t>
      </w:r>
      <w:r w:rsidR="00DC248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будуть </w:t>
      </w:r>
      <w:r w:rsidR="00DC2481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оцін</w:t>
      </w:r>
      <w:r w:rsidR="00A038F9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ені</w:t>
      </w:r>
      <w:r w:rsidR="00DC248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8509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 відповідних </w:t>
      </w:r>
      <w:proofErr w:type="spellStart"/>
      <w:r w:rsidR="00F8509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клінічних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дослідженнях і </w:t>
      </w:r>
      <w:r w:rsidR="00DC248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включатимуть </w:t>
      </w:r>
      <w:r w:rsidR="00F8509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антиген(</w:t>
      </w:r>
      <w:r w:rsidR="00CA5AC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="00F8509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± </w:t>
      </w:r>
      <w:proofErr w:type="spellStart"/>
      <w:r w:rsidR="00F8509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адʼ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ювант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які </w:t>
      </w:r>
      <w:r w:rsidR="00A038F9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не вважаються шкідливими </w:t>
      </w:r>
      <w:r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для вагітної жінки або плод</w:t>
      </w:r>
      <w:r w:rsidR="00A038F9"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Pr="00B42859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2981CCC2" w14:textId="569DAB10" w:rsidR="00896EAB" w:rsidRPr="00B02BAD" w:rsidRDefault="00896EAB" w:rsidP="000919F5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Вакцинація під час вагітності може мати одну </w:t>
      </w:r>
      <w:r w:rsidR="002F6DB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чи </w:t>
      </w:r>
      <w:r w:rsidR="000919F5" w:rsidRPr="00F12DA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кілька з </w:t>
      </w:r>
      <w:r w:rsidR="007A426E" w:rsidRPr="00F12DA4">
        <w:rPr>
          <w:rStyle w:val="ad"/>
          <w:rFonts w:ascii="Times New Roman" w:hAnsi="Times New Roman" w:cs="Times New Roman"/>
          <w:i w:val="0"/>
          <w:sz w:val="28"/>
          <w:szCs w:val="28"/>
        </w:rPr>
        <w:t>нижченаведен</w:t>
      </w:r>
      <w:r w:rsidR="000919F5" w:rsidRPr="00F12DA4">
        <w:rPr>
          <w:rStyle w:val="ad"/>
          <w:rFonts w:ascii="Times New Roman" w:hAnsi="Times New Roman" w:cs="Times New Roman"/>
          <w:i w:val="0"/>
          <w:sz w:val="28"/>
          <w:szCs w:val="28"/>
        </w:rPr>
        <w:t>их цілей: а) захист вагітн</w:t>
      </w:r>
      <w:r w:rsidR="00DD257D" w:rsidRPr="00F12DA4">
        <w:rPr>
          <w:rStyle w:val="ad"/>
          <w:rFonts w:ascii="Times New Roman" w:hAnsi="Times New Roman" w:cs="Times New Roman"/>
          <w:i w:val="0"/>
          <w:sz w:val="28"/>
          <w:szCs w:val="28"/>
        </w:rPr>
        <w:t>ої</w:t>
      </w:r>
      <w:r w:rsidR="000919F5" w:rsidRPr="00F12DA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жінк</w:t>
      </w:r>
      <w:r w:rsidR="00DD257D" w:rsidRPr="00F12DA4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="000919F5" w:rsidRPr="00F12DA4">
        <w:rPr>
          <w:rStyle w:val="ad"/>
          <w:rFonts w:ascii="Times New Roman" w:hAnsi="Times New Roman" w:cs="Times New Roman"/>
          <w:i w:val="0"/>
          <w:sz w:val="28"/>
          <w:szCs w:val="28"/>
        </w:rPr>
        <w:t>; б</w:t>
      </w:r>
      <w:r w:rsidRPr="00F12DA4">
        <w:rPr>
          <w:rStyle w:val="ad"/>
          <w:rFonts w:ascii="Times New Roman" w:hAnsi="Times New Roman" w:cs="Times New Roman"/>
          <w:i w:val="0"/>
          <w:sz w:val="28"/>
          <w:szCs w:val="28"/>
        </w:rPr>
        <w:t>) захист пл</w:t>
      </w:r>
      <w:r w:rsidR="00DD257D" w:rsidRPr="00F12DA4">
        <w:rPr>
          <w:rStyle w:val="ad"/>
          <w:rFonts w:ascii="Times New Roman" w:hAnsi="Times New Roman" w:cs="Times New Roman"/>
          <w:i w:val="0"/>
          <w:sz w:val="28"/>
          <w:szCs w:val="28"/>
        </w:rPr>
        <w:t>о</w:t>
      </w:r>
      <w:r w:rsidRPr="00F12DA4">
        <w:rPr>
          <w:rStyle w:val="ad"/>
          <w:rFonts w:ascii="Times New Roman" w:hAnsi="Times New Roman" w:cs="Times New Roman"/>
          <w:i w:val="0"/>
          <w:sz w:val="28"/>
          <w:szCs w:val="28"/>
        </w:rPr>
        <w:t>д</w:t>
      </w:r>
      <w:r w:rsidR="007A426E" w:rsidRPr="00F12DA4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Pr="00F12DA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від </w:t>
      </w:r>
      <w:r w:rsidR="00512E65" w:rsidRPr="00F12DA4">
        <w:rPr>
          <w:rStyle w:val="ad"/>
          <w:rFonts w:ascii="Times New Roman" w:hAnsi="Times New Roman" w:cs="Times New Roman"/>
          <w:i w:val="0"/>
          <w:sz w:val="28"/>
          <w:szCs w:val="28"/>
        </w:rPr>
        <w:t>внутр</w:t>
      </w:r>
      <w:r w:rsidR="00512E6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ішньоутробної інфекції; </w:t>
      </w:r>
      <w:r w:rsidR="00512E6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>в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) захист </w:t>
      </w:r>
      <w:r w:rsidR="002F6DB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дитин</w:t>
      </w:r>
      <w:r w:rsidR="00DD257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="002F6DB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C0EE1">
        <w:rPr>
          <w:rStyle w:val="ad"/>
          <w:rFonts w:ascii="Times New Roman" w:hAnsi="Times New Roman" w:cs="Times New Roman"/>
          <w:i w:val="0"/>
          <w:sz w:val="28"/>
          <w:szCs w:val="28"/>
        </w:rPr>
        <w:t>до</w:t>
      </w:r>
      <w:r w:rsidR="007A426E" w:rsidRPr="00BC0EE1">
        <w:rPr>
          <w:rStyle w:val="ad"/>
          <w:rFonts w:ascii="Times New Roman" w:hAnsi="Times New Roman" w:cs="Times New Roman"/>
          <w:i w:val="0"/>
          <w:sz w:val="28"/>
          <w:szCs w:val="28"/>
        </w:rPr>
        <w:t>ти</w:t>
      </w:r>
      <w:r w:rsidRPr="00BC0EE1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7A426E" w:rsidRPr="00BC0EE1">
        <w:rPr>
          <w:rStyle w:val="ad"/>
          <w:rFonts w:ascii="Times New Roman" w:hAnsi="Times New Roman" w:cs="Times New Roman"/>
          <w:i w:val="0"/>
          <w:sz w:val="28"/>
          <w:szCs w:val="28"/>
        </w:rPr>
        <w:t>д</w:t>
      </w:r>
      <w:r w:rsidRPr="00BC0EE1">
        <w:rPr>
          <w:rStyle w:val="ad"/>
          <w:rFonts w:ascii="Times New Roman" w:hAnsi="Times New Roman" w:cs="Times New Roman"/>
          <w:i w:val="0"/>
          <w:sz w:val="28"/>
          <w:szCs w:val="28"/>
        </w:rPr>
        <w:t>оки зберігаються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захисні рівні материнських антитіл у постнатальному періоді.</w:t>
      </w:r>
    </w:p>
    <w:p w14:paraId="73990444" w14:textId="71F22952" w:rsidR="00964BC3" w:rsidRPr="00B02BAD" w:rsidRDefault="00896EAB" w:rsidP="00964BC3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Якщо вакцина-кандидат не схвалена </w:t>
      </w:r>
      <w:r w:rsidR="00D65FA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для введення </w:t>
      </w:r>
      <w:r w:rsidR="00021A1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не</w:t>
      </w:r>
      <w:r w:rsidR="00D65FA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вагітним жінкам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D65FA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то</w:t>
      </w:r>
      <w:r w:rsidR="007A426E" w:rsidRPr="00BC0EE1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="00D65FA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перш ніж </w:t>
      </w:r>
      <w:r w:rsidR="003F286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розпочинати випробування </w:t>
      </w:r>
      <w:r w:rsidR="0043143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за участю вагітних жінок</w:t>
      </w:r>
      <w:r w:rsidR="00D65FA7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7A426E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слід отримати </w:t>
      </w:r>
      <w:r w:rsidR="003F2867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дані з безпеки та </w:t>
      </w:r>
      <w:proofErr w:type="spellStart"/>
      <w:r w:rsidR="003F2867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імуногенності</w:t>
      </w:r>
      <w:proofErr w:type="spellEnd"/>
      <w:r w:rsidR="003F2867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 невагі</w:t>
      </w:r>
      <w:r w:rsidR="00964BC3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тних жінок репродукти</w:t>
      </w:r>
      <w:r w:rsidR="00964BC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вного віку</w:t>
      </w:r>
      <w:r w:rsidR="003F2867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964BC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 дослідження безпеки та </w:t>
      </w:r>
      <w:proofErr w:type="spellStart"/>
      <w:r w:rsidR="00964BC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імуногенності</w:t>
      </w:r>
      <w:proofErr w:type="spellEnd"/>
      <w:r w:rsidR="00964BC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для </w:t>
      </w:r>
      <w:r w:rsidR="007A426E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обґрунтування</w:t>
      </w:r>
      <w:r w:rsidR="00964BC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режиму дозування слід залучати жінок на </w:t>
      </w:r>
      <w:r w:rsidR="001050B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терміні</w:t>
      </w:r>
      <w:r w:rsidR="00964BC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вагітності, що відповідає основній меті</w:t>
      </w:r>
      <w:r w:rsidR="007A426E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: </w:t>
      </w:r>
      <w:r w:rsidR="00964BC3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якомога раніше під час вагітності, </w:t>
      </w:r>
      <w:r w:rsidR="007A426E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— </w:t>
      </w:r>
      <w:r w:rsidR="00964BC3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щоб захистити матір та/або плід, і на пізніших термінах вагітності, </w:t>
      </w:r>
      <w:r w:rsidR="007A426E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— </w:t>
      </w:r>
      <w:r w:rsidR="00964BC3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щоб максимізувати рівні материнських</w:t>
      </w:r>
      <w:r w:rsidR="00964BC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антитіл у</w:t>
      </w:r>
      <w:r w:rsidR="001050B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новонародженого.</w:t>
      </w:r>
    </w:p>
    <w:p w14:paraId="5045A415" w14:textId="53ACD6ED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Якщо основною метою вакцинації під час вагітності є захист </w:t>
      </w:r>
      <w:r w:rsidR="00A91C2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немовляти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 перші місяці життя, випробування </w:t>
      </w:r>
      <w:r w:rsidR="00A91C2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для встановлення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дози повинні включати вимірювання рівнів антитіл у зразках пуповинної крові, взятих під час пологів. </w:t>
      </w:r>
      <w:r w:rsidR="00A91C2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Отриманих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дан</w:t>
      </w:r>
      <w:r w:rsidR="00A91C2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их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91C2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має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бути достатн</w:t>
      </w:r>
      <w:r w:rsidR="00A91C2F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ьо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для оцінки </w:t>
      </w:r>
      <w:proofErr w:type="spellStart"/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між</w:t>
      </w:r>
      <w:r w:rsidR="007A426E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суб’єкт</w:t>
      </w:r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ної</w:t>
      </w:r>
      <w:proofErr w:type="spellEnd"/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варіабельності та впливу часового інтервалу між вакцинацією </w:t>
      </w:r>
      <w:r w:rsidR="007A426E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полога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ми на рівні материнських антитіл у немовлят. </w:t>
      </w:r>
      <w:r w:rsidR="00550F31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 процесі визначення дози слід оцінювати </w:t>
      </w:r>
      <w:proofErr w:type="spellStart"/>
      <w:r w:rsidR="00550F31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п</w:t>
      </w:r>
      <w:r w:rsidR="00F81EBC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ерсистенцію</w:t>
      </w:r>
      <w:proofErr w:type="spellEnd"/>
      <w:r w:rsidR="00F81EBC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антитіл </w:t>
      </w:r>
      <w:r w:rsidR="004801F0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до</w:t>
      </w:r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цільового збудника та порівнювати між немовлятами, </w:t>
      </w:r>
      <w:r w:rsidR="00550F31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що </w:t>
      </w:r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народ</w:t>
      </w:r>
      <w:r w:rsidR="00550F31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илися у</w:t>
      </w:r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вакциновани</w:t>
      </w:r>
      <w:r w:rsidR="00550F31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х</w:t>
      </w:r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50F31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невакциновани</w:t>
      </w:r>
      <w:r w:rsidR="00550F31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х</w:t>
      </w:r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матер</w:t>
      </w:r>
      <w:r w:rsidR="00550F31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ів</w:t>
      </w:r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Якщо загальна стратегія передбачає вакцинацію вагітних жінок з подальшою активною вакцинацією їхніх немовлят проти того самого антигену (антигенів), крива </w:t>
      </w:r>
      <w:r w:rsidR="006F6AF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зниження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антитіл у немовлят може </w:t>
      </w:r>
      <w:r w:rsidR="006F6AF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бути попереднім показником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час</w:t>
      </w:r>
      <w:r w:rsidR="006F6AF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введення першої дози</w:t>
      </w:r>
      <w:r w:rsidR="006F6AF8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вакцини немовляті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1AB48B61" w14:textId="170A8621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Якщо для інфекційного захворювання, </w:t>
      </w:r>
      <w:r w:rsidR="0095267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як</w:t>
      </w:r>
      <w:r w:rsidR="00CA5AC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ому</w:t>
      </w:r>
      <w:r w:rsidR="0095267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9396A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треба</w:t>
      </w:r>
      <w:r w:rsidR="0095267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запобігти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встановлено </w:t>
      </w:r>
      <w:r w:rsidR="00674BDA" w:rsidRPr="00674BDA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</w:t>
      </w:r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, залежно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від основної мети та профілю б</w:t>
      </w:r>
      <w:r w:rsidR="0095267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езпеки, </w:t>
      </w:r>
      <w:r w:rsidR="00B9692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у схемі вакцинації матерів слід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5267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максимально збільшити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частку вагітних жінок або зразків пуповинної крові з </w:t>
      </w:r>
      <w:r w:rsidR="00712B2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антитілами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що </w:t>
      </w:r>
      <w:r w:rsidR="00B9692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перевищують </w:t>
      </w:r>
      <w:r w:rsidR="00674BDA" w:rsidRPr="00674BDA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Якщо </w:t>
      </w:r>
      <w:r w:rsidR="00674BDA" w:rsidRPr="00674BDA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</w:t>
      </w:r>
      <w:r w:rsidR="00674BD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5267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відсутній</w:t>
      </w:r>
      <w:r w:rsidR="006A7DD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і немає </w:t>
      </w:r>
      <w:r w:rsidR="0095267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зареєстрованої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вакцини з відомою ефективністю, з якою можна було б порівняти вакцину-кандидат</w:t>
      </w:r>
      <w:r w:rsidR="00712B24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а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(тобто за допомогою </w:t>
      </w:r>
      <w:r w:rsidR="00C9396A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стратегії</w:t>
      </w:r>
      <w:r w:rsidR="00C9396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9396A" w:rsidRPr="00FF7F07">
        <w:rPr>
          <w:rStyle w:val="ad"/>
          <w:rFonts w:ascii="Times New Roman" w:hAnsi="Times New Roman" w:cs="Times New Roman"/>
          <w:i w:val="0"/>
          <w:sz w:val="28"/>
          <w:szCs w:val="28"/>
        </w:rPr>
        <w:t>«</w:t>
      </w:r>
      <w:proofErr w:type="spellStart"/>
      <w:r w:rsidRPr="00FF7F07">
        <w:rPr>
          <w:rStyle w:val="ad"/>
          <w:rFonts w:ascii="Times New Roman" w:hAnsi="Times New Roman" w:cs="Times New Roman"/>
          <w:i w:val="0"/>
          <w:sz w:val="28"/>
          <w:szCs w:val="28"/>
        </w:rPr>
        <w:t>імунобр</w:t>
      </w:r>
      <w:r w:rsidR="00FF7F07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FF7F07">
        <w:rPr>
          <w:rStyle w:val="ad"/>
          <w:rFonts w:ascii="Times New Roman" w:hAnsi="Times New Roman" w:cs="Times New Roman"/>
          <w:i w:val="0"/>
          <w:sz w:val="28"/>
          <w:szCs w:val="28"/>
        </w:rPr>
        <w:t>д</w:t>
      </w:r>
      <w:r w:rsidR="00FF7F07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Pr="00FF7F07">
        <w:rPr>
          <w:rStyle w:val="ad"/>
          <w:rFonts w:ascii="Times New Roman" w:hAnsi="Times New Roman" w:cs="Times New Roman"/>
          <w:i w:val="0"/>
          <w:sz w:val="28"/>
          <w:szCs w:val="28"/>
        </w:rPr>
        <w:t>нгу</w:t>
      </w:r>
      <w:proofErr w:type="spellEnd"/>
      <w:r w:rsidR="00C9396A" w:rsidRPr="00FF7F07">
        <w:rPr>
          <w:rStyle w:val="ad"/>
          <w:rFonts w:ascii="Times New Roman" w:hAnsi="Times New Roman" w:cs="Times New Roman"/>
          <w:i w:val="0"/>
          <w:sz w:val="28"/>
          <w:szCs w:val="28"/>
        </w:rPr>
        <w:t>»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для визначення ефективності), зазвичай </w:t>
      </w:r>
      <w:r w:rsidR="00C9396A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потрібно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провести випробування ефективності вакцини.</w:t>
      </w:r>
    </w:p>
    <w:p w14:paraId="1B53C23C" w14:textId="26F7F3A6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 xml:space="preserve">У всіх </w:t>
      </w:r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випробуваннях за участю вагітних жінок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повинні </w:t>
      </w:r>
      <w:r w:rsidR="0032692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бути </w:t>
      </w:r>
      <w:r w:rsidR="00D5155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встановлені відповідні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механізми для документування результатів вагітності. Наприклад, слід</w:t>
      </w:r>
      <w:r w:rsidR="00D5155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збирати інформацію про тривалість </w:t>
      </w:r>
      <w:r w:rsidR="00D5155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вагітності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стан дитини при народженні та будь-які вроджені захворювання.</w:t>
      </w:r>
    </w:p>
    <w:p w14:paraId="774F41E6" w14:textId="6EE15CF0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Важливо, щоб вакцини, запропоновані для застосування під час </w:t>
      </w:r>
      <w:r w:rsidR="00CF0DF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вагітності, мали дуже сприятливий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профіл</w:t>
      </w:r>
      <w:r w:rsidR="00CF0DF2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ь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безпеки, включаючи низьку системну </w:t>
      </w:r>
      <w:proofErr w:type="spellStart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реактогенність</w:t>
      </w:r>
      <w:proofErr w:type="spellEnd"/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Якщо профіль безпеки </w:t>
      </w:r>
      <w:r w:rsidR="00C9396A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для</w:t>
      </w:r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невагітних жінок викликає занепокоєння, може виникнути потреба у проведенні більш масштабних досліджень у цій популяції для кількісної оцінки ризику, перш ніж приймати рішення про застосування вакцин вагітни</w:t>
      </w:r>
      <w:r w:rsidR="002523AA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м</w:t>
      </w:r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жін</w:t>
      </w:r>
      <w:r w:rsidR="002523AA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кам</w:t>
      </w:r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</w:p>
    <w:p w14:paraId="36A0070C" w14:textId="77777777" w:rsidR="00CF0DF2" w:rsidRPr="00B02BAD" w:rsidRDefault="00CF0DF2" w:rsidP="00CF0DF2">
      <w:pPr>
        <w:spacing w:after="0" w:line="240" w:lineRule="auto"/>
        <w:ind w:firstLine="720"/>
        <w:jc w:val="both"/>
        <w:rPr>
          <w:rStyle w:val="ad"/>
          <w:rFonts w:ascii="Times New Roman" w:hAnsi="Times New Roman" w:cs="Times New Roman"/>
          <w:i w:val="0"/>
          <w:color w:val="ED7D31" w:themeColor="accent2"/>
          <w:sz w:val="28"/>
          <w:szCs w:val="28"/>
        </w:rPr>
      </w:pPr>
    </w:p>
    <w:p w14:paraId="343B1FD1" w14:textId="77777777" w:rsidR="00896EAB" w:rsidRPr="00B02BAD" w:rsidRDefault="00A463BB" w:rsidP="00A463BB">
      <w:pPr>
        <w:spacing w:after="0" w:line="360" w:lineRule="auto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bookmarkStart w:id="23" w:name="_bookmark33"/>
      <w:bookmarkEnd w:id="23"/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7.2. </w:t>
      </w:r>
      <w:r w:rsidR="00896EAB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Люди похилого віку</w:t>
      </w:r>
    </w:p>
    <w:p w14:paraId="5B406134" w14:textId="77777777" w:rsidR="00A463BB" w:rsidRPr="00B02BAD" w:rsidRDefault="00A463BB" w:rsidP="005D29A6">
      <w:pPr>
        <w:spacing w:after="0" w:line="24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4FDDDE48" w14:textId="62854361" w:rsidR="00896EAB" w:rsidRPr="00B02BAD" w:rsidRDefault="002523AA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У</w:t>
      </w:r>
      <w:r w:rsidR="00B725E2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людей похилого віку </w:t>
      </w:r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здебільшого з</w:t>
      </w:r>
      <w:r w:rsidR="00B725E2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ниж</w:t>
      </w:r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ена</w:t>
      </w:r>
      <w:r w:rsidR="00B725E2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реакці</w:t>
      </w:r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я</w:t>
      </w:r>
      <w:r w:rsidR="00B725E2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 вакцинацію </w:t>
      </w:r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порівняно з</w:t>
      </w:r>
      <w:r w:rsidR="00B725E2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молоди</w:t>
      </w:r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ми</w:t>
      </w:r>
      <w:r w:rsidR="00B725E2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люд</w:t>
      </w:r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ьми</w:t>
      </w:r>
      <w:r w:rsidR="00896EAB"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що може </w:t>
      </w:r>
      <w:r w:rsidR="00C501E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бути </w:t>
      </w:r>
      <w:r w:rsidR="00D82D8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пов’язан</w:t>
      </w:r>
      <w:r w:rsidRPr="00674BDA">
        <w:rPr>
          <w:rStyle w:val="ad"/>
          <w:rFonts w:ascii="Times New Roman" w:hAnsi="Times New Roman" w:cs="Times New Roman"/>
          <w:i w:val="0"/>
          <w:sz w:val="28"/>
          <w:szCs w:val="28"/>
        </w:rPr>
        <w:t>о</w:t>
      </w:r>
      <w:r w:rsidR="00C501E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імуно</w:t>
      </w:r>
      <w:r w:rsidR="009F5A73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сене</w:t>
      </w:r>
      <w:r w:rsidR="001711E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сценцією</w:t>
      </w:r>
      <w:proofErr w:type="spellEnd"/>
      <w:r w:rsidR="001711E1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(«старіння імунної системи»)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та/або </w:t>
      </w:r>
      <w:r w:rsidR="00C501ED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поширеністю </w:t>
      </w:r>
      <w:r w:rsidR="00B20D7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специфічних основних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захворювань </w:t>
      </w:r>
      <w:r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чи застосуванням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20D7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лікарських засобів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які негативно впливають на імунну систему. Іноді імунна 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відповідь у людей похилого</w:t>
      </w:r>
      <w:r w:rsidR="00B20D7E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віку</w:t>
      </w:r>
      <w:r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може бути вищою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E51DB6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ніж у молодих дорослих, </w:t>
      </w:r>
      <w:r w:rsidR="00A2195A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найчастіше 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якщо</w:t>
      </w:r>
      <w:r w:rsidR="00A2195A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 них відбувся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B20D7E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прайм</w:t>
      </w:r>
      <w:r w:rsidR="00A2195A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інг</w:t>
      </w:r>
      <w:proofErr w:type="spellEnd"/>
      <w:r w:rsidR="004B4D49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природним </w:t>
      </w:r>
      <w:r w:rsidR="00B20D7E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шляхом</w:t>
      </w:r>
      <w:r w:rsidR="004B4D49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або попередньою вакцинацією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Тому важливо, щоб </w:t>
      </w:r>
      <w:r w:rsidR="00A2195A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проводилися адекватні дослідження з визначення доз 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вакцин, які </w:t>
      </w:r>
      <w:r w:rsidR="000A527A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пропонуються</w:t>
      </w:r>
      <w:r w:rsidR="00D2191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B32DA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для людей похилого віку</w:t>
      </w:r>
      <w:r w:rsidR="00A2195A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і щоб були досліджені всі вікові підгрупи (наприклад</w:t>
      </w:r>
      <w:r w:rsidR="00A2195A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: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65</w:t>
      </w:r>
      <w:r w:rsidR="00A2195A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–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74 роки, 75</w:t>
      </w:r>
      <w:r w:rsidR="00A2195A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–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84 роки та </w:t>
      </w:r>
      <w:r w:rsidR="00A2195A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більше 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85 років), </w:t>
      </w:r>
      <w:r w:rsidR="006B32DA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щоб визначити, чи потрібні </w:t>
      </w:r>
      <w:r w:rsidR="00714950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зміни</w:t>
      </w:r>
      <w:r w:rsidR="006B32DA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дози та/або схеми </w:t>
      </w:r>
      <w:proofErr w:type="spellStart"/>
      <w:r w:rsidR="006B32DA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вакцинування</w:t>
      </w:r>
      <w:proofErr w:type="spellEnd"/>
      <w:r w:rsidR="006B32DA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зі збільшенням віку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Якщо </w:t>
      </w:r>
      <w:r w:rsidR="00714950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 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випробування</w:t>
      </w:r>
      <w:r w:rsidR="00714950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х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ефективності </w:t>
      </w:r>
      <w:r w:rsidR="00714950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беруть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участ</w:t>
      </w:r>
      <w:r w:rsidR="00714950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ь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люд</w:t>
      </w:r>
      <w:r w:rsidR="00714950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похилого віку, рекомендується </w:t>
      </w:r>
      <w:r w:rsidR="006B32DA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проводити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рандомізацію</w:t>
      </w:r>
      <w:proofErr w:type="spellEnd"/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віковими підгрупами. Крім того, під час клінічних 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випробувань </w:t>
      </w:r>
      <w:r w:rsidR="00714950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потрібно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дослідити </w:t>
      </w:r>
      <w:r w:rsidR="00714950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роль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будь-яких </w:t>
      </w:r>
      <w:r w:rsidR="004B4D49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основних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захворювань або лікарських засобів, які в</w:t>
      </w:r>
      <w:r w:rsidR="00714950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пливають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або які можуть впливати на імунну відповідь. Безпека в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акцин </w:t>
      </w:r>
      <w:r w:rsidR="00CB2145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для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людей похилого віку повинна бути задокументована в підгрупах з певними </w:t>
      </w:r>
      <w:r w:rsidR="00B90B1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основними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захворюваннями та 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рівн</w:t>
      </w:r>
      <w:r w:rsidR="00714950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ем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14950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вразливості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, щоб визначити, чи є профіль безпеки в цілому прийнятним.</w:t>
      </w:r>
    </w:p>
    <w:p w14:paraId="0DA55A8F" w14:textId="77777777" w:rsidR="00896EAB" w:rsidRPr="00B02BAD" w:rsidRDefault="00896EA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B8FD0BB" w14:textId="77777777" w:rsidR="00896EAB" w:rsidRPr="00B02BAD" w:rsidRDefault="00A463B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bookmarkStart w:id="24" w:name="_bookmark34"/>
      <w:bookmarkEnd w:id="24"/>
      <w:r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7.3. </w:t>
      </w:r>
      <w:proofErr w:type="spellStart"/>
      <w:r w:rsidR="00896EAB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Суб</w:t>
      </w:r>
      <w:r w:rsidR="00D5155D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ʼ</w:t>
      </w:r>
      <w:r w:rsidR="00896EAB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єкти</w:t>
      </w:r>
      <w:proofErr w:type="spellEnd"/>
      <w:r w:rsidR="00896EAB" w:rsidRPr="00B02BAD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 xml:space="preserve"> з імунодефіцитом</w:t>
      </w:r>
    </w:p>
    <w:p w14:paraId="774752EC" w14:textId="77777777" w:rsidR="00A463BB" w:rsidRPr="00B02BAD" w:rsidRDefault="00A463BB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6452265" w14:textId="7AC125AA" w:rsidR="00896EAB" w:rsidRPr="00B02BAD" w:rsidRDefault="002663BA" w:rsidP="000A527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Fonts w:ascii="Times New Roman" w:hAnsi="Times New Roman" w:cs="Times New Roman"/>
          <w:sz w:val="28"/>
          <w:szCs w:val="28"/>
        </w:rPr>
        <w:t>Зважаючи на</w:t>
      </w:r>
      <w:r w:rsidRPr="00B02BAD">
        <w:rPr>
          <w:rFonts w:ascii="Times New Roman" w:hAnsi="Times New Roman" w:cs="Times New Roman"/>
          <w:sz w:val="24"/>
          <w:szCs w:val="24"/>
        </w:rPr>
        <w:t xml:space="preserve">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широкий спектр </w:t>
      </w:r>
      <w:r w:rsidR="00B90B10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видів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імунодефіциту, </w:t>
      </w:r>
      <w:r w:rsidR="00340738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що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можуть бути наслідком вроджених чи набутих станів</w:t>
      </w:r>
      <w:r w:rsidR="00610C6E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або ятрогенного втручання і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лише деякі з </w:t>
      </w:r>
      <w:r w:rsidR="00610C6E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них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можуть впливати на імунну відповідь на певний тип вакцини, не рекомендується проводити випробування, які оцінюють безпеку, </w:t>
      </w:r>
      <w:proofErr w:type="spellStart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імуногенність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або ефективність у широких верствах населення з імунодефіцитом.</w:t>
      </w:r>
    </w:p>
    <w:p w14:paraId="25453D82" w14:textId="40389A0D" w:rsidR="00896EAB" w:rsidRPr="00410A44" w:rsidRDefault="00B77287" w:rsidP="00FB63AA">
      <w:pPr>
        <w:spacing w:after="0" w:line="360" w:lineRule="auto"/>
        <w:ind w:firstLine="720"/>
        <w:jc w:val="both"/>
        <w:rPr>
          <w:rStyle w:val="ad"/>
          <w:rFonts w:ascii="Times New Roman" w:hAnsi="Times New Roman" w:cs="Times New Roman"/>
          <w:i w:val="0"/>
          <w:color w:val="4472C4" w:themeColor="accent5"/>
          <w:sz w:val="24"/>
          <w:szCs w:val="24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У в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ипробування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х, призначених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для обґрунтування рекомендацій щодо доз для </w:t>
      </w:r>
      <w:proofErr w:type="spellStart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суб</w:t>
      </w:r>
      <w:r w:rsidR="002663B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ʼ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єктів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імунодефіцитом, </w:t>
      </w: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слід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планувати залучення</w:t>
      </w:r>
      <w:r w:rsidR="004B4D49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чі</w:t>
      </w:r>
      <w:r w:rsidR="002663B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тко визначених </w:t>
      </w:r>
      <w:proofErr w:type="spellStart"/>
      <w:r w:rsidR="002663BA" w:rsidRPr="00340738">
        <w:rPr>
          <w:rStyle w:val="ad"/>
          <w:rFonts w:ascii="Times New Roman" w:hAnsi="Times New Roman" w:cs="Times New Roman"/>
          <w:i w:val="0"/>
          <w:sz w:val="28"/>
          <w:szCs w:val="28"/>
        </w:rPr>
        <w:t>субпопуляцій</w:t>
      </w:r>
      <w:proofErr w:type="spellEnd"/>
      <w:r w:rsidR="002663B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2663BA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субʼ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єктів</w:t>
      </w:r>
      <w:proofErr w:type="spellEnd"/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з імунодефіцитом, </w:t>
      </w:r>
      <w:r w:rsidR="00BE0DEC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>відібраних з урахуванням тих факторів,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які з найбільшою ймовірністю можуть вплинути на імунну відповідь на конкретну вакцину. Якщо не існує чітко визначеного </w:t>
      </w:r>
      <w:r w:rsidR="00410A44" w:rsidRPr="00674BDA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ICP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який можна застосувати до </w:t>
      </w:r>
      <w:r w:rsidR="00686326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отриманих </w:t>
      </w:r>
      <w:r w:rsidR="00896EAB"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даних, </w:t>
      </w:r>
      <w:r w:rsidR="00340738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кінцев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ою метою таких випробувань буде визначення </w:t>
      </w:r>
      <w:r w:rsidR="00686326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доз</w:t>
      </w:r>
      <w:r w:rsidR="009F5A73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ування</w:t>
      </w:r>
      <w:r w:rsidR="00896EAB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9F5A73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яке забезпечує</w:t>
      </w:r>
      <w:r w:rsidR="00FB63AA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досяг</w:t>
      </w:r>
      <w:r w:rsidR="009F5A73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нення</w:t>
      </w:r>
      <w:r w:rsidR="00FB63AA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імунних відповідей, </w:t>
      </w:r>
      <w:r w:rsidR="00340738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порівнянних</w:t>
      </w:r>
      <w:r w:rsidR="00FB63AA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40738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і</w:t>
      </w:r>
      <w:r w:rsidR="00FB63AA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 тими, що спостерігаються </w:t>
      </w:r>
      <w:r w:rsidR="00340738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в</w:t>
      </w:r>
      <w:r w:rsidR="00FB63AA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5D29A6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імунокомпетентних</w:t>
      </w:r>
      <w:proofErr w:type="spellEnd"/>
      <w:r w:rsidR="005D29A6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91929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суб’єктів</w:t>
      </w:r>
      <w:r w:rsidR="009F5A73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>.</w:t>
      </w:r>
      <w:r w:rsidR="00391929"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6C555C45" w14:textId="2EDBD5D3" w:rsidR="00563808" w:rsidRPr="00B02BAD" w:rsidRDefault="00077DD4" w:rsidP="004B4D4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0A44">
        <w:rPr>
          <w:rFonts w:ascii="Times New Roman" w:hAnsi="Times New Roman" w:cs="Times New Roman"/>
          <w:sz w:val="28"/>
          <w:szCs w:val="28"/>
        </w:rPr>
        <w:t xml:space="preserve">Вивчення всіх </w:t>
      </w:r>
      <w:proofErr w:type="spellStart"/>
      <w:r w:rsidRPr="00410A44">
        <w:rPr>
          <w:rFonts w:ascii="Times New Roman" w:hAnsi="Times New Roman" w:cs="Times New Roman"/>
          <w:sz w:val="28"/>
          <w:szCs w:val="28"/>
        </w:rPr>
        <w:t>імунодефіцитних</w:t>
      </w:r>
      <w:proofErr w:type="spellEnd"/>
      <w:r w:rsidRPr="00410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A44">
        <w:rPr>
          <w:rFonts w:ascii="Times New Roman" w:hAnsi="Times New Roman" w:cs="Times New Roman"/>
          <w:sz w:val="28"/>
          <w:szCs w:val="28"/>
        </w:rPr>
        <w:t>субпопуляцій</w:t>
      </w:r>
      <w:proofErr w:type="spellEnd"/>
      <w:r w:rsidRPr="00410A44">
        <w:rPr>
          <w:rFonts w:ascii="Times New Roman" w:hAnsi="Times New Roman" w:cs="Times New Roman"/>
          <w:sz w:val="28"/>
          <w:szCs w:val="28"/>
        </w:rPr>
        <w:t xml:space="preserve"> не</w:t>
      </w:r>
      <w:r w:rsidR="004B4D49" w:rsidRPr="00410A44">
        <w:rPr>
          <w:rFonts w:ascii="Times New Roman" w:hAnsi="Times New Roman" w:cs="Times New Roman"/>
          <w:sz w:val="28"/>
          <w:szCs w:val="28"/>
        </w:rPr>
        <w:t xml:space="preserve"> є </w:t>
      </w:r>
      <w:r w:rsidRPr="00410A44">
        <w:rPr>
          <w:rFonts w:ascii="Times New Roman" w:hAnsi="Times New Roman" w:cs="Times New Roman"/>
          <w:sz w:val="28"/>
          <w:szCs w:val="28"/>
        </w:rPr>
        <w:t>можлив</w:t>
      </w:r>
      <w:r w:rsidR="004B4D49" w:rsidRPr="00410A44">
        <w:rPr>
          <w:rFonts w:ascii="Times New Roman" w:hAnsi="Times New Roman" w:cs="Times New Roman"/>
          <w:sz w:val="28"/>
          <w:szCs w:val="28"/>
        </w:rPr>
        <w:t>им</w:t>
      </w:r>
      <w:r w:rsidRPr="00410A44">
        <w:rPr>
          <w:rFonts w:ascii="Times New Roman" w:hAnsi="Times New Roman" w:cs="Times New Roman"/>
          <w:sz w:val="24"/>
          <w:szCs w:val="24"/>
        </w:rPr>
        <w:t>.</w:t>
      </w:r>
      <w:r w:rsidRPr="00410A44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53B13" w:rsidRPr="00410A44">
        <w:rPr>
          <w:rFonts w:ascii="Times New Roman" w:hAnsi="Times New Roman" w:cs="Times New Roman"/>
          <w:sz w:val="28"/>
          <w:szCs w:val="28"/>
        </w:rPr>
        <w:t>Я</w:t>
      </w:r>
      <w:r w:rsidR="00563808" w:rsidRPr="00410A44">
        <w:rPr>
          <w:rFonts w:ascii="Times New Roman" w:hAnsi="Times New Roman" w:cs="Times New Roman"/>
          <w:sz w:val="28"/>
          <w:szCs w:val="28"/>
        </w:rPr>
        <w:t xml:space="preserve">кою мірою можна рекомендувати ту чи іншу </w:t>
      </w:r>
      <w:proofErr w:type="spellStart"/>
      <w:r w:rsidR="00563808" w:rsidRPr="00410A44">
        <w:rPr>
          <w:rFonts w:ascii="Times New Roman" w:hAnsi="Times New Roman" w:cs="Times New Roman"/>
          <w:sz w:val="28"/>
          <w:szCs w:val="28"/>
        </w:rPr>
        <w:t>позологію</w:t>
      </w:r>
      <w:proofErr w:type="spellEnd"/>
      <w:r w:rsidR="00563808" w:rsidRPr="00410A44">
        <w:rPr>
          <w:rFonts w:ascii="Times New Roman" w:hAnsi="Times New Roman" w:cs="Times New Roman"/>
          <w:sz w:val="28"/>
          <w:szCs w:val="28"/>
        </w:rPr>
        <w:t xml:space="preserve"> за межами конкретної популяції, в якій вона була досліджена, по</w:t>
      </w:r>
      <w:r w:rsidR="00653B13" w:rsidRPr="00410A44">
        <w:rPr>
          <w:rFonts w:ascii="Times New Roman" w:hAnsi="Times New Roman" w:cs="Times New Roman"/>
          <w:sz w:val="28"/>
          <w:szCs w:val="28"/>
        </w:rPr>
        <w:t xml:space="preserve">трібно визначати </w:t>
      </w:r>
      <w:r w:rsidR="00563808" w:rsidRPr="00410A44">
        <w:rPr>
          <w:rFonts w:ascii="Times New Roman" w:hAnsi="Times New Roman" w:cs="Times New Roman"/>
          <w:sz w:val="28"/>
          <w:szCs w:val="28"/>
        </w:rPr>
        <w:t>на</w:t>
      </w:r>
      <w:r w:rsidR="00563808" w:rsidRPr="00B02BAD">
        <w:rPr>
          <w:rFonts w:ascii="Times New Roman" w:hAnsi="Times New Roman" w:cs="Times New Roman"/>
          <w:sz w:val="28"/>
          <w:szCs w:val="28"/>
        </w:rPr>
        <w:t xml:space="preserve"> основі того, що відомо про відносну важливість різних імунологічних параметрів для захисту.</w:t>
      </w:r>
    </w:p>
    <w:p w14:paraId="21C1BE2D" w14:textId="77777777" w:rsidR="00302ADA" w:rsidRPr="00B02BAD" w:rsidRDefault="00302ADA">
      <w:pPr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B02BAD">
        <w:rPr>
          <w:rStyle w:val="ad"/>
          <w:rFonts w:ascii="Times New Roman" w:hAnsi="Times New Roman" w:cs="Times New Roman"/>
          <w:i w:val="0"/>
          <w:sz w:val="28"/>
          <w:szCs w:val="28"/>
        </w:rPr>
        <w:br w:type="page"/>
      </w:r>
    </w:p>
    <w:p w14:paraId="20A9889C" w14:textId="77777777" w:rsidR="00B162C4" w:rsidRPr="00B02BAD" w:rsidRDefault="00B162C4" w:rsidP="00A463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BAD">
        <w:rPr>
          <w:rFonts w:ascii="Times New Roman" w:hAnsi="Times New Roman" w:cs="Times New Roman"/>
          <w:b/>
          <w:sz w:val="28"/>
          <w:szCs w:val="28"/>
        </w:rPr>
        <w:lastRenderedPageBreak/>
        <w:t>ДОДАТОК</w:t>
      </w:r>
      <w:r w:rsidR="00446D17" w:rsidRPr="00B02B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7F8E" w:rsidRPr="00B02BAD">
        <w:rPr>
          <w:rFonts w:ascii="Times New Roman" w:hAnsi="Times New Roman" w:cs="Times New Roman"/>
          <w:b/>
          <w:sz w:val="28"/>
          <w:szCs w:val="28"/>
        </w:rPr>
        <w:t>А</w:t>
      </w:r>
    </w:p>
    <w:p w14:paraId="22EA8E5B" w14:textId="77777777" w:rsidR="00B162C4" w:rsidRPr="00B02BAD" w:rsidRDefault="00B162C4" w:rsidP="00B16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BAD">
        <w:rPr>
          <w:rFonts w:ascii="Times New Roman" w:hAnsi="Times New Roman" w:cs="Times New Roman"/>
          <w:b/>
          <w:sz w:val="28"/>
          <w:szCs w:val="28"/>
        </w:rPr>
        <w:t>(довідковий)</w:t>
      </w:r>
    </w:p>
    <w:p w14:paraId="1B64100E" w14:textId="77777777" w:rsidR="00B162C4" w:rsidRPr="00B02BAD" w:rsidRDefault="00B162C4" w:rsidP="00B162C4">
      <w:pPr>
        <w:spacing w:after="28"/>
        <w:ind w:left="62"/>
        <w:jc w:val="center"/>
        <w:rPr>
          <w:rFonts w:ascii="Times New Roman" w:hAnsi="Times New Roman" w:cs="Times New Roman"/>
          <w:sz w:val="28"/>
          <w:szCs w:val="28"/>
        </w:rPr>
      </w:pPr>
    </w:p>
    <w:p w14:paraId="68C89824" w14:textId="77777777" w:rsidR="00B162C4" w:rsidRPr="00B02BAD" w:rsidRDefault="00B162C4" w:rsidP="00B162C4">
      <w:pPr>
        <w:pStyle w:val="1"/>
        <w:jc w:val="center"/>
      </w:pPr>
      <w:r w:rsidRPr="00B02BAD">
        <w:t>БІБЛІОГРАФІЯ</w:t>
      </w:r>
    </w:p>
    <w:p w14:paraId="7281799D" w14:textId="77777777" w:rsidR="00B162C4" w:rsidRPr="00B02BAD" w:rsidRDefault="00B162C4" w:rsidP="0015677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B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Закон України «Про лікарські засоби». </w:t>
      </w:r>
    </w:p>
    <w:p w14:paraId="6C236263" w14:textId="77777777" w:rsidR="00B162C4" w:rsidRPr="00B02BAD" w:rsidRDefault="00B162C4" w:rsidP="00156779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2B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Наказ Міністерства охорони здоров’я України від 23 вересня 2009 </w:t>
      </w:r>
      <w:r w:rsidRPr="00B02BAD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року</w:t>
      </w:r>
      <w:r w:rsidRPr="00B02B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690 (зі змінами) «Про затвердження Порядку проведення клінічних випробувань лікарських засобів та експертизи матеріалів клінічних випробувань і Типового положення про комісії з питань етики», зареєстрований в Міністерстві юстиції України від 29 жовтня 2009</w:t>
      </w:r>
      <w:r w:rsidRPr="00B02BAD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року</w:t>
      </w:r>
      <w:r w:rsidRPr="00B02B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 № 1010/17026.</w:t>
      </w:r>
    </w:p>
    <w:p w14:paraId="24824E9A" w14:textId="2134E2BC" w:rsidR="00B162C4" w:rsidRPr="00504BFA" w:rsidRDefault="00B162C4" w:rsidP="00156779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2B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Настанова СТ-Н МОЗУ 42-7.0:2008</w:t>
      </w:r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6D3FC8"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—</w:t>
      </w:r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Лікарські зас</w:t>
      </w:r>
      <w:r w:rsidR="006944CD"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оби. Належна клінічна практика</w:t>
      </w:r>
      <w:r w:rsidR="006D3FC8"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944CD"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/</w:t>
      </w:r>
      <w:r w:rsidR="006D3FC8"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В. Мальцев, М. Ляпунов, Т. </w:t>
      </w:r>
      <w:proofErr w:type="spellStart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Бухтіарова</w:t>
      </w:r>
      <w:proofErr w:type="spellEnd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ін. </w:t>
      </w:r>
      <w:r w:rsidR="006D3FC8"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—</w:t>
      </w:r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Київ, МОЗ України, 2009.</w:t>
      </w:r>
    </w:p>
    <w:p w14:paraId="360E2D4F" w14:textId="368EC2F4" w:rsidR="00B162C4" w:rsidRPr="00504BFA" w:rsidRDefault="00B162C4" w:rsidP="00156779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ДСТУ 1.5-20</w:t>
      </w:r>
      <w:r w:rsidR="006944CD"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15</w:t>
      </w:r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6D3FC8"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—</w:t>
      </w:r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Національна стандартизація. Правила побудови, викладання, оформлення та вимоги до змісту нормативних документів</w:t>
      </w:r>
      <w:r w:rsidR="006D3FC8"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/</w:t>
      </w:r>
      <w:r w:rsidR="006D3FC8"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І.</w:t>
      </w:r>
      <w:r w:rsidR="006D3FC8"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proofErr w:type="spellStart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Аширова</w:t>
      </w:r>
      <w:proofErr w:type="spellEnd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О. Брянська, Є. Козир, Я. Юзьків. </w:t>
      </w:r>
      <w:r w:rsidR="006D3FC8"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—</w:t>
      </w:r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Київ, Держспоживстандарт України, 2003.</w:t>
      </w:r>
    </w:p>
    <w:p w14:paraId="58ECEE7D" w14:textId="7F51EE71" w:rsidR="00B162C4" w:rsidRPr="00504BFA" w:rsidRDefault="00B162C4" w:rsidP="00156779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ДСТУ 1.7-2015. </w:t>
      </w:r>
      <w:r w:rsidR="006D3FC8"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—</w:t>
      </w:r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04BFA">
        <w:rPr>
          <w:rFonts w:ascii="Times New Roman" w:hAnsi="Times New Roman" w:cs="Times New Roman"/>
          <w:color w:val="000000"/>
          <w:sz w:val="28"/>
        </w:rPr>
        <w:t>Національна стандартизація. Правила та методи прийняття міжнародних і регіональних нормативних документів</w:t>
      </w:r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D3FC8"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—</w:t>
      </w:r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Київ, ДП «Український науково-дослідний і навчальний центр стандартизації, сертифікації та якості», 2015.</w:t>
      </w:r>
    </w:p>
    <w:p w14:paraId="1486137F" w14:textId="35E71A1F" w:rsidR="00B162C4" w:rsidRPr="00504BFA" w:rsidRDefault="00E27ADD" w:rsidP="0015677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04BFA">
        <w:rPr>
          <w:rFonts w:ascii="Times New Roman" w:hAnsi="Times New Roman"/>
          <w:sz w:val="28"/>
          <w:szCs w:val="28"/>
        </w:rPr>
        <w:t xml:space="preserve">EMEA/CHMP/VWP/164653/05 </w:t>
      </w:r>
      <w:proofErr w:type="spellStart"/>
      <w:r w:rsidRPr="00504BFA">
        <w:rPr>
          <w:rFonts w:ascii="Times New Roman" w:hAnsi="Times New Roman"/>
          <w:sz w:val="28"/>
          <w:szCs w:val="28"/>
        </w:rPr>
        <w:t>Rev</w:t>
      </w:r>
      <w:proofErr w:type="spellEnd"/>
      <w:r w:rsidRPr="00504BFA">
        <w:rPr>
          <w:rFonts w:ascii="Times New Roman" w:hAnsi="Times New Roman"/>
          <w:sz w:val="28"/>
          <w:szCs w:val="28"/>
        </w:rPr>
        <w:t>. 1 «</w:t>
      </w:r>
      <w:proofErr w:type="spellStart"/>
      <w:r w:rsidRPr="00504BFA">
        <w:rPr>
          <w:rFonts w:ascii="Times New Roman" w:hAnsi="Times New Roman"/>
          <w:sz w:val="28"/>
          <w:szCs w:val="28"/>
        </w:rPr>
        <w:t>Guideline</w:t>
      </w:r>
      <w:proofErr w:type="spellEnd"/>
      <w:r w:rsidRPr="00504B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/>
          <w:sz w:val="28"/>
          <w:szCs w:val="28"/>
        </w:rPr>
        <w:t>on</w:t>
      </w:r>
      <w:proofErr w:type="spellEnd"/>
      <w:r w:rsidRPr="00504B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/>
          <w:sz w:val="28"/>
          <w:szCs w:val="28"/>
        </w:rPr>
        <w:t>clinical</w:t>
      </w:r>
      <w:proofErr w:type="spellEnd"/>
      <w:r w:rsidRPr="00504B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/>
          <w:sz w:val="28"/>
          <w:szCs w:val="28"/>
        </w:rPr>
        <w:t>evaluation</w:t>
      </w:r>
      <w:proofErr w:type="spellEnd"/>
      <w:r w:rsidRPr="00504B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/>
          <w:sz w:val="28"/>
          <w:szCs w:val="28"/>
        </w:rPr>
        <w:t>of</w:t>
      </w:r>
      <w:proofErr w:type="spellEnd"/>
      <w:r w:rsidRPr="00504B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/>
          <w:sz w:val="28"/>
          <w:szCs w:val="28"/>
        </w:rPr>
        <w:t>vaccines</w:t>
      </w:r>
      <w:proofErr w:type="spellEnd"/>
      <w:r w:rsidRPr="00504BFA">
        <w:rPr>
          <w:rFonts w:ascii="Times New Roman" w:hAnsi="Times New Roman"/>
          <w:sz w:val="28"/>
          <w:szCs w:val="28"/>
        </w:rPr>
        <w:t xml:space="preserve"> </w:t>
      </w:r>
      <w:r w:rsidR="006D3FC8" w:rsidRPr="00504BFA">
        <w:rPr>
          <w:rFonts w:ascii="Times New Roman" w:hAnsi="Times New Roman"/>
          <w:sz w:val="28"/>
          <w:szCs w:val="28"/>
        </w:rPr>
        <w:t>—</w:t>
      </w:r>
      <w:r w:rsidRPr="00504B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2979" w:rsidRPr="00504BFA">
        <w:rPr>
          <w:rFonts w:ascii="Times New Roman" w:hAnsi="Times New Roman"/>
          <w:sz w:val="28"/>
          <w:szCs w:val="28"/>
        </w:rPr>
        <w:t>August</w:t>
      </w:r>
      <w:proofErr w:type="spellEnd"/>
      <w:r w:rsidRPr="00504BFA">
        <w:rPr>
          <w:rFonts w:ascii="Times New Roman" w:hAnsi="Times New Roman"/>
          <w:sz w:val="28"/>
          <w:szCs w:val="28"/>
        </w:rPr>
        <w:t xml:space="preserve"> 2023» (Керівництво щодо клінічної оцінки вакцин </w:t>
      </w:r>
      <w:r w:rsidR="006D3FC8" w:rsidRPr="00504BFA">
        <w:rPr>
          <w:rFonts w:ascii="Times New Roman" w:hAnsi="Times New Roman"/>
          <w:sz w:val="28"/>
          <w:szCs w:val="28"/>
        </w:rPr>
        <w:t>—</w:t>
      </w:r>
      <w:r w:rsidRPr="00504BFA">
        <w:rPr>
          <w:rFonts w:ascii="Times New Roman" w:hAnsi="Times New Roman"/>
          <w:sz w:val="28"/>
          <w:szCs w:val="28"/>
        </w:rPr>
        <w:t xml:space="preserve"> </w:t>
      </w:r>
      <w:r w:rsidR="003F2979" w:rsidRPr="00504BFA">
        <w:rPr>
          <w:rFonts w:ascii="Times New Roman" w:hAnsi="Times New Roman"/>
          <w:sz w:val="28"/>
          <w:szCs w:val="28"/>
        </w:rPr>
        <w:t>серпень</w:t>
      </w:r>
      <w:r w:rsidRPr="00504BFA">
        <w:rPr>
          <w:rFonts w:ascii="Times New Roman" w:hAnsi="Times New Roman"/>
          <w:sz w:val="28"/>
          <w:szCs w:val="28"/>
        </w:rPr>
        <w:t xml:space="preserve"> 2023)</w:t>
      </w:r>
      <w:r w:rsidR="00B162C4"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14:paraId="76A699B1" w14:textId="4858F2FC" w:rsidR="00B162C4" w:rsidRPr="00504BFA" w:rsidRDefault="00B162C4" w:rsidP="0015677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BFA">
        <w:rPr>
          <w:rFonts w:ascii="Times New Roman" w:eastAsia="Calibri" w:hAnsi="Times New Roman" w:cs="Times New Roman"/>
          <w:sz w:val="28"/>
          <w:szCs w:val="28"/>
        </w:rPr>
        <w:t>CPMP/EWP/1776/99 «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Guideline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Missing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Confirmatory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Trials</w:t>
      </w:r>
      <w:r w:rsidR="00C746D3" w:rsidRPr="00504BFA">
        <w:rPr>
          <w:rFonts w:ascii="Times New Roman" w:hAnsi="Times New Roman" w:cs="Times New Roman"/>
          <w:sz w:val="28"/>
          <w:szCs w:val="28"/>
        </w:rPr>
        <w:t> </w:t>
      </w:r>
      <w:r w:rsidR="006D3FC8" w:rsidRPr="00504BFA">
        <w:rPr>
          <w:rFonts w:ascii="Times New Roman" w:hAnsi="Times New Roman" w:cs="Times New Roman"/>
          <w:sz w:val="28"/>
          <w:szCs w:val="28"/>
        </w:rPr>
        <w:t>—</w:t>
      </w:r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July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2010»</w:t>
      </w:r>
      <w:r w:rsidRPr="00504BFA">
        <w:t xml:space="preserve"> </w:t>
      </w: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(Важливі аспекти відсутніх даних </w:t>
      </w:r>
      <w:r w:rsidR="006D3FC8" w:rsidRPr="00504BFA">
        <w:rPr>
          <w:rFonts w:ascii="Times New Roman" w:eastAsia="Calibri" w:hAnsi="Times New Roman" w:cs="Times New Roman"/>
          <w:sz w:val="28"/>
          <w:szCs w:val="28"/>
        </w:rPr>
        <w:t>—</w:t>
      </w: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липень 2010).</w:t>
      </w:r>
    </w:p>
    <w:p w14:paraId="70632218" w14:textId="43DCC7B2" w:rsidR="00B162C4" w:rsidRPr="00504BFA" w:rsidRDefault="00B162C4" w:rsidP="0015677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CPMP/EWP/2330/99 «</w:t>
      </w:r>
      <w:proofErr w:type="spellStart"/>
      <w:r w:rsidRPr="00504BFA">
        <w:rPr>
          <w:rFonts w:ascii="Times New Roman" w:eastAsia="Calibri" w:hAnsi="Times New Roman" w:cs="Times New Roman"/>
          <w:sz w:val="28"/>
          <w:szCs w:val="28"/>
        </w:rPr>
        <w:t>Points</w:t>
      </w:r>
      <w:proofErr w:type="spellEnd"/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eastAsia="Calibri" w:hAnsi="Times New Roman" w:cs="Times New Roman"/>
          <w:sz w:val="28"/>
          <w:szCs w:val="28"/>
        </w:rPr>
        <w:t>to</w:t>
      </w:r>
      <w:proofErr w:type="spellEnd"/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eastAsia="Calibri" w:hAnsi="Times New Roman" w:cs="Times New Roman"/>
          <w:sz w:val="28"/>
          <w:szCs w:val="28"/>
        </w:rPr>
        <w:t>consider</w:t>
      </w:r>
      <w:proofErr w:type="spellEnd"/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eastAsia="Calibri" w:hAnsi="Times New Roman" w:cs="Times New Roman"/>
          <w:sz w:val="28"/>
          <w:szCs w:val="28"/>
        </w:rPr>
        <w:t>on</w:t>
      </w:r>
      <w:proofErr w:type="spellEnd"/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eastAsia="Calibri" w:hAnsi="Times New Roman" w:cs="Times New Roman"/>
          <w:sz w:val="28"/>
          <w:szCs w:val="28"/>
        </w:rPr>
        <w:t>application</w:t>
      </w:r>
      <w:proofErr w:type="spellEnd"/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eastAsia="Calibri" w:hAnsi="Times New Roman" w:cs="Times New Roman"/>
          <w:sz w:val="28"/>
          <w:szCs w:val="28"/>
        </w:rPr>
        <w:t>with</w:t>
      </w:r>
      <w:proofErr w:type="spellEnd"/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1. </w:t>
      </w:r>
      <w:proofErr w:type="spellStart"/>
      <w:r w:rsidRPr="00504BFA">
        <w:rPr>
          <w:rFonts w:ascii="Times New Roman" w:eastAsia="Calibri" w:hAnsi="Times New Roman" w:cs="Times New Roman"/>
          <w:sz w:val="28"/>
          <w:szCs w:val="28"/>
        </w:rPr>
        <w:t>Meta-analyses</w:t>
      </w:r>
      <w:proofErr w:type="spellEnd"/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; 2. </w:t>
      </w:r>
      <w:proofErr w:type="spellStart"/>
      <w:r w:rsidRPr="00504BFA">
        <w:rPr>
          <w:rFonts w:ascii="Times New Roman" w:eastAsia="Calibri" w:hAnsi="Times New Roman" w:cs="Times New Roman"/>
          <w:sz w:val="28"/>
          <w:szCs w:val="28"/>
        </w:rPr>
        <w:t>One</w:t>
      </w:r>
      <w:proofErr w:type="spellEnd"/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eastAsia="Calibri" w:hAnsi="Times New Roman" w:cs="Times New Roman"/>
          <w:sz w:val="28"/>
          <w:szCs w:val="28"/>
        </w:rPr>
        <w:t>pivotal</w:t>
      </w:r>
      <w:proofErr w:type="spellEnd"/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eastAsia="Calibri" w:hAnsi="Times New Roman" w:cs="Times New Roman"/>
          <w:sz w:val="28"/>
          <w:szCs w:val="28"/>
        </w:rPr>
        <w:t>study</w:t>
      </w:r>
      <w:proofErr w:type="spellEnd"/>
      <w:r w:rsidRPr="00504BFA">
        <w:t xml:space="preserve"> </w:t>
      </w:r>
      <w:r w:rsidR="006D3FC8" w:rsidRPr="00504BFA">
        <w:rPr>
          <w:rFonts w:ascii="Times New Roman" w:hAnsi="Times New Roman" w:cs="Times New Roman"/>
          <w:sz w:val="24"/>
          <w:szCs w:val="24"/>
        </w:rPr>
        <w:t>—</w:t>
      </w:r>
      <w:r w:rsidRPr="00504BFA"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2001»</w:t>
      </w: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(Важливі аспекти застосування 1. </w:t>
      </w:r>
      <w:proofErr w:type="spellStart"/>
      <w:r w:rsidRPr="00504BFA">
        <w:rPr>
          <w:rFonts w:ascii="Times New Roman" w:eastAsia="Calibri" w:hAnsi="Times New Roman" w:cs="Times New Roman"/>
          <w:sz w:val="28"/>
          <w:szCs w:val="28"/>
        </w:rPr>
        <w:t>Метааналізів</w:t>
      </w:r>
      <w:proofErr w:type="spellEnd"/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2. Одного базового дослідження </w:t>
      </w:r>
      <w:r w:rsidR="006D3FC8" w:rsidRPr="00504BFA">
        <w:rPr>
          <w:rFonts w:ascii="Times New Roman" w:eastAsia="Calibri" w:hAnsi="Times New Roman" w:cs="Times New Roman"/>
          <w:sz w:val="28"/>
          <w:szCs w:val="28"/>
        </w:rPr>
        <w:t>—</w:t>
      </w: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травень 2001).</w:t>
      </w:r>
    </w:p>
    <w:p w14:paraId="261FEA3B" w14:textId="48A4D8A1" w:rsidR="00B162C4" w:rsidRPr="00504BFA" w:rsidRDefault="00B162C4" w:rsidP="0015677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BF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CPMP/EWP/482/99 «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</w:rPr>
        <w:t>Points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</w:rPr>
        <w:t>Consider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</w:rPr>
        <w:t>on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</w:rPr>
        <w:t>Switching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</w:rPr>
        <w:t>between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</w:rPr>
        <w:t>Superiority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</w:rPr>
        <w:t>non-inferiority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5D61" w:rsidRPr="00504BFA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Pr="00504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July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2000»</w:t>
      </w:r>
      <w:r w:rsidRPr="00504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4BFA">
        <w:rPr>
          <w:rFonts w:ascii="Times New Roman" w:eastAsia="Calibri" w:hAnsi="Times New Roman" w:cs="Times New Roman"/>
          <w:sz w:val="28"/>
          <w:szCs w:val="28"/>
        </w:rPr>
        <w:t>(Важливі аспекти переключення з переваги на не</w:t>
      </w:r>
      <w:r w:rsidR="009E5D61" w:rsidRPr="00504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меншу ефективність </w:t>
      </w:r>
      <w:r w:rsidR="009E5D61" w:rsidRPr="00504BFA">
        <w:rPr>
          <w:rFonts w:ascii="Times New Roman" w:eastAsia="Calibri" w:hAnsi="Times New Roman" w:cs="Times New Roman"/>
          <w:sz w:val="28"/>
          <w:szCs w:val="28"/>
        </w:rPr>
        <w:t>—</w:t>
      </w: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липень 2000).</w:t>
      </w:r>
    </w:p>
    <w:p w14:paraId="3169A87C" w14:textId="573F6C92" w:rsidR="00B162C4" w:rsidRPr="00504BFA" w:rsidRDefault="00B162C4" w:rsidP="0015677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CPMP/EWP/908/99 «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Points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consider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multiplicity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issues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trials</w:t>
      </w:r>
      <w:proofErr w:type="spellEnd"/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September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2002»</w:t>
      </w:r>
      <w:r w:rsidRPr="00504BFA">
        <w:t xml:space="preserve"> </w:t>
      </w: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(Важливі аспекти питань множинності порівнянь у клінічних випробуваннях </w:t>
      </w:r>
      <w:r w:rsidR="009E5D61" w:rsidRPr="00504BFA">
        <w:rPr>
          <w:rFonts w:ascii="Times New Roman" w:eastAsia="Calibri" w:hAnsi="Times New Roman" w:cs="Times New Roman"/>
          <w:sz w:val="28"/>
          <w:szCs w:val="28"/>
        </w:rPr>
        <w:t>—</w:t>
      </w: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вересень 2002).</w:t>
      </w:r>
    </w:p>
    <w:p w14:paraId="3D7168BA" w14:textId="3439CC43" w:rsidR="00B162C4" w:rsidRPr="00504BFA" w:rsidRDefault="00B162C4" w:rsidP="0015677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FA">
        <w:rPr>
          <w:rFonts w:ascii="Times New Roman" w:eastAsia="Calibri" w:hAnsi="Times New Roman" w:cs="Times New Roman"/>
          <w:sz w:val="28"/>
          <w:szCs w:val="28"/>
        </w:rPr>
        <w:t>CPMP/ICH/291/95 «</w:t>
      </w:r>
      <w:hyperlink r:id="rId16" w:tgtFrame="_blank" w:history="1">
        <w:r w:rsidRPr="00504BFA">
          <w:rPr>
            <w:rFonts w:ascii="Times New Roman" w:hAnsi="Times New Roman" w:cs="Times New Roman"/>
            <w:bCs/>
            <w:sz w:val="28"/>
            <w:szCs w:val="28"/>
          </w:rPr>
          <w:t xml:space="preserve">ICH: E 8: </w:t>
        </w:r>
        <w:proofErr w:type="spellStart"/>
        <w:r w:rsidRPr="00504BFA">
          <w:rPr>
            <w:rFonts w:ascii="Times New Roman" w:hAnsi="Times New Roman" w:cs="Times New Roman"/>
            <w:bCs/>
            <w:sz w:val="28"/>
            <w:szCs w:val="28"/>
          </w:rPr>
          <w:t>General</w:t>
        </w:r>
        <w:proofErr w:type="spellEnd"/>
        <w:r w:rsidRPr="00504BFA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 w:rsidRPr="00504BFA">
          <w:rPr>
            <w:rFonts w:ascii="Times New Roman" w:hAnsi="Times New Roman" w:cs="Times New Roman"/>
            <w:bCs/>
            <w:sz w:val="28"/>
            <w:szCs w:val="28"/>
          </w:rPr>
          <w:t>considerations</w:t>
        </w:r>
        <w:proofErr w:type="spellEnd"/>
        <w:r w:rsidRPr="00504BFA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 w:rsidRPr="00504BFA">
          <w:rPr>
            <w:rFonts w:ascii="Times New Roman" w:hAnsi="Times New Roman" w:cs="Times New Roman"/>
            <w:bCs/>
            <w:sz w:val="28"/>
            <w:szCs w:val="28"/>
          </w:rPr>
          <w:t>for</w:t>
        </w:r>
        <w:proofErr w:type="spellEnd"/>
        <w:r w:rsidRPr="00504BFA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 w:rsidRPr="00504BFA">
          <w:rPr>
            <w:rFonts w:ascii="Times New Roman" w:hAnsi="Times New Roman" w:cs="Times New Roman"/>
            <w:bCs/>
            <w:sz w:val="28"/>
            <w:szCs w:val="28"/>
          </w:rPr>
          <w:t>clinical</w:t>
        </w:r>
        <w:proofErr w:type="spellEnd"/>
        <w:r w:rsidRPr="00504BFA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 w:rsidRPr="00504BFA">
          <w:rPr>
            <w:rFonts w:ascii="Times New Roman" w:hAnsi="Times New Roman" w:cs="Times New Roman"/>
            <w:bCs/>
            <w:sz w:val="28"/>
            <w:szCs w:val="28"/>
          </w:rPr>
          <w:t>trials</w:t>
        </w:r>
        <w:proofErr w:type="spellEnd"/>
        <w:r w:rsidRPr="00504BFA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="009E5D61" w:rsidRPr="00504BFA">
          <w:rPr>
            <w:rFonts w:ascii="Times New Roman" w:hAnsi="Times New Roman" w:cs="Times New Roman"/>
            <w:bCs/>
            <w:sz w:val="28"/>
            <w:szCs w:val="28"/>
          </w:rPr>
          <w:t>—</w:t>
        </w:r>
        <w:r w:rsidRPr="00504BFA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 w:rsidRPr="00504BFA">
          <w:rPr>
            <w:rFonts w:ascii="Times New Roman" w:hAnsi="Times New Roman" w:cs="Times New Roman"/>
            <w:sz w:val="28"/>
            <w:szCs w:val="28"/>
          </w:rPr>
          <w:t>March</w:t>
        </w:r>
        <w:proofErr w:type="spellEnd"/>
        <w:r w:rsidRPr="00504BFA">
          <w:rPr>
            <w:rFonts w:ascii="Times New Roman" w:hAnsi="Times New Roman" w:cs="Times New Roman"/>
            <w:sz w:val="28"/>
            <w:szCs w:val="28"/>
          </w:rPr>
          <w:t xml:space="preserve"> 1998</w:t>
        </w:r>
        <w:r w:rsidRPr="00504BFA">
          <w:rPr>
            <w:rFonts w:ascii="Times New Roman" w:hAnsi="Times New Roman" w:cs="Times New Roman"/>
            <w:bCs/>
            <w:sz w:val="28"/>
            <w:szCs w:val="28"/>
          </w:rPr>
          <w:t xml:space="preserve">» </w:t>
        </w:r>
      </w:hyperlink>
      <w:r w:rsidRPr="00504BFA">
        <w:rPr>
          <w:rFonts w:ascii="Times New Roman" w:hAnsi="Times New Roman" w:cs="Times New Roman"/>
          <w:sz w:val="28"/>
          <w:szCs w:val="28"/>
        </w:rPr>
        <w:t xml:space="preserve">(Загальні питання щодо клінічних випробувань </w:t>
      </w:r>
      <w:r w:rsidR="009E5D61" w:rsidRPr="00504BFA">
        <w:rPr>
          <w:rFonts w:ascii="Times New Roman" w:hAnsi="Times New Roman" w:cs="Times New Roman"/>
          <w:sz w:val="28"/>
          <w:szCs w:val="28"/>
        </w:rPr>
        <w:t>—</w:t>
      </w:r>
      <w:r w:rsidRPr="00504BFA">
        <w:rPr>
          <w:rFonts w:ascii="Times New Roman" w:hAnsi="Times New Roman" w:cs="Times New Roman"/>
          <w:sz w:val="28"/>
          <w:szCs w:val="28"/>
        </w:rPr>
        <w:t xml:space="preserve"> березень 1998).</w:t>
      </w:r>
    </w:p>
    <w:p w14:paraId="42CB6C94" w14:textId="7DEDE5A3" w:rsidR="00B162C4" w:rsidRPr="00504BFA" w:rsidRDefault="00B162C4" w:rsidP="0015677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FA">
        <w:rPr>
          <w:rFonts w:ascii="Times New Roman" w:eastAsia="Calibri" w:hAnsi="Times New Roman" w:cs="Times New Roman"/>
          <w:sz w:val="28"/>
          <w:szCs w:val="28"/>
        </w:rPr>
        <w:t>CPMP/ICH/363/96 «ICH E:9</w:t>
      </w:r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tgtFrame="_blank" w:history="1">
        <w:r w:rsidRPr="00504BFA">
          <w:rPr>
            <w:rFonts w:ascii="Times New Roman" w:hAnsi="Times New Roman" w:cs="Times New Roman"/>
            <w:sz w:val="28"/>
            <w:szCs w:val="28"/>
          </w:rPr>
          <w:t xml:space="preserve">: </w:t>
        </w:r>
        <w:proofErr w:type="spellStart"/>
        <w:r w:rsidRPr="00504BFA">
          <w:rPr>
            <w:rFonts w:ascii="Times New Roman" w:hAnsi="Times New Roman" w:cs="Times New Roman"/>
            <w:sz w:val="28"/>
            <w:szCs w:val="28"/>
          </w:rPr>
          <w:t>Statistical</w:t>
        </w:r>
        <w:proofErr w:type="spellEnd"/>
        <w:r w:rsidRPr="00504BFA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04BFA">
          <w:rPr>
            <w:rFonts w:ascii="Times New Roman" w:hAnsi="Times New Roman" w:cs="Times New Roman"/>
            <w:sz w:val="28"/>
            <w:szCs w:val="28"/>
          </w:rPr>
          <w:t>principles</w:t>
        </w:r>
        <w:proofErr w:type="spellEnd"/>
        <w:r w:rsidRPr="00504BFA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04BFA">
          <w:rPr>
            <w:rFonts w:ascii="Times New Roman" w:hAnsi="Times New Roman" w:cs="Times New Roman"/>
            <w:sz w:val="28"/>
            <w:szCs w:val="28"/>
          </w:rPr>
          <w:t>for</w:t>
        </w:r>
        <w:proofErr w:type="spellEnd"/>
        <w:r w:rsidRPr="00504BFA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04BFA">
          <w:rPr>
            <w:rFonts w:ascii="Times New Roman" w:hAnsi="Times New Roman" w:cs="Times New Roman"/>
            <w:sz w:val="28"/>
            <w:szCs w:val="28"/>
          </w:rPr>
          <w:t>clinical</w:t>
        </w:r>
        <w:proofErr w:type="spellEnd"/>
        <w:r w:rsidRPr="00504BFA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04BFA">
          <w:rPr>
            <w:rFonts w:ascii="Times New Roman" w:hAnsi="Times New Roman" w:cs="Times New Roman"/>
            <w:sz w:val="28"/>
            <w:szCs w:val="28"/>
          </w:rPr>
          <w:t>trials</w:t>
        </w:r>
        <w:proofErr w:type="spellEnd"/>
        <w:r w:rsidRPr="00504BFA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9E5D61" w:rsidRPr="00504BFA">
        <w:rPr>
          <w:rFonts w:ascii="Times New Roman" w:hAnsi="Times New Roman" w:cs="Times New Roman"/>
          <w:sz w:val="28"/>
          <w:szCs w:val="28"/>
        </w:rPr>
        <w:t>—</w:t>
      </w:r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September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1998» (Статистичні принципи для клінічних випробувань </w:t>
      </w:r>
      <w:r w:rsidR="009E5D61" w:rsidRPr="00504BFA">
        <w:rPr>
          <w:rFonts w:ascii="Times New Roman" w:hAnsi="Times New Roman" w:cs="Times New Roman"/>
          <w:sz w:val="28"/>
          <w:szCs w:val="28"/>
        </w:rPr>
        <w:t>—</w:t>
      </w:r>
      <w:r w:rsidRPr="00504BFA">
        <w:rPr>
          <w:rFonts w:ascii="Times New Roman" w:hAnsi="Times New Roman" w:cs="Times New Roman"/>
          <w:sz w:val="28"/>
          <w:szCs w:val="28"/>
        </w:rPr>
        <w:t xml:space="preserve"> Примітка д</w:t>
      </w:r>
      <w:r w:rsidR="009E5D61" w:rsidRPr="00504BFA">
        <w:rPr>
          <w:rFonts w:ascii="Times New Roman" w:hAnsi="Times New Roman" w:cs="Times New Roman"/>
          <w:sz w:val="28"/>
          <w:szCs w:val="28"/>
        </w:rPr>
        <w:t>о</w:t>
      </w:r>
      <w:r w:rsidRPr="00504BFA">
        <w:rPr>
          <w:rFonts w:ascii="Times New Roman" w:hAnsi="Times New Roman" w:cs="Times New Roman"/>
          <w:sz w:val="28"/>
          <w:szCs w:val="28"/>
        </w:rPr>
        <w:t xml:space="preserve"> Керівництва щодо статистичних принципів для клінічних випробувань </w:t>
      </w:r>
      <w:r w:rsidR="009E5D61" w:rsidRPr="00504BFA">
        <w:rPr>
          <w:rFonts w:ascii="Times New Roman" w:hAnsi="Times New Roman" w:cs="Times New Roman"/>
          <w:sz w:val="28"/>
          <w:szCs w:val="28"/>
        </w:rPr>
        <w:t>—</w:t>
      </w:r>
      <w:r w:rsidRPr="00504BFA">
        <w:rPr>
          <w:rFonts w:ascii="Times New Roman" w:hAnsi="Times New Roman" w:cs="Times New Roman"/>
          <w:sz w:val="28"/>
          <w:szCs w:val="28"/>
        </w:rPr>
        <w:t xml:space="preserve"> вересень 1998).</w:t>
      </w:r>
    </w:p>
    <w:p w14:paraId="11114EC6" w14:textId="12A3283D" w:rsidR="00B162C4" w:rsidRPr="00504BFA" w:rsidRDefault="00B162C4" w:rsidP="0015677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CPMP/ICH/377/95 «ICH Е2А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</w:rPr>
        <w:t>Clinical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</w:rPr>
        <w:t>safety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</w:rPr>
        <w:t>data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</w:rPr>
        <w:t>management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</w:rPr>
        <w:t>definitions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</w:rPr>
        <w:t>standards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</w:rPr>
        <w:t>expedited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</w:rPr>
        <w:t>reporting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5D61" w:rsidRPr="00504BFA">
        <w:rPr>
          <w:rStyle w:val="10"/>
          <w:rFonts w:eastAsiaTheme="minorHAnsi"/>
          <w:b w:val="0"/>
        </w:rPr>
        <w:t>—</w:t>
      </w:r>
      <w:r w:rsidRPr="00504BFA">
        <w:rPr>
          <w:rStyle w:val="10"/>
          <w:rFonts w:eastAsiaTheme="minorHAnsi"/>
          <w:b w:val="0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June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1995</w:t>
      </w:r>
      <w:r w:rsidRPr="00504BF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(Управління даними щодо клінічної безпеки: визначення та стандарти для прискореної подачі повідомлень </w:t>
      </w:r>
      <w:r w:rsidR="009E5D61" w:rsidRPr="00504BFA">
        <w:rPr>
          <w:rFonts w:ascii="Times New Roman" w:eastAsia="Calibri" w:hAnsi="Times New Roman" w:cs="Times New Roman"/>
          <w:sz w:val="28"/>
          <w:szCs w:val="28"/>
        </w:rPr>
        <w:t>—</w:t>
      </w: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червень 1995). </w:t>
      </w:r>
    </w:p>
    <w:p w14:paraId="6007AFB6" w14:textId="76D21643" w:rsidR="00B162C4" w:rsidRPr="00504BFA" w:rsidRDefault="00B162C4" w:rsidP="0015677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CPMP/ICH/377/95 «</w:t>
      </w:r>
      <w:proofErr w:type="spellStart"/>
      <w:r w:rsidR="00EA2348" w:rsidRPr="00504BFA">
        <w:fldChar w:fldCharType="begin"/>
      </w:r>
      <w:r w:rsidR="00EA2348" w:rsidRPr="00504BFA">
        <w:instrText xml:space="preserve"> HYPERLINK "https://www.tga.gov.au/sites/default/files/ich37795.pdf" </w:instrText>
      </w:r>
      <w:r w:rsidR="00EA2348" w:rsidRPr="00504BFA">
        <w:fldChar w:fldCharType="separate"/>
      </w:r>
      <w:r w:rsidRPr="00504BFA">
        <w:rPr>
          <w:rStyle w:val="10"/>
          <w:rFonts w:eastAsiaTheme="minorHAnsi"/>
          <w:b w:val="0"/>
        </w:rPr>
        <w:t>Note</w:t>
      </w:r>
      <w:proofErr w:type="spellEnd"/>
      <w:r w:rsidRPr="00504BFA">
        <w:rPr>
          <w:rStyle w:val="10"/>
          <w:rFonts w:eastAsiaTheme="minorHAnsi"/>
          <w:b w:val="0"/>
        </w:rPr>
        <w:t xml:space="preserve"> </w:t>
      </w:r>
      <w:proofErr w:type="spellStart"/>
      <w:r w:rsidRPr="00504BFA">
        <w:rPr>
          <w:rStyle w:val="10"/>
          <w:rFonts w:eastAsiaTheme="minorHAnsi"/>
          <w:b w:val="0"/>
        </w:rPr>
        <w:t>for</w:t>
      </w:r>
      <w:proofErr w:type="spellEnd"/>
      <w:r w:rsidRPr="00504BFA">
        <w:rPr>
          <w:rStyle w:val="10"/>
          <w:rFonts w:eastAsiaTheme="minorHAnsi"/>
          <w:b w:val="0"/>
        </w:rPr>
        <w:t xml:space="preserve"> </w:t>
      </w:r>
      <w:proofErr w:type="spellStart"/>
      <w:r w:rsidRPr="00504BFA">
        <w:rPr>
          <w:rStyle w:val="10"/>
          <w:rFonts w:eastAsiaTheme="minorHAnsi"/>
          <w:b w:val="0"/>
        </w:rPr>
        <w:t>guidance</w:t>
      </w:r>
      <w:proofErr w:type="spellEnd"/>
      <w:r w:rsidRPr="00504BFA">
        <w:rPr>
          <w:rStyle w:val="10"/>
          <w:rFonts w:eastAsiaTheme="minorHAnsi"/>
          <w:b w:val="0"/>
        </w:rPr>
        <w:t xml:space="preserve"> </w:t>
      </w:r>
      <w:proofErr w:type="spellStart"/>
      <w:r w:rsidRPr="00504BFA">
        <w:rPr>
          <w:rStyle w:val="10"/>
          <w:rFonts w:eastAsiaTheme="minorHAnsi"/>
          <w:b w:val="0"/>
        </w:rPr>
        <w:t>on</w:t>
      </w:r>
      <w:proofErr w:type="spellEnd"/>
      <w:r w:rsidRPr="00504BFA">
        <w:rPr>
          <w:rStyle w:val="10"/>
          <w:rFonts w:eastAsiaTheme="minorHAnsi"/>
          <w:b w:val="0"/>
        </w:rPr>
        <w:t xml:space="preserve"> </w:t>
      </w:r>
      <w:proofErr w:type="spellStart"/>
      <w:r w:rsidRPr="00504BFA">
        <w:rPr>
          <w:rStyle w:val="10"/>
          <w:rFonts w:eastAsiaTheme="minorHAnsi"/>
          <w:b w:val="0"/>
        </w:rPr>
        <w:t>clinical</w:t>
      </w:r>
      <w:proofErr w:type="spellEnd"/>
      <w:r w:rsidRPr="00504BFA">
        <w:rPr>
          <w:rStyle w:val="10"/>
          <w:rFonts w:eastAsiaTheme="minorHAnsi"/>
          <w:b w:val="0"/>
        </w:rPr>
        <w:t xml:space="preserve"> </w:t>
      </w:r>
      <w:proofErr w:type="spellStart"/>
      <w:r w:rsidRPr="00504BFA">
        <w:rPr>
          <w:rStyle w:val="10"/>
          <w:rFonts w:eastAsiaTheme="minorHAnsi"/>
          <w:b w:val="0"/>
        </w:rPr>
        <w:t>safety</w:t>
      </w:r>
      <w:proofErr w:type="spellEnd"/>
      <w:r w:rsidRPr="00504BFA">
        <w:rPr>
          <w:rStyle w:val="10"/>
          <w:rFonts w:eastAsiaTheme="minorHAnsi"/>
          <w:b w:val="0"/>
        </w:rPr>
        <w:t xml:space="preserve"> </w:t>
      </w:r>
      <w:proofErr w:type="spellStart"/>
      <w:r w:rsidRPr="00504BFA">
        <w:rPr>
          <w:rStyle w:val="10"/>
          <w:rFonts w:eastAsiaTheme="minorHAnsi"/>
          <w:b w:val="0"/>
        </w:rPr>
        <w:t>data</w:t>
      </w:r>
      <w:proofErr w:type="spellEnd"/>
      <w:r w:rsidRPr="00504BFA">
        <w:rPr>
          <w:rStyle w:val="10"/>
          <w:rFonts w:eastAsiaTheme="minorHAnsi"/>
          <w:b w:val="0"/>
        </w:rPr>
        <w:t xml:space="preserve"> </w:t>
      </w:r>
      <w:proofErr w:type="spellStart"/>
      <w:r w:rsidRPr="00504BFA">
        <w:rPr>
          <w:rStyle w:val="10"/>
          <w:rFonts w:eastAsiaTheme="minorHAnsi"/>
          <w:b w:val="0"/>
        </w:rPr>
        <w:t>management</w:t>
      </w:r>
      <w:proofErr w:type="spellEnd"/>
      <w:r w:rsidRPr="00504BFA">
        <w:rPr>
          <w:rStyle w:val="10"/>
          <w:rFonts w:eastAsiaTheme="minorHAnsi"/>
          <w:b w:val="0"/>
        </w:rPr>
        <w:t xml:space="preserve">: </w:t>
      </w:r>
      <w:proofErr w:type="spellStart"/>
      <w:r w:rsidRPr="00504BFA">
        <w:rPr>
          <w:rStyle w:val="10"/>
          <w:rFonts w:eastAsiaTheme="minorHAnsi"/>
          <w:b w:val="0"/>
        </w:rPr>
        <w:t>definitions</w:t>
      </w:r>
      <w:proofErr w:type="spellEnd"/>
      <w:r w:rsidRPr="00504BFA">
        <w:rPr>
          <w:rStyle w:val="10"/>
          <w:rFonts w:eastAsiaTheme="minorHAnsi"/>
          <w:b w:val="0"/>
        </w:rPr>
        <w:t xml:space="preserve"> </w:t>
      </w:r>
      <w:proofErr w:type="spellStart"/>
      <w:r w:rsidRPr="00504BFA">
        <w:rPr>
          <w:rStyle w:val="10"/>
          <w:rFonts w:eastAsiaTheme="minorHAnsi"/>
          <w:b w:val="0"/>
        </w:rPr>
        <w:t>and</w:t>
      </w:r>
      <w:proofErr w:type="spellEnd"/>
      <w:r w:rsidRPr="00504BFA">
        <w:rPr>
          <w:rStyle w:val="10"/>
          <w:rFonts w:eastAsiaTheme="minorHAnsi"/>
          <w:b w:val="0"/>
        </w:rPr>
        <w:t xml:space="preserve"> </w:t>
      </w:r>
      <w:proofErr w:type="spellStart"/>
      <w:r w:rsidRPr="00504BFA">
        <w:rPr>
          <w:rStyle w:val="10"/>
          <w:rFonts w:eastAsiaTheme="minorHAnsi"/>
          <w:b w:val="0"/>
        </w:rPr>
        <w:t>standards</w:t>
      </w:r>
      <w:proofErr w:type="spellEnd"/>
      <w:r w:rsidRPr="00504BFA">
        <w:rPr>
          <w:rStyle w:val="10"/>
          <w:rFonts w:eastAsiaTheme="minorHAnsi"/>
          <w:b w:val="0"/>
        </w:rPr>
        <w:t xml:space="preserve"> </w:t>
      </w:r>
      <w:proofErr w:type="spellStart"/>
      <w:r w:rsidRPr="00504BFA">
        <w:rPr>
          <w:rStyle w:val="10"/>
          <w:rFonts w:eastAsiaTheme="minorHAnsi"/>
          <w:b w:val="0"/>
        </w:rPr>
        <w:t>for</w:t>
      </w:r>
      <w:proofErr w:type="spellEnd"/>
      <w:r w:rsidRPr="00504BFA">
        <w:rPr>
          <w:rStyle w:val="10"/>
          <w:rFonts w:eastAsiaTheme="minorHAnsi"/>
          <w:b w:val="0"/>
        </w:rPr>
        <w:t xml:space="preserve"> </w:t>
      </w:r>
      <w:proofErr w:type="spellStart"/>
      <w:r w:rsidRPr="00504BFA">
        <w:rPr>
          <w:rStyle w:val="10"/>
          <w:rFonts w:eastAsiaTheme="minorHAnsi"/>
          <w:b w:val="0"/>
        </w:rPr>
        <w:t>expedited</w:t>
      </w:r>
      <w:proofErr w:type="spellEnd"/>
      <w:r w:rsidRPr="00504BFA">
        <w:rPr>
          <w:rStyle w:val="10"/>
          <w:rFonts w:eastAsiaTheme="minorHAnsi"/>
          <w:b w:val="0"/>
        </w:rPr>
        <w:t xml:space="preserve"> </w:t>
      </w:r>
      <w:proofErr w:type="spellStart"/>
      <w:r w:rsidRPr="00504BFA">
        <w:rPr>
          <w:rStyle w:val="10"/>
          <w:rFonts w:eastAsiaTheme="minorHAnsi"/>
          <w:b w:val="0"/>
        </w:rPr>
        <w:t>reporting</w:t>
      </w:r>
      <w:proofErr w:type="spellEnd"/>
      <w:r w:rsidR="00EA2348" w:rsidRPr="00504BFA">
        <w:rPr>
          <w:rStyle w:val="10"/>
          <w:rFonts w:eastAsiaTheme="minorHAnsi"/>
          <w:b w:val="0"/>
        </w:rPr>
        <w:fldChar w:fldCharType="end"/>
      </w:r>
      <w:r w:rsidRPr="00504BFA">
        <w:rPr>
          <w:rStyle w:val="10"/>
          <w:rFonts w:eastAsiaTheme="minorHAnsi"/>
          <w:b w:val="0"/>
        </w:rPr>
        <w:t xml:space="preserve"> </w:t>
      </w:r>
      <w:r w:rsidR="009E5D61" w:rsidRPr="00504BFA">
        <w:rPr>
          <w:rStyle w:val="10"/>
          <w:rFonts w:eastAsiaTheme="minorHAnsi"/>
          <w:b w:val="0"/>
        </w:rPr>
        <w:t>—</w:t>
      </w:r>
      <w:r w:rsidRPr="00504BFA">
        <w:rPr>
          <w:rStyle w:val="10"/>
          <w:rFonts w:eastAsiaTheme="minorHAnsi"/>
          <w:b w:val="0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June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1995</w:t>
      </w:r>
      <w:r w:rsidRPr="00504BFA">
        <w:rPr>
          <w:rStyle w:val="10"/>
          <w:rFonts w:eastAsiaTheme="minorHAnsi"/>
          <w:b w:val="0"/>
        </w:rPr>
        <w:t xml:space="preserve">» </w:t>
      </w: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(Примітка до Керівництва щодо належного управління даними про клінічну безпеку: визначення та стандарти для прискореної подачі повідомлень </w:t>
      </w:r>
      <w:r w:rsidR="009E5D61" w:rsidRPr="00504BFA">
        <w:rPr>
          <w:rFonts w:ascii="Times New Roman" w:eastAsia="Calibri" w:hAnsi="Times New Roman" w:cs="Times New Roman"/>
          <w:sz w:val="28"/>
          <w:szCs w:val="28"/>
        </w:rPr>
        <w:t>—</w:t>
      </w: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червень 1995).</w:t>
      </w:r>
    </w:p>
    <w:p w14:paraId="21ECB249" w14:textId="15FF8B3B" w:rsidR="00B162C4" w:rsidRPr="00504BFA" w:rsidRDefault="00B162C4" w:rsidP="0015677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FA">
        <w:rPr>
          <w:rFonts w:ascii="Times New Roman" w:eastAsia="Calibri" w:hAnsi="Times New Roman" w:cs="Times New Roman"/>
          <w:sz w:val="28"/>
          <w:szCs w:val="28"/>
        </w:rPr>
        <w:t>CPMP/ICH/381/95 «</w:t>
      </w:r>
      <w:hyperlink r:id="rId18" w:tgtFrame="_blank" w:history="1">
        <w:r w:rsidRPr="00504BFA">
          <w:rPr>
            <w:rFonts w:ascii="Times New Roman" w:hAnsi="Times New Roman" w:cs="Times New Roman"/>
            <w:bCs/>
            <w:sz w:val="28"/>
            <w:szCs w:val="28"/>
          </w:rPr>
          <w:t xml:space="preserve">ICH: Q 2 (R1): </w:t>
        </w:r>
        <w:proofErr w:type="spellStart"/>
        <w:r w:rsidRPr="00504BFA">
          <w:rPr>
            <w:rFonts w:ascii="Times New Roman" w:hAnsi="Times New Roman" w:cs="Times New Roman"/>
            <w:bCs/>
            <w:sz w:val="28"/>
            <w:szCs w:val="28"/>
          </w:rPr>
          <w:t>Validation</w:t>
        </w:r>
        <w:proofErr w:type="spellEnd"/>
        <w:r w:rsidRPr="00504BFA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 w:rsidRPr="00504BFA">
          <w:rPr>
            <w:rFonts w:ascii="Times New Roman" w:hAnsi="Times New Roman" w:cs="Times New Roman"/>
            <w:bCs/>
            <w:sz w:val="28"/>
            <w:szCs w:val="28"/>
          </w:rPr>
          <w:t>of</w:t>
        </w:r>
        <w:proofErr w:type="spellEnd"/>
        <w:r w:rsidRPr="00504BFA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 w:rsidRPr="00504BFA">
          <w:rPr>
            <w:rFonts w:ascii="Times New Roman" w:hAnsi="Times New Roman" w:cs="Times New Roman"/>
            <w:bCs/>
            <w:sz w:val="28"/>
            <w:szCs w:val="28"/>
          </w:rPr>
          <w:t>analytical</w:t>
        </w:r>
        <w:proofErr w:type="spellEnd"/>
        <w:r w:rsidRPr="00504BFA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 w:rsidRPr="00504BFA">
          <w:rPr>
            <w:rFonts w:ascii="Times New Roman" w:hAnsi="Times New Roman" w:cs="Times New Roman"/>
            <w:bCs/>
            <w:sz w:val="28"/>
            <w:szCs w:val="28"/>
          </w:rPr>
          <w:t>procedures</w:t>
        </w:r>
        <w:proofErr w:type="spellEnd"/>
        <w:r w:rsidRPr="00504BFA">
          <w:rPr>
            <w:rFonts w:ascii="Times New Roman" w:hAnsi="Times New Roman" w:cs="Times New Roman"/>
            <w:bCs/>
            <w:sz w:val="28"/>
            <w:szCs w:val="28"/>
          </w:rPr>
          <w:t xml:space="preserve">: </w:t>
        </w:r>
        <w:proofErr w:type="spellStart"/>
        <w:r w:rsidRPr="00504BFA">
          <w:rPr>
            <w:rFonts w:ascii="Times New Roman" w:hAnsi="Times New Roman" w:cs="Times New Roman"/>
            <w:bCs/>
            <w:sz w:val="28"/>
            <w:szCs w:val="28"/>
          </w:rPr>
          <w:t>Text</w:t>
        </w:r>
        <w:proofErr w:type="spellEnd"/>
        <w:r w:rsidRPr="00504BFA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 w:rsidRPr="00504BFA">
          <w:rPr>
            <w:rFonts w:ascii="Times New Roman" w:hAnsi="Times New Roman" w:cs="Times New Roman"/>
            <w:bCs/>
            <w:sz w:val="28"/>
            <w:szCs w:val="28"/>
          </w:rPr>
          <w:t>and</w:t>
        </w:r>
        <w:proofErr w:type="spellEnd"/>
        <w:r w:rsidRPr="00504BFA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 w:rsidRPr="00504BFA">
          <w:rPr>
            <w:rFonts w:ascii="Times New Roman" w:hAnsi="Times New Roman" w:cs="Times New Roman"/>
            <w:bCs/>
            <w:sz w:val="28"/>
            <w:szCs w:val="28"/>
          </w:rPr>
          <w:t>methodology</w:t>
        </w:r>
        <w:proofErr w:type="spellEnd"/>
        <w:r w:rsidRPr="00504BFA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="009E5D61" w:rsidRPr="00504BFA">
          <w:rPr>
            <w:rFonts w:ascii="Times New Roman" w:hAnsi="Times New Roman" w:cs="Times New Roman"/>
            <w:bCs/>
            <w:sz w:val="28"/>
            <w:szCs w:val="28"/>
          </w:rPr>
          <w:t>—</w:t>
        </w:r>
        <w:r w:rsidRPr="00504BFA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 w:rsidRPr="00504BFA">
          <w:rPr>
            <w:rFonts w:ascii="Times New Roman" w:hAnsi="Times New Roman" w:cs="Times New Roman"/>
            <w:sz w:val="28"/>
            <w:szCs w:val="28"/>
          </w:rPr>
          <w:t>June</w:t>
        </w:r>
        <w:proofErr w:type="spellEnd"/>
        <w:r w:rsidRPr="00504BFA">
          <w:rPr>
            <w:rFonts w:ascii="Times New Roman" w:hAnsi="Times New Roman" w:cs="Times New Roman"/>
            <w:sz w:val="28"/>
            <w:szCs w:val="28"/>
          </w:rPr>
          <w:t xml:space="preserve"> 1995</w:t>
        </w:r>
        <w:r w:rsidRPr="00504BFA">
          <w:rPr>
            <w:rFonts w:ascii="Times New Roman" w:hAnsi="Times New Roman" w:cs="Times New Roman"/>
            <w:bCs/>
            <w:sz w:val="28"/>
            <w:szCs w:val="28"/>
          </w:rPr>
          <w:t xml:space="preserve">» </w:t>
        </w:r>
      </w:hyperlink>
      <w:r w:rsidRPr="00504BF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04BFA">
        <w:rPr>
          <w:rFonts w:ascii="Times New Roman" w:eastAsia="Calibri" w:hAnsi="Times New Roman" w:cs="Times New Roman"/>
          <w:sz w:val="28"/>
          <w:szCs w:val="28"/>
        </w:rPr>
        <w:t>Валідація</w:t>
      </w:r>
      <w:proofErr w:type="spellEnd"/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аналітичних процедур: текст та методологія </w:t>
      </w:r>
      <w:r w:rsidR="009E5D61" w:rsidRPr="00504BFA">
        <w:rPr>
          <w:rFonts w:ascii="Times New Roman" w:eastAsia="Calibri" w:hAnsi="Times New Roman" w:cs="Times New Roman"/>
          <w:sz w:val="28"/>
          <w:szCs w:val="28"/>
        </w:rPr>
        <w:t>—</w:t>
      </w: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червень 1995).</w:t>
      </w:r>
    </w:p>
    <w:p w14:paraId="108053D8" w14:textId="60802D0F" w:rsidR="00B162C4" w:rsidRPr="00504BFA" w:rsidRDefault="00B162C4" w:rsidP="0015677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CPMP/ICH/5716/03 «</w:t>
      </w:r>
      <w:proofErr w:type="spellStart"/>
      <w:r w:rsidRPr="00504BFA">
        <w:rPr>
          <w:rFonts w:ascii="Times New Roman" w:hAnsi="Times New Roman" w:cs="Times New Roman"/>
          <w:sz w:val="28"/>
          <w:szCs w:val="28"/>
          <w:shd w:val="clear" w:color="auto" w:fill="FFFFFF"/>
        </w:rPr>
        <w:t>Note</w:t>
      </w:r>
      <w:proofErr w:type="spellEnd"/>
      <w:r w:rsidRPr="00504B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  <w:shd w:val="clear" w:color="auto" w:fill="FFFFFF"/>
        </w:rPr>
        <w:t>for</w:t>
      </w:r>
      <w:proofErr w:type="spellEnd"/>
      <w:r w:rsidRPr="00504B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  <w:shd w:val="clear" w:color="auto" w:fill="FFFFFF"/>
        </w:rPr>
        <w:t>guidance</w:t>
      </w:r>
      <w:proofErr w:type="spellEnd"/>
      <w:r w:rsidRPr="00504B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  <w:shd w:val="clear" w:color="auto" w:fill="FFFFFF"/>
        </w:rPr>
        <w:t>on</w:t>
      </w:r>
      <w:proofErr w:type="spellEnd"/>
      <w:r w:rsidRPr="00504B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  <w:shd w:val="clear" w:color="auto" w:fill="FFFFFF"/>
        </w:rPr>
        <w:t>Planning</w:t>
      </w:r>
      <w:proofErr w:type="spellEnd"/>
      <w:r w:rsidRPr="00504B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  <w:shd w:val="clear" w:color="auto" w:fill="FFFFFF"/>
        </w:rPr>
        <w:t>Pharmacovigilance</w:t>
      </w:r>
      <w:proofErr w:type="spellEnd"/>
      <w:r w:rsidRPr="00504B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  <w:shd w:val="clear" w:color="auto" w:fill="FFFFFF"/>
        </w:rPr>
        <w:t>Activities</w:t>
      </w:r>
      <w:proofErr w:type="spellEnd"/>
      <w:r w:rsidRPr="00504B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5D61" w:rsidRPr="00504B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June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2005»</w:t>
      </w:r>
      <w:r w:rsidRPr="00504BFA">
        <w:t xml:space="preserve"> </w:t>
      </w: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(Примітка до Керівництва щодо планування діяльності з </w:t>
      </w:r>
      <w:proofErr w:type="spellStart"/>
      <w:r w:rsidRPr="00504BFA">
        <w:rPr>
          <w:rFonts w:ascii="Times New Roman" w:eastAsia="Calibri" w:hAnsi="Times New Roman" w:cs="Times New Roman"/>
          <w:sz w:val="28"/>
          <w:szCs w:val="28"/>
        </w:rPr>
        <w:t>фармаконагляду</w:t>
      </w:r>
      <w:proofErr w:type="spellEnd"/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5D61" w:rsidRPr="00504BFA">
        <w:rPr>
          <w:rFonts w:ascii="Times New Roman" w:eastAsia="Calibri" w:hAnsi="Times New Roman" w:cs="Times New Roman"/>
          <w:sz w:val="28"/>
          <w:szCs w:val="28"/>
        </w:rPr>
        <w:t xml:space="preserve">— </w:t>
      </w:r>
      <w:r w:rsidRPr="00504BFA">
        <w:rPr>
          <w:rFonts w:ascii="Times New Roman" w:eastAsia="Calibri" w:hAnsi="Times New Roman" w:cs="Times New Roman"/>
          <w:sz w:val="28"/>
          <w:szCs w:val="28"/>
        </w:rPr>
        <w:t>червень 2005).</w:t>
      </w:r>
    </w:p>
    <w:p w14:paraId="261D3739" w14:textId="304D9116" w:rsidR="00B162C4" w:rsidRPr="00504BFA" w:rsidRDefault="00B162C4" w:rsidP="00156779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Directive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2001/83/EC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European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Parliament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Council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6 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November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2001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on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Community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code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relating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medicinal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products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for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human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use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(OJ L 311, 28.11.2001) (Директива 2001/83/ЄC Європейського парламенту </w:t>
      </w:r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та Ради від 6 листопада 2001 року про кодекс Співтовариства відносно лікарських препаратів, призначених для споживання людьми. (</w:t>
      </w:r>
      <w:proofErr w:type="spellStart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Oфіційний</w:t>
      </w:r>
      <w:proofErr w:type="spellEnd"/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журнал</w:t>
      </w:r>
      <w:r w:rsidR="009E5D61"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504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посилання 311, 28.11.2001).</w:t>
      </w:r>
    </w:p>
    <w:p w14:paraId="49DC508F" w14:textId="51C900D4" w:rsidR="00B162C4" w:rsidRPr="00504BFA" w:rsidRDefault="00B162C4" w:rsidP="0015677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BFA">
        <w:rPr>
          <w:rFonts w:ascii="Times New Roman" w:eastAsia="Calibri" w:hAnsi="Times New Roman" w:cs="Times New Roman"/>
          <w:sz w:val="28"/>
          <w:szCs w:val="28"/>
        </w:rPr>
        <w:t>EMA/CHMP/ICH/604661/2009 «</w:t>
      </w:r>
      <w:r w:rsidRPr="00504BFA">
        <w:rPr>
          <w:rFonts w:ascii="Times New Roman" w:hAnsi="Times New Roman" w:cs="Times New Roman"/>
          <w:sz w:val="28"/>
          <w:szCs w:val="28"/>
        </w:rPr>
        <w:t xml:space="preserve">ICH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topic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E7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Populations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Geriatrics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Questions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Answers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r w:rsidR="00C746D3" w:rsidRPr="00504BFA">
        <w:rPr>
          <w:rFonts w:ascii="Times New Roman" w:hAnsi="Times New Roman" w:cs="Times New Roman"/>
          <w:sz w:val="28"/>
          <w:szCs w:val="28"/>
        </w:rPr>
        <w:t>—</w:t>
      </w:r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July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2010» (</w:t>
      </w: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Дослідження на підтримку особливих популяцій: </w:t>
      </w:r>
      <w:r w:rsidR="00C746D3" w:rsidRPr="00504BFA">
        <w:rPr>
          <w:rFonts w:ascii="Times New Roman" w:eastAsia="Calibri" w:hAnsi="Times New Roman" w:cs="Times New Roman"/>
          <w:sz w:val="28"/>
          <w:szCs w:val="28"/>
        </w:rPr>
        <w:t>г</w:t>
      </w: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еріатрія </w:t>
      </w:r>
      <w:r w:rsidR="00C746D3" w:rsidRPr="00504BFA">
        <w:rPr>
          <w:rFonts w:ascii="Times New Roman" w:eastAsia="Calibri" w:hAnsi="Times New Roman" w:cs="Times New Roman"/>
          <w:sz w:val="28"/>
          <w:szCs w:val="28"/>
        </w:rPr>
        <w:t>— п</w:t>
      </w: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итання та відповіді </w:t>
      </w:r>
      <w:r w:rsidR="00C746D3" w:rsidRPr="00504BFA">
        <w:rPr>
          <w:rFonts w:ascii="Times New Roman" w:eastAsia="Calibri" w:hAnsi="Times New Roman" w:cs="Times New Roman"/>
          <w:sz w:val="28"/>
          <w:szCs w:val="28"/>
        </w:rPr>
        <w:t xml:space="preserve">— </w:t>
      </w: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липень 2010).</w:t>
      </w:r>
    </w:p>
    <w:p w14:paraId="240B6966" w14:textId="1276DCF1" w:rsidR="00B162C4" w:rsidRPr="00504BFA" w:rsidRDefault="00B162C4" w:rsidP="0015677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EMA/CHMP/VWP/141697/2009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Guideline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quality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non-clinical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aspects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recombinant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viral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vectored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vaccines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r w:rsidR="00C746D3" w:rsidRPr="00504BF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June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2010 </w:t>
      </w: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(Керівництво щодо якості, </w:t>
      </w:r>
      <w:proofErr w:type="spellStart"/>
      <w:r w:rsidRPr="00504BFA">
        <w:rPr>
          <w:rFonts w:ascii="Times New Roman" w:eastAsia="Calibri" w:hAnsi="Times New Roman" w:cs="Times New Roman"/>
          <w:sz w:val="28"/>
          <w:szCs w:val="28"/>
        </w:rPr>
        <w:t>доклінічних</w:t>
      </w:r>
      <w:proofErr w:type="spellEnd"/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та клінічних аспектів живих вакцин, що містять </w:t>
      </w:r>
      <w:proofErr w:type="spellStart"/>
      <w:r w:rsidRPr="00504BFA">
        <w:rPr>
          <w:rFonts w:ascii="Times New Roman" w:eastAsia="Calibri" w:hAnsi="Times New Roman" w:cs="Times New Roman"/>
          <w:sz w:val="28"/>
          <w:szCs w:val="28"/>
        </w:rPr>
        <w:t>рекомбінантний</w:t>
      </w:r>
      <w:proofErr w:type="spellEnd"/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вірусний вектор </w:t>
      </w:r>
      <w:r w:rsidR="00C746D3" w:rsidRPr="00504BFA">
        <w:rPr>
          <w:rFonts w:ascii="Times New Roman" w:eastAsia="Calibri" w:hAnsi="Times New Roman" w:cs="Times New Roman"/>
          <w:sz w:val="28"/>
          <w:szCs w:val="28"/>
        </w:rPr>
        <w:t xml:space="preserve">— </w:t>
      </w:r>
      <w:r w:rsidRPr="00504BFA">
        <w:rPr>
          <w:rFonts w:ascii="Times New Roman" w:eastAsia="Calibri" w:hAnsi="Times New Roman" w:cs="Times New Roman"/>
          <w:sz w:val="28"/>
          <w:szCs w:val="28"/>
        </w:rPr>
        <w:t>червень 2010).</w:t>
      </w:r>
    </w:p>
    <w:p w14:paraId="64D733A9" w14:textId="053B9BBF" w:rsidR="00B162C4" w:rsidRPr="00504BFA" w:rsidRDefault="00B162C4" w:rsidP="0015677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EMA/CHMP/VWP/457259/2014 «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Guideline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Influenza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Vaccines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Non-clinical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Module</w:t>
      </w:r>
      <w:proofErr w:type="spellEnd"/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46D3" w:rsidRPr="00504BFA">
        <w:rPr>
          <w:rFonts w:ascii="Times New Roman" w:eastAsia="Calibri" w:hAnsi="Times New Roman" w:cs="Times New Roman"/>
          <w:sz w:val="28"/>
          <w:szCs w:val="28"/>
        </w:rPr>
        <w:t xml:space="preserve">—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July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2016»</w:t>
      </w: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(Керівни</w:t>
      </w:r>
      <w:r w:rsidR="00E567CB" w:rsidRPr="00504BFA">
        <w:rPr>
          <w:rFonts w:ascii="Times New Roman" w:eastAsia="Calibri" w:hAnsi="Times New Roman" w:cs="Times New Roman"/>
          <w:sz w:val="28"/>
          <w:szCs w:val="28"/>
        </w:rPr>
        <w:t xml:space="preserve">цтво щодо вакцин проти грипу; </w:t>
      </w:r>
      <w:proofErr w:type="spellStart"/>
      <w:r w:rsidR="00C746D3" w:rsidRPr="00504BFA">
        <w:rPr>
          <w:rFonts w:ascii="Times New Roman" w:eastAsia="Calibri" w:hAnsi="Times New Roman" w:cs="Times New Roman"/>
          <w:sz w:val="28"/>
          <w:szCs w:val="28"/>
        </w:rPr>
        <w:t>д</w:t>
      </w:r>
      <w:r w:rsidR="00E567CB" w:rsidRPr="00504BFA">
        <w:rPr>
          <w:rFonts w:ascii="Times New Roman" w:eastAsia="Calibri" w:hAnsi="Times New Roman" w:cs="Times New Roman"/>
          <w:sz w:val="28"/>
          <w:szCs w:val="28"/>
        </w:rPr>
        <w:t>о</w:t>
      </w:r>
      <w:r w:rsidRPr="00504BFA">
        <w:rPr>
          <w:rFonts w:ascii="Times New Roman" w:eastAsia="Calibri" w:hAnsi="Times New Roman" w:cs="Times New Roman"/>
          <w:sz w:val="28"/>
          <w:szCs w:val="28"/>
        </w:rPr>
        <w:t>клінічний</w:t>
      </w:r>
      <w:proofErr w:type="spellEnd"/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та клінічний модуль </w:t>
      </w:r>
      <w:r w:rsidR="00C746D3" w:rsidRPr="00504BFA">
        <w:rPr>
          <w:rFonts w:ascii="Times New Roman" w:eastAsia="Calibri" w:hAnsi="Times New Roman" w:cs="Times New Roman"/>
          <w:sz w:val="28"/>
          <w:szCs w:val="28"/>
        </w:rPr>
        <w:t xml:space="preserve">— </w:t>
      </w:r>
      <w:r w:rsidRPr="00504BFA">
        <w:rPr>
          <w:rFonts w:ascii="Times New Roman" w:eastAsia="Calibri" w:hAnsi="Times New Roman" w:cs="Times New Roman"/>
          <w:sz w:val="28"/>
          <w:szCs w:val="28"/>
        </w:rPr>
        <w:t>липень 2016).</w:t>
      </w:r>
    </w:p>
    <w:p w14:paraId="2EE5D0C8" w14:textId="1532A0ED" w:rsidR="00B162C4" w:rsidRPr="00504BFA" w:rsidRDefault="00B162C4" w:rsidP="0015677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BFA">
        <w:rPr>
          <w:rFonts w:ascii="Times New Roman" w:hAnsi="Times New Roman" w:cs="Times New Roman"/>
          <w:sz w:val="28"/>
          <w:szCs w:val="28"/>
        </w:rPr>
        <w:t xml:space="preserve">EMA/CPMP/ICH/2711/1999 «ICH E11(R1)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guideline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investigation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medicinal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products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pediatric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population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r w:rsidR="00C746D3" w:rsidRPr="00504BF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September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2017»</w:t>
      </w: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(Клінічне дослідження лікарських засобів у дитячій популяції </w:t>
      </w:r>
      <w:r w:rsidR="00C746D3" w:rsidRPr="00504BFA">
        <w:rPr>
          <w:rFonts w:ascii="Times New Roman" w:eastAsia="Calibri" w:hAnsi="Times New Roman" w:cs="Times New Roman"/>
          <w:sz w:val="28"/>
          <w:szCs w:val="28"/>
        </w:rPr>
        <w:t xml:space="preserve">— </w:t>
      </w:r>
      <w:r w:rsidRPr="00504BFA">
        <w:rPr>
          <w:rFonts w:ascii="Times New Roman" w:eastAsia="Calibri" w:hAnsi="Times New Roman" w:cs="Times New Roman"/>
          <w:sz w:val="28"/>
          <w:szCs w:val="28"/>
        </w:rPr>
        <w:t>вересень 2017).</w:t>
      </w:r>
    </w:p>
    <w:p w14:paraId="41876232" w14:textId="2E2B083A" w:rsidR="00B162C4" w:rsidRPr="00504BFA" w:rsidRDefault="00B162C4" w:rsidP="0015677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BFA">
        <w:rPr>
          <w:rFonts w:ascii="Times New Roman" w:hAnsi="Times New Roman" w:cs="Times New Roman"/>
          <w:sz w:val="28"/>
          <w:szCs w:val="28"/>
        </w:rPr>
        <w:t xml:space="preserve">EMEA/CHMP/VWP/164653/05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Rev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>. 1 «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Guideline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evaluation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vaccines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</w:t>
      </w:r>
      <w:r w:rsidR="00C746D3" w:rsidRPr="00504BF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April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2018» (Керівництво щодо клінічної оцінки вакцин </w:t>
      </w:r>
      <w:r w:rsidR="00C746D3" w:rsidRPr="00504BFA">
        <w:rPr>
          <w:rFonts w:ascii="Times New Roman" w:hAnsi="Times New Roman" w:cs="Times New Roman"/>
          <w:sz w:val="28"/>
          <w:szCs w:val="28"/>
        </w:rPr>
        <w:t xml:space="preserve">— </w:t>
      </w:r>
      <w:r w:rsidRPr="00504BFA">
        <w:rPr>
          <w:rFonts w:ascii="Times New Roman" w:hAnsi="Times New Roman" w:cs="Times New Roman"/>
          <w:sz w:val="28"/>
          <w:szCs w:val="28"/>
        </w:rPr>
        <w:t>квітень 2018).</w:t>
      </w:r>
    </w:p>
    <w:p w14:paraId="01CEF454" w14:textId="1CE296B6" w:rsidR="00B162C4" w:rsidRPr="00504BFA" w:rsidRDefault="00B162C4" w:rsidP="0015677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EMEA/CPMP/EWP/2158/99 </w:t>
      </w:r>
      <w:proofErr w:type="spellStart"/>
      <w:r w:rsidRPr="00504BFA">
        <w:rPr>
          <w:rFonts w:ascii="Times New Roman" w:eastAsia="Calibri" w:hAnsi="Times New Roman" w:cs="Times New Roman"/>
          <w:sz w:val="28"/>
          <w:szCs w:val="28"/>
        </w:rPr>
        <w:t>Guideline</w:t>
      </w:r>
      <w:proofErr w:type="spellEnd"/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eastAsia="Calibri" w:hAnsi="Times New Roman" w:cs="Times New Roman"/>
          <w:sz w:val="28"/>
          <w:szCs w:val="28"/>
        </w:rPr>
        <w:t>on</w:t>
      </w:r>
      <w:proofErr w:type="spellEnd"/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eastAsia="Calibri" w:hAnsi="Times New Roman" w:cs="Times New Roman"/>
          <w:sz w:val="28"/>
          <w:szCs w:val="28"/>
        </w:rPr>
        <w:t>the</w:t>
      </w:r>
      <w:proofErr w:type="spellEnd"/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eastAsia="Calibri" w:hAnsi="Times New Roman" w:cs="Times New Roman"/>
          <w:sz w:val="28"/>
          <w:szCs w:val="28"/>
        </w:rPr>
        <w:t>choice</w:t>
      </w:r>
      <w:proofErr w:type="spellEnd"/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eastAsia="Calibri" w:hAnsi="Times New Roman" w:cs="Times New Roman"/>
          <w:sz w:val="28"/>
          <w:szCs w:val="28"/>
        </w:rPr>
        <w:t>the</w:t>
      </w:r>
      <w:proofErr w:type="spellEnd"/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eastAsia="Calibri" w:hAnsi="Times New Roman" w:cs="Times New Roman"/>
          <w:sz w:val="28"/>
          <w:szCs w:val="28"/>
        </w:rPr>
        <w:t>non-inferiority</w:t>
      </w:r>
      <w:proofErr w:type="spellEnd"/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BFA">
        <w:rPr>
          <w:rFonts w:ascii="Times New Roman" w:eastAsia="Calibri" w:hAnsi="Times New Roman" w:cs="Times New Roman"/>
          <w:sz w:val="28"/>
          <w:szCs w:val="28"/>
        </w:rPr>
        <w:t>margin</w:t>
      </w:r>
      <w:proofErr w:type="spellEnd"/>
      <w:r w:rsidR="00C746D3" w:rsidRPr="00504BFA">
        <w:rPr>
          <w:rFonts w:ascii="Times New Roman" w:eastAsia="Calibri" w:hAnsi="Times New Roman" w:cs="Times New Roman"/>
          <w:sz w:val="28"/>
          <w:szCs w:val="28"/>
        </w:rPr>
        <w:t xml:space="preserve"> — </w:t>
      </w:r>
      <w:proofErr w:type="spellStart"/>
      <w:r w:rsidRPr="00504BFA">
        <w:rPr>
          <w:rFonts w:ascii="Times New Roman" w:hAnsi="Times New Roman" w:cs="Times New Roman"/>
          <w:sz w:val="28"/>
          <w:szCs w:val="28"/>
        </w:rPr>
        <w:t>July</w:t>
      </w:r>
      <w:proofErr w:type="spellEnd"/>
      <w:r w:rsidRPr="00504BFA">
        <w:rPr>
          <w:rFonts w:ascii="Times New Roman" w:hAnsi="Times New Roman" w:cs="Times New Roman"/>
          <w:sz w:val="28"/>
          <w:szCs w:val="28"/>
        </w:rPr>
        <w:t xml:space="preserve"> 2005</w:t>
      </w:r>
      <w:r w:rsidRPr="00504BFA">
        <w:t xml:space="preserve"> </w:t>
      </w:r>
      <w:r w:rsidRPr="00504BFA">
        <w:rPr>
          <w:rFonts w:ascii="Times New Roman" w:eastAsia="Calibri" w:hAnsi="Times New Roman" w:cs="Times New Roman"/>
          <w:sz w:val="28"/>
          <w:szCs w:val="28"/>
        </w:rPr>
        <w:t>(Керівництво щодо вибору межі не</w:t>
      </w:r>
      <w:r w:rsidR="00C746D3" w:rsidRPr="00504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4BFA">
        <w:rPr>
          <w:rFonts w:ascii="Times New Roman" w:eastAsia="Calibri" w:hAnsi="Times New Roman" w:cs="Times New Roman"/>
          <w:sz w:val="28"/>
          <w:szCs w:val="28"/>
        </w:rPr>
        <w:t>меншої ефективності</w:t>
      </w:r>
      <w:r w:rsidR="00C746D3" w:rsidRPr="00504BFA">
        <w:rPr>
          <w:rFonts w:ascii="Times New Roman" w:eastAsia="Calibri" w:hAnsi="Times New Roman" w:cs="Times New Roman"/>
          <w:sz w:val="28"/>
          <w:szCs w:val="28"/>
        </w:rPr>
        <w:t xml:space="preserve"> — </w:t>
      </w:r>
      <w:r w:rsidRPr="00504BFA">
        <w:rPr>
          <w:rFonts w:ascii="Times New Roman" w:eastAsia="Calibri" w:hAnsi="Times New Roman" w:cs="Times New Roman"/>
          <w:sz w:val="28"/>
          <w:szCs w:val="28"/>
        </w:rPr>
        <w:t xml:space="preserve">липень 2005). </w:t>
      </w:r>
    </w:p>
    <w:p w14:paraId="7B7FFE06" w14:textId="77777777" w:rsidR="00B162C4" w:rsidRPr="00B02BAD" w:rsidRDefault="00B162C4" w:rsidP="00156779">
      <w:pPr>
        <w:numPr>
          <w:ilvl w:val="0"/>
          <w:numId w:val="2"/>
        </w:numPr>
        <w:spacing w:before="120" w:after="0" w:line="36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EMEA/P24143/2004 «</w:t>
      </w:r>
      <w:proofErr w:type="spellStart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Procedure</w:t>
      </w:r>
      <w:proofErr w:type="spellEnd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for</w:t>
      </w:r>
      <w:proofErr w:type="spellEnd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European</w:t>
      </w:r>
      <w:proofErr w:type="spellEnd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Union</w:t>
      </w:r>
      <w:proofErr w:type="spellEnd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guidelines</w:t>
      </w:r>
      <w:proofErr w:type="spellEnd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and</w:t>
      </w:r>
      <w:proofErr w:type="spellEnd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related</w:t>
      </w:r>
      <w:proofErr w:type="spellEnd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documents</w:t>
      </w:r>
      <w:proofErr w:type="spellEnd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within</w:t>
      </w:r>
      <w:proofErr w:type="spellEnd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the</w:t>
      </w:r>
      <w:proofErr w:type="spellEnd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pharmaceutical</w:t>
      </w:r>
      <w:proofErr w:type="spellEnd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legislative</w:t>
      </w:r>
      <w:proofErr w:type="spellEnd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framework</w:t>
      </w:r>
      <w:proofErr w:type="spellEnd"/>
      <w:r w:rsidRPr="00504BFA">
        <w:rPr>
          <w:rFonts w:ascii="Times New Roman" w:hAnsi="Times New Roman" w:cs="Times New Roman"/>
          <w:bCs/>
          <w:color w:val="000000"/>
          <w:sz w:val="28"/>
          <w:szCs w:val="28"/>
        </w:rPr>
        <w:t>, 2005» (Процедура щодо керівництв та супутніх документів Європейського</w:t>
      </w:r>
      <w:r w:rsidRPr="00B02B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Союзу в рамках фармацевтичного законодавства, 2005).</w:t>
      </w:r>
    </w:p>
    <w:p w14:paraId="78411F45" w14:textId="77777777" w:rsidR="00B162C4" w:rsidRPr="00B02BAD" w:rsidRDefault="00B162C4" w:rsidP="00B162C4">
      <w:pPr>
        <w:spacing w:after="0" w:line="360" w:lineRule="auto"/>
        <w:ind w:left="35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5598AFB" w14:textId="77777777" w:rsidR="00B162C4" w:rsidRPr="00B02BAD" w:rsidRDefault="00B162C4" w:rsidP="00B162C4">
      <w:pPr>
        <w:spacing w:after="0" w:line="360" w:lineRule="auto"/>
        <w:ind w:left="-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35B533" w14:textId="77777777" w:rsidR="00B162C4" w:rsidRPr="00B02BAD" w:rsidRDefault="00B162C4" w:rsidP="00B162C4">
      <w:pPr>
        <w:spacing w:after="0" w:line="360" w:lineRule="auto"/>
        <w:ind w:left="-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751C4D" w14:textId="77777777" w:rsidR="00B162C4" w:rsidRPr="00B02BAD" w:rsidRDefault="00B162C4" w:rsidP="00B162C4">
      <w:pPr>
        <w:spacing w:after="0" w:line="360" w:lineRule="auto"/>
        <w:ind w:left="-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CB8758" w14:textId="77777777" w:rsidR="00B162C4" w:rsidRPr="00B02BAD" w:rsidRDefault="00B162C4" w:rsidP="00B162C4">
      <w:pPr>
        <w:spacing w:after="0" w:line="360" w:lineRule="auto"/>
        <w:ind w:left="-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141EDA" w14:textId="77777777" w:rsidR="00B162C4" w:rsidRPr="00B02BAD" w:rsidRDefault="00B162C4" w:rsidP="00B162C4">
      <w:pPr>
        <w:spacing w:after="0" w:line="36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B02BAD">
        <w:rPr>
          <w:rFonts w:ascii="Times New Roman" w:eastAsia="Times New Roman" w:hAnsi="Times New Roman" w:cs="Times New Roman"/>
          <w:b/>
          <w:sz w:val="28"/>
          <w:szCs w:val="28"/>
        </w:rPr>
        <w:t xml:space="preserve">Ключові слова: </w:t>
      </w:r>
      <w:r w:rsidRPr="00B02B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2BAD">
        <w:rPr>
          <w:rFonts w:ascii="Times New Roman" w:hAnsi="Times New Roman" w:cs="Times New Roman"/>
          <w:sz w:val="28"/>
          <w:szCs w:val="28"/>
        </w:rPr>
        <w:t xml:space="preserve">акцина, гуморальна імунна відповідь, клітинна імунна відповідь, графік вакцинації, дослідження </w:t>
      </w:r>
      <w:proofErr w:type="spellStart"/>
      <w:r w:rsidRPr="00B02BAD">
        <w:rPr>
          <w:rFonts w:ascii="Times New Roman" w:hAnsi="Times New Roman" w:cs="Times New Roman"/>
          <w:sz w:val="28"/>
          <w:szCs w:val="28"/>
        </w:rPr>
        <w:t>імуногенності</w:t>
      </w:r>
      <w:proofErr w:type="spellEnd"/>
      <w:r w:rsidRPr="00B02BAD">
        <w:rPr>
          <w:rFonts w:ascii="Times New Roman" w:hAnsi="Times New Roman" w:cs="Times New Roman"/>
          <w:sz w:val="28"/>
          <w:szCs w:val="28"/>
        </w:rPr>
        <w:t>, захисна ефективність, дієвість, безпека, імунні кореляти захисту</w:t>
      </w:r>
    </w:p>
    <w:p w14:paraId="06F0498C" w14:textId="77777777" w:rsidR="00896EAB" w:rsidRPr="00B02BAD" w:rsidRDefault="00896EAB"/>
    <w:sectPr w:rsidR="00896EAB" w:rsidRPr="00B02BAD" w:rsidSect="009E7BC9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8DCFB" w14:textId="77777777" w:rsidR="00DE0968" w:rsidRDefault="00DE0968" w:rsidP="000A527A">
      <w:pPr>
        <w:spacing w:after="0" w:line="240" w:lineRule="auto"/>
      </w:pPr>
      <w:r>
        <w:separator/>
      </w:r>
    </w:p>
  </w:endnote>
  <w:endnote w:type="continuationSeparator" w:id="0">
    <w:p w14:paraId="5EF1CDF2" w14:textId="77777777" w:rsidR="00DE0968" w:rsidRDefault="00DE0968" w:rsidP="000A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963D" w14:textId="793E97A0" w:rsidR="00F7692A" w:rsidRDefault="00F7692A">
    <w:pPr>
      <w:pStyle w:val="ab"/>
    </w:pPr>
    <w:sdt>
      <w:sdtPr>
        <w:id w:val="-118566010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B16EC">
          <w:rPr>
            <w:noProof/>
          </w:rPr>
          <w:t>VI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847565"/>
      <w:docPartObj>
        <w:docPartGallery w:val="Page Numbers (Bottom of Page)"/>
        <w:docPartUnique/>
      </w:docPartObj>
    </w:sdtPr>
    <w:sdtContent>
      <w:p w14:paraId="3554108A" w14:textId="5C5B3B37" w:rsidR="00F7692A" w:rsidRDefault="00F7692A" w:rsidP="00F9565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6EC">
          <w:rPr>
            <w:noProof/>
          </w:rPr>
          <w:t>V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44630" w14:textId="5F9D1CF5" w:rsidR="00F7692A" w:rsidRPr="00FD1A25" w:rsidRDefault="00F7692A">
    <w:pPr>
      <w:tabs>
        <w:tab w:val="center" w:pos="360"/>
      </w:tabs>
      <w:spacing w:after="0"/>
      <w:rPr>
        <w:rFonts w:ascii="Times New Roman" w:hAnsi="Times New Roman" w:cs="Times New Roman"/>
        <w:sz w:val="24"/>
        <w:szCs w:val="24"/>
      </w:rPr>
    </w:pPr>
    <w:r w:rsidRPr="00FD1A25">
      <w:rPr>
        <w:rFonts w:ascii="Times New Roman" w:hAnsi="Times New Roman" w:cs="Times New Roman"/>
        <w:sz w:val="24"/>
        <w:szCs w:val="24"/>
      </w:rPr>
      <w:fldChar w:fldCharType="begin"/>
    </w:r>
    <w:r w:rsidRPr="00FD1A25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D1A25">
      <w:rPr>
        <w:rFonts w:ascii="Times New Roman" w:hAnsi="Times New Roman" w:cs="Times New Roman"/>
        <w:sz w:val="24"/>
        <w:szCs w:val="24"/>
      </w:rPr>
      <w:fldChar w:fldCharType="separate"/>
    </w:r>
    <w:r w:rsidR="00CB16EC">
      <w:rPr>
        <w:rFonts w:ascii="Times New Roman" w:hAnsi="Times New Roman" w:cs="Times New Roman"/>
        <w:noProof/>
        <w:sz w:val="24"/>
        <w:szCs w:val="24"/>
      </w:rPr>
      <w:t>24</w:t>
    </w:r>
    <w:r w:rsidRPr="00FD1A25">
      <w:rPr>
        <w:rFonts w:ascii="Times New Roman" w:hAnsi="Times New Roman" w:cs="Times New Roman"/>
        <w:sz w:val="24"/>
        <w:szCs w:val="24"/>
      </w:rPr>
      <w:fldChar w:fldCharType="end"/>
    </w:r>
    <w:r w:rsidRPr="00FD1A25">
      <w:rPr>
        <w:rFonts w:ascii="Times New Roman" w:hAnsi="Times New Roman" w:cs="Times New Roman"/>
        <w:sz w:val="24"/>
        <w:szCs w:val="24"/>
      </w:rPr>
      <w:t xml:space="preserve"> </w:t>
    </w:r>
    <w:r w:rsidRPr="00FD1A25">
      <w:rPr>
        <w:rFonts w:ascii="Times New Roman" w:hAnsi="Times New Roman" w:cs="Times New Roman"/>
        <w:sz w:val="24"/>
        <w:szCs w:val="24"/>
      </w:rPr>
      <w:tab/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646115"/>
      <w:docPartObj>
        <w:docPartGallery w:val="Page Numbers (Bottom of Page)"/>
        <w:docPartUnique/>
      </w:docPartObj>
    </w:sdtPr>
    <w:sdtContent>
      <w:p w14:paraId="0714F758" w14:textId="172A22CC" w:rsidR="00F7692A" w:rsidRDefault="00F7692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6EC">
          <w:rPr>
            <w:noProof/>
          </w:rPr>
          <w:t>23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D423B" w14:textId="77777777" w:rsidR="00DE0968" w:rsidRDefault="00DE0968" w:rsidP="000A527A">
      <w:pPr>
        <w:spacing w:after="0" w:line="240" w:lineRule="auto"/>
      </w:pPr>
      <w:r>
        <w:separator/>
      </w:r>
    </w:p>
  </w:footnote>
  <w:footnote w:type="continuationSeparator" w:id="0">
    <w:p w14:paraId="3FC04595" w14:textId="77777777" w:rsidR="00DE0968" w:rsidRDefault="00DE0968" w:rsidP="000A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220A8" w14:textId="5252D7C0" w:rsidR="00F7692A" w:rsidRPr="005C03D7" w:rsidRDefault="00F7692A" w:rsidP="00DE0DEC">
    <w:pPr>
      <w:spacing w:after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СТ-Н МОЗУ 42-7.14</w:t>
    </w:r>
    <w:r w:rsidRPr="005C03D7">
      <w:rPr>
        <w:rFonts w:ascii="Times New Roman" w:hAnsi="Times New Roman" w:cs="Times New Roman"/>
        <w:sz w:val="24"/>
        <w:szCs w:val="24"/>
      </w:rPr>
      <w:t>:202</w:t>
    </w:r>
    <w:r>
      <w:rPr>
        <w:rFonts w:ascii="Times New Roman" w:hAnsi="Times New Roman" w:cs="Times New Roman"/>
        <w:sz w:val="24"/>
        <w:szCs w:val="24"/>
      </w:rPr>
      <w:t>4</w:t>
    </w:r>
  </w:p>
  <w:p w14:paraId="162B909F" w14:textId="77777777" w:rsidR="00F7692A" w:rsidRPr="007F3966" w:rsidRDefault="00F7692A" w:rsidP="00DE0DEC">
    <w:pPr>
      <w:spacing w:after="0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D5B6F" w14:textId="2F5FF541" w:rsidR="00F7692A" w:rsidRPr="005C03D7" w:rsidRDefault="00F7692A" w:rsidP="00DE0DEC">
    <w:pPr>
      <w:spacing w:after="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СТ-Н МОЗУ 42-7.14</w:t>
    </w:r>
    <w:r w:rsidRPr="005C03D7">
      <w:rPr>
        <w:rFonts w:ascii="Times New Roman" w:hAnsi="Times New Roman" w:cs="Times New Roman"/>
        <w:sz w:val="24"/>
        <w:szCs w:val="24"/>
      </w:rPr>
      <w:t>:202</w:t>
    </w:r>
    <w:r>
      <w:rPr>
        <w:rFonts w:ascii="Times New Roman" w:hAnsi="Times New Roman" w:cs="Times New Roman"/>
        <w:sz w:val="24"/>
        <w:szCs w:val="24"/>
      </w:rPr>
      <w:t>4</w:t>
    </w:r>
  </w:p>
  <w:p w14:paraId="09A9A9BD" w14:textId="77777777" w:rsidR="00F7692A" w:rsidRPr="007F3966" w:rsidRDefault="00F7692A" w:rsidP="00DE0DEC">
    <w:pPr>
      <w:spacing w:after="0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6268D" w14:textId="77777777" w:rsidR="00F7692A" w:rsidRDefault="00F7692A" w:rsidP="00E4674C">
    <w:pPr>
      <w:spacing w:after="0"/>
      <w:rPr>
        <w:rFonts w:ascii="Times New Roman" w:hAnsi="Times New Roman" w:cs="Times New Roma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A840A" w14:textId="159243F5" w:rsidR="00F7692A" w:rsidRDefault="00F7692A" w:rsidP="00A02A89">
    <w:pPr>
      <w:spacing w:after="0"/>
      <w:rPr>
        <w:rFonts w:ascii="Times New Roman" w:hAnsi="Times New Roman" w:cs="Times New Roman"/>
        <w:sz w:val="24"/>
      </w:rPr>
    </w:pPr>
    <w:r w:rsidRPr="00666120">
      <w:rPr>
        <w:rFonts w:ascii="Times New Roman" w:hAnsi="Times New Roman" w:cs="Times New Roman"/>
        <w:sz w:val="24"/>
      </w:rPr>
      <w:t>С</w:t>
    </w:r>
    <w:r>
      <w:rPr>
        <w:rFonts w:ascii="Times New Roman" w:hAnsi="Times New Roman" w:cs="Times New Roman"/>
        <w:sz w:val="24"/>
      </w:rPr>
      <w:t>Т-Н МОЗУ  42-7.14:2024</w:t>
    </w:r>
    <w:r w:rsidRPr="00666120">
      <w:rPr>
        <w:rFonts w:ascii="Times New Roman" w:hAnsi="Times New Roman" w:cs="Times New Roman"/>
        <w:sz w:val="24"/>
      </w:rPr>
      <w:t xml:space="preserve"> </w:t>
    </w:r>
  </w:p>
  <w:p w14:paraId="665867C5" w14:textId="77777777" w:rsidR="00F7692A" w:rsidRPr="00666120" w:rsidRDefault="00F7692A" w:rsidP="00A02A89">
    <w:pPr>
      <w:spacing w:after="0"/>
      <w:rPr>
        <w:rFonts w:ascii="Times New Roman" w:hAnsi="Times New Roman" w:cs="Times New Roma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DE580" w14:textId="61173A28" w:rsidR="00F7692A" w:rsidRDefault="00F7692A">
    <w:pPr>
      <w:spacing w:after="0"/>
      <w:jc w:val="right"/>
      <w:rPr>
        <w:rFonts w:ascii="Times New Roman" w:hAnsi="Times New Roman" w:cs="Times New Roman"/>
        <w:sz w:val="24"/>
      </w:rPr>
    </w:pPr>
    <w:r w:rsidRPr="00495AA1">
      <w:rPr>
        <w:rFonts w:ascii="Times New Roman" w:hAnsi="Times New Roman" w:cs="Times New Roman"/>
        <w:sz w:val="24"/>
      </w:rPr>
      <w:t xml:space="preserve">СТ-Н МОЗУ </w:t>
    </w:r>
    <w:r>
      <w:rPr>
        <w:rFonts w:ascii="Times New Roman" w:hAnsi="Times New Roman" w:cs="Times New Roman"/>
        <w:sz w:val="24"/>
      </w:rPr>
      <w:t xml:space="preserve"> 42-7.14:</w:t>
    </w:r>
    <w:r w:rsidRPr="00495AA1">
      <w:rPr>
        <w:rFonts w:ascii="Times New Roman" w:hAnsi="Times New Roman" w:cs="Times New Roman"/>
        <w:sz w:val="24"/>
      </w:rPr>
      <w:t>202</w:t>
    </w:r>
    <w:r>
      <w:rPr>
        <w:rFonts w:ascii="Times New Roman" w:hAnsi="Times New Roman" w:cs="Times New Roman"/>
        <w:sz w:val="24"/>
      </w:rPr>
      <w:t>4</w:t>
    </w:r>
  </w:p>
  <w:p w14:paraId="5ECA3E22" w14:textId="77777777" w:rsidR="00F7692A" w:rsidRPr="00495AA1" w:rsidRDefault="00F7692A">
    <w:pPr>
      <w:spacing w:after="0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44950"/>
    <w:multiLevelType w:val="hybridMultilevel"/>
    <w:tmpl w:val="83142090"/>
    <w:lvl w:ilvl="0" w:tplc="7BBAEC2C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9D57B2"/>
    <w:multiLevelType w:val="hybridMultilevel"/>
    <w:tmpl w:val="0BD8D456"/>
    <w:lvl w:ilvl="0" w:tplc="CB9248C4">
      <w:start w:val="10"/>
      <w:numFmt w:val="bullet"/>
      <w:lvlText w:val="–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D6C1818"/>
    <w:multiLevelType w:val="hybridMultilevel"/>
    <w:tmpl w:val="82520D4A"/>
    <w:lvl w:ilvl="0" w:tplc="269EFB3A">
      <w:start w:val="2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D93C3B"/>
    <w:multiLevelType w:val="hybridMultilevel"/>
    <w:tmpl w:val="76F64C36"/>
    <w:lvl w:ilvl="0" w:tplc="83C0ED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56ED3"/>
    <w:multiLevelType w:val="hybridMultilevel"/>
    <w:tmpl w:val="ADA64A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B3D9C"/>
    <w:multiLevelType w:val="hybridMultilevel"/>
    <w:tmpl w:val="96803966"/>
    <w:lvl w:ilvl="0" w:tplc="22E4C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81AFC"/>
    <w:multiLevelType w:val="hybridMultilevel"/>
    <w:tmpl w:val="CB42440C"/>
    <w:lvl w:ilvl="0" w:tplc="22E4C70A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7" w15:restartNumberingAfterBreak="0">
    <w:nsid w:val="605C7AF1"/>
    <w:multiLevelType w:val="hybridMultilevel"/>
    <w:tmpl w:val="9DDC8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972307"/>
    <w:multiLevelType w:val="hybridMultilevel"/>
    <w:tmpl w:val="D53052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89096B"/>
    <w:multiLevelType w:val="hybridMultilevel"/>
    <w:tmpl w:val="16C28D66"/>
    <w:lvl w:ilvl="0" w:tplc="7BBAEC2C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8510C7"/>
    <w:multiLevelType w:val="hybridMultilevel"/>
    <w:tmpl w:val="C98CA2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55E1"/>
    <w:multiLevelType w:val="hybridMultilevel"/>
    <w:tmpl w:val="DC72A5AE"/>
    <w:lvl w:ilvl="0" w:tplc="22E4C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C774C"/>
    <w:multiLevelType w:val="hybridMultilevel"/>
    <w:tmpl w:val="F29E22F0"/>
    <w:lvl w:ilvl="0" w:tplc="7BBAEC2C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865F46"/>
    <w:multiLevelType w:val="hybridMultilevel"/>
    <w:tmpl w:val="88C438A4"/>
    <w:lvl w:ilvl="0" w:tplc="D76AB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0"/>
  </w:num>
  <w:num w:numId="8">
    <w:abstractNumId w:val="13"/>
  </w:num>
  <w:num w:numId="9">
    <w:abstractNumId w:val="7"/>
  </w:num>
  <w:num w:numId="10">
    <w:abstractNumId w:val="9"/>
  </w:num>
  <w:num w:numId="11">
    <w:abstractNumId w:val="11"/>
  </w:num>
  <w:num w:numId="12">
    <w:abstractNumId w:val="3"/>
  </w:num>
  <w:num w:numId="13">
    <w:abstractNumId w:val="12"/>
  </w:num>
  <w:num w:numId="1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C4"/>
    <w:rsid w:val="000007E4"/>
    <w:rsid w:val="00000DDD"/>
    <w:rsid w:val="000010E8"/>
    <w:rsid w:val="0000230D"/>
    <w:rsid w:val="0000292B"/>
    <w:rsid w:val="00003644"/>
    <w:rsid w:val="00003C9B"/>
    <w:rsid w:val="00005AEE"/>
    <w:rsid w:val="00021A13"/>
    <w:rsid w:val="00021C6F"/>
    <w:rsid w:val="0002261F"/>
    <w:rsid w:val="00023E5C"/>
    <w:rsid w:val="00024CCC"/>
    <w:rsid w:val="000254D8"/>
    <w:rsid w:val="000264F2"/>
    <w:rsid w:val="00027E79"/>
    <w:rsid w:val="000302A6"/>
    <w:rsid w:val="0003577C"/>
    <w:rsid w:val="00045D17"/>
    <w:rsid w:val="000515F0"/>
    <w:rsid w:val="00052EB3"/>
    <w:rsid w:val="0005434D"/>
    <w:rsid w:val="00062C17"/>
    <w:rsid w:val="000633D1"/>
    <w:rsid w:val="00063E4A"/>
    <w:rsid w:val="00065CAB"/>
    <w:rsid w:val="000675DA"/>
    <w:rsid w:val="000705F3"/>
    <w:rsid w:val="00072057"/>
    <w:rsid w:val="00073CDB"/>
    <w:rsid w:val="00073F14"/>
    <w:rsid w:val="000761A2"/>
    <w:rsid w:val="000768D0"/>
    <w:rsid w:val="00077BBE"/>
    <w:rsid w:val="00077DD4"/>
    <w:rsid w:val="0008106D"/>
    <w:rsid w:val="00086878"/>
    <w:rsid w:val="00087567"/>
    <w:rsid w:val="00090723"/>
    <w:rsid w:val="000919F5"/>
    <w:rsid w:val="0009297E"/>
    <w:rsid w:val="000952A8"/>
    <w:rsid w:val="00097788"/>
    <w:rsid w:val="000A1B8E"/>
    <w:rsid w:val="000A1FC5"/>
    <w:rsid w:val="000A458F"/>
    <w:rsid w:val="000A527A"/>
    <w:rsid w:val="000A7B9E"/>
    <w:rsid w:val="000B15EB"/>
    <w:rsid w:val="000B2699"/>
    <w:rsid w:val="000B35AD"/>
    <w:rsid w:val="000B560D"/>
    <w:rsid w:val="000B73E2"/>
    <w:rsid w:val="000C0E16"/>
    <w:rsid w:val="000C1410"/>
    <w:rsid w:val="000C1497"/>
    <w:rsid w:val="000C320C"/>
    <w:rsid w:val="000C5B9B"/>
    <w:rsid w:val="000C5C99"/>
    <w:rsid w:val="000D057A"/>
    <w:rsid w:val="000D5B9F"/>
    <w:rsid w:val="000E0279"/>
    <w:rsid w:val="000E3525"/>
    <w:rsid w:val="000E3E13"/>
    <w:rsid w:val="000E5D20"/>
    <w:rsid w:val="000F1E00"/>
    <w:rsid w:val="000F21EA"/>
    <w:rsid w:val="000F3007"/>
    <w:rsid w:val="000F3631"/>
    <w:rsid w:val="000F5166"/>
    <w:rsid w:val="000F565B"/>
    <w:rsid w:val="001031C9"/>
    <w:rsid w:val="001050BF"/>
    <w:rsid w:val="001063E6"/>
    <w:rsid w:val="00113B61"/>
    <w:rsid w:val="00114076"/>
    <w:rsid w:val="00116E50"/>
    <w:rsid w:val="00117429"/>
    <w:rsid w:val="00120475"/>
    <w:rsid w:val="00121B98"/>
    <w:rsid w:val="00123DF5"/>
    <w:rsid w:val="00124BE7"/>
    <w:rsid w:val="00127286"/>
    <w:rsid w:val="00127BF5"/>
    <w:rsid w:val="00134055"/>
    <w:rsid w:val="00135BD5"/>
    <w:rsid w:val="00137591"/>
    <w:rsid w:val="00140FF4"/>
    <w:rsid w:val="00143375"/>
    <w:rsid w:val="001448C9"/>
    <w:rsid w:val="00150449"/>
    <w:rsid w:val="00153D24"/>
    <w:rsid w:val="00156306"/>
    <w:rsid w:val="00156779"/>
    <w:rsid w:val="00156C31"/>
    <w:rsid w:val="00157F24"/>
    <w:rsid w:val="00161C5D"/>
    <w:rsid w:val="0016265A"/>
    <w:rsid w:val="001642B3"/>
    <w:rsid w:val="00164CBA"/>
    <w:rsid w:val="00166196"/>
    <w:rsid w:val="001700E9"/>
    <w:rsid w:val="001711E1"/>
    <w:rsid w:val="001723B9"/>
    <w:rsid w:val="00173CC5"/>
    <w:rsid w:val="0017488F"/>
    <w:rsid w:val="00176063"/>
    <w:rsid w:val="0017702B"/>
    <w:rsid w:val="001774EB"/>
    <w:rsid w:val="001819B7"/>
    <w:rsid w:val="0018302C"/>
    <w:rsid w:val="001840B8"/>
    <w:rsid w:val="00184660"/>
    <w:rsid w:val="0018692F"/>
    <w:rsid w:val="00186EA9"/>
    <w:rsid w:val="00187FF3"/>
    <w:rsid w:val="0019135F"/>
    <w:rsid w:val="0019220A"/>
    <w:rsid w:val="00193160"/>
    <w:rsid w:val="00195612"/>
    <w:rsid w:val="001966FF"/>
    <w:rsid w:val="001A09C2"/>
    <w:rsid w:val="001A2337"/>
    <w:rsid w:val="001A34CA"/>
    <w:rsid w:val="001A3519"/>
    <w:rsid w:val="001A372A"/>
    <w:rsid w:val="001A6479"/>
    <w:rsid w:val="001B2169"/>
    <w:rsid w:val="001B30BE"/>
    <w:rsid w:val="001B52EA"/>
    <w:rsid w:val="001C2865"/>
    <w:rsid w:val="001C55E9"/>
    <w:rsid w:val="001C6484"/>
    <w:rsid w:val="001C6C2E"/>
    <w:rsid w:val="001D2CEB"/>
    <w:rsid w:val="001D4755"/>
    <w:rsid w:val="001D4B95"/>
    <w:rsid w:val="001D694D"/>
    <w:rsid w:val="001D73AE"/>
    <w:rsid w:val="001E1C71"/>
    <w:rsid w:val="001E4A3B"/>
    <w:rsid w:val="001F0CEF"/>
    <w:rsid w:val="001F0EDD"/>
    <w:rsid w:val="001F0EF4"/>
    <w:rsid w:val="001F34E7"/>
    <w:rsid w:val="001F6FC5"/>
    <w:rsid w:val="002005BF"/>
    <w:rsid w:val="002129AE"/>
    <w:rsid w:val="00213C45"/>
    <w:rsid w:val="00213D0F"/>
    <w:rsid w:val="00215922"/>
    <w:rsid w:val="00216B8C"/>
    <w:rsid w:val="00217D5A"/>
    <w:rsid w:val="0022084D"/>
    <w:rsid w:val="002249A5"/>
    <w:rsid w:val="0022642F"/>
    <w:rsid w:val="00227084"/>
    <w:rsid w:val="002279CA"/>
    <w:rsid w:val="00235077"/>
    <w:rsid w:val="0023762E"/>
    <w:rsid w:val="0024015C"/>
    <w:rsid w:val="00240569"/>
    <w:rsid w:val="002419E6"/>
    <w:rsid w:val="00243F99"/>
    <w:rsid w:val="00244C6C"/>
    <w:rsid w:val="00250397"/>
    <w:rsid w:val="00251DF8"/>
    <w:rsid w:val="002523AA"/>
    <w:rsid w:val="00253814"/>
    <w:rsid w:val="00254B45"/>
    <w:rsid w:val="00254EC0"/>
    <w:rsid w:val="00256383"/>
    <w:rsid w:val="00260920"/>
    <w:rsid w:val="00264147"/>
    <w:rsid w:val="00264B66"/>
    <w:rsid w:val="00264B72"/>
    <w:rsid w:val="002663BA"/>
    <w:rsid w:val="00267B03"/>
    <w:rsid w:val="002701CE"/>
    <w:rsid w:val="00275C70"/>
    <w:rsid w:val="00275E14"/>
    <w:rsid w:val="002766EA"/>
    <w:rsid w:val="002806DC"/>
    <w:rsid w:val="00280DB4"/>
    <w:rsid w:val="002858B1"/>
    <w:rsid w:val="00286994"/>
    <w:rsid w:val="0028733C"/>
    <w:rsid w:val="00287D77"/>
    <w:rsid w:val="0029452A"/>
    <w:rsid w:val="002976CB"/>
    <w:rsid w:val="002A1F15"/>
    <w:rsid w:val="002A211A"/>
    <w:rsid w:val="002A4D6C"/>
    <w:rsid w:val="002B0B76"/>
    <w:rsid w:val="002B3817"/>
    <w:rsid w:val="002B3FBD"/>
    <w:rsid w:val="002B5E1A"/>
    <w:rsid w:val="002C553C"/>
    <w:rsid w:val="002C6066"/>
    <w:rsid w:val="002C61A5"/>
    <w:rsid w:val="002D0DA8"/>
    <w:rsid w:val="002D1C0F"/>
    <w:rsid w:val="002D1F85"/>
    <w:rsid w:val="002D396C"/>
    <w:rsid w:val="002D5035"/>
    <w:rsid w:val="002D50AD"/>
    <w:rsid w:val="002D56E8"/>
    <w:rsid w:val="002E4796"/>
    <w:rsid w:val="002E5D5F"/>
    <w:rsid w:val="002E72F6"/>
    <w:rsid w:val="002F0142"/>
    <w:rsid w:val="002F118F"/>
    <w:rsid w:val="002F1376"/>
    <w:rsid w:val="002F17B5"/>
    <w:rsid w:val="002F6DBD"/>
    <w:rsid w:val="002F75C4"/>
    <w:rsid w:val="00300C7F"/>
    <w:rsid w:val="00302ADA"/>
    <w:rsid w:val="00302CFF"/>
    <w:rsid w:val="00305968"/>
    <w:rsid w:val="00305F0D"/>
    <w:rsid w:val="00306331"/>
    <w:rsid w:val="00306627"/>
    <w:rsid w:val="00306E80"/>
    <w:rsid w:val="00306FDA"/>
    <w:rsid w:val="00311E07"/>
    <w:rsid w:val="003121CD"/>
    <w:rsid w:val="00313F75"/>
    <w:rsid w:val="00314493"/>
    <w:rsid w:val="00320C1B"/>
    <w:rsid w:val="00326920"/>
    <w:rsid w:val="00327628"/>
    <w:rsid w:val="003314ED"/>
    <w:rsid w:val="00340453"/>
    <w:rsid w:val="00340738"/>
    <w:rsid w:val="0034162E"/>
    <w:rsid w:val="00342452"/>
    <w:rsid w:val="0034350D"/>
    <w:rsid w:val="003445DB"/>
    <w:rsid w:val="00344956"/>
    <w:rsid w:val="0034499E"/>
    <w:rsid w:val="00345DC0"/>
    <w:rsid w:val="00346523"/>
    <w:rsid w:val="00350F96"/>
    <w:rsid w:val="00351000"/>
    <w:rsid w:val="00351067"/>
    <w:rsid w:val="00351B8A"/>
    <w:rsid w:val="0035386F"/>
    <w:rsid w:val="003576C5"/>
    <w:rsid w:val="00357D8A"/>
    <w:rsid w:val="00360E81"/>
    <w:rsid w:val="00360FDE"/>
    <w:rsid w:val="00363ABE"/>
    <w:rsid w:val="00363D78"/>
    <w:rsid w:val="00364B33"/>
    <w:rsid w:val="00367CDD"/>
    <w:rsid w:val="00372CC5"/>
    <w:rsid w:val="00373505"/>
    <w:rsid w:val="00373AC3"/>
    <w:rsid w:val="00374063"/>
    <w:rsid w:val="00374368"/>
    <w:rsid w:val="0037493D"/>
    <w:rsid w:val="003770F4"/>
    <w:rsid w:val="003779B0"/>
    <w:rsid w:val="003806DB"/>
    <w:rsid w:val="003820AE"/>
    <w:rsid w:val="00382855"/>
    <w:rsid w:val="003875DB"/>
    <w:rsid w:val="003876C4"/>
    <w:rsid w:val="003879E1"/>
    <w:rsid w:val="003903A2"/>
    <w:rsid w:val="00391929"/>
    <w:rsid w:val="00392C13"/>
    <w:rsid w:val="00395CB5"/>
    <w:rsid w:val="00396112"/>
    <w:rsid w:val="003A028D"/>
    <w:rsid w:val="003A16A1"/>
    <w:rsid w:val="003A4F66"/>
    <w:rsid w:val="003A53BC"/>
    <w:rsid w:val="003A5F18"/>
    <w:rsid w:val="003A62D4"/>
    <w:rsid w:val="003B0E00"/>
    <w:rsid w:val="003B7757"/>
    <w:rsid w:val="003C0140"/>
    <w:rsid w:val="003C2E30"/>
    <w:rsid w:val="003C4BC9"/>
    <w:rsid w:val="003C4FCB"/>
    <w:rsid w:val="003C521E"/>
    <w:rsid w:val="003C5550"/>
    <w:rsid w:val="003C6DD8"/>
    <w:rsid w:val="003C6F09"/>
    <w:rsid w:val="003C76AB"/>
    <w:rsid w:val="003D08FD"/>
    <w:rsid w:val="003D1D27"/>
    <w:rsid w:val="003D2E19"/>
    <w:rsid w:val="003D2F9F"/>
    <w:rsid w:val="003E0E72"/>
    <w:rsid w:val="003E25DF"/>
    <w:rsid w:val="003E4D44"/>
    <w:rsid w:val="003E717E"/>
    <w:rsid w:val="003E7429"/>
    <w:rsid w:val="003E7C26"/>
    <w:rsid w:val="003E7E45"/>
    <w:rsid w:val="003E7EE0"/>
    <w:rsid w:val="003F0BAE"/>
    <w:rsid w:val="003F1090"/>
    <w:rsid w:val="003F1392"/>
    <w:rsid w:val="003F2867"/>
    <w:rsid w:val="003F2979"/>
    <w:rsid w:val="003F4CDF"/>
    <w:rsid w:val="003F59E0"/>
    <w:rsid w:val="003F760F"/>
    <w:rsid w:val="00400C00"/>
    <w:rsid w:val="004062E8"/>
    <w:rsid w:val="00407B1C"/>
    <w:rsid w:val="00407FB8"/>
    <w:rsid w:val="00410A44"/>
    <w:rsid w:val="00412B7F"/>
    <w:rsid w:val="00412BFC"/>
    <w:rsid w:val="00413A03"/>
    <w:rsid w:val="00416AC0"/>
    <w:rsid w:val="0042082A"/>
    <w:rsid w:val="0042261D"/>
    <w:rsid w:val="00422A99"/>
    <w:rsid w:val="00423068"/>
    <w:rsid w:val="00423A87"/>
    <w:rsid w:val="00426FCE"/>
    <w:rsid w:val="00430406"/>
    <w:rsid w:val="00431433"/>
    <w:rsid w:val="0043348C"/>
    <w:rsid w:val="00434059"/>
    <w:rsid w:val="00434393"/>
    <w:rsid w:val="004447C4"/>
    <w:rsid w:val="00444DE2"/>
    <w:rsid w:val="00445F75"/>
    <w:rsid w:val="00446D17"/>
    <w:rsid w:val="00447D53"/>
    <w:rsid w:val="00453F96"/>
    <w:rsid w:val="00455B66"/>
    <w:rsid w:val="0045645D"/>
    <w:rsid w:val="004613C3"/>
    <w:rsid w:val="004623E8"/>
    <w:rsid w:val="00463999"/>
    <w:rsid w:val="0046661F"/>
    <w:rsid w:val="00470B67"/>
    <w:rsid w:val="00471813"/>
    <w:rsid w:val="00472A82"/>
    <w:rsid w:val="0047750D"/>
    <w:rsid w:val="00477563"/>
    <w:rsid w:val="004801F0"/>
    <w:rsid w:val="0048492A"/>
    <w:rsid w:val="00485EA0"/>
    <w:rsid w:val="00490EFC"/>
    <w:rsid w:val="0049140B"/>
    <w:rsid w:val="0049181D"/>
    <w:rsid w:val="00492390"/>
    <w:rsid w:val="004924CA"/>
    <w:rsid w:val="00495214"/>
    <w:rsid w:val="004954A7"/>
    <w:rsid w:val="004A3A49"/>
    <w:rsid w:val="004B092B"/>
    <w:rsid w:val="004B1E0F"/>
    <w:rsid w:val="004B3615"/>
    <w:rsid w:val="004B4C98"/>
    <w:rsid w:val="004B4D49"/>
    <w:rsid w:val="004B7985"/>
    <w:rsid w:val="004C24CA"/>
    <w:rsid w:val="004C3685"/>
    <w:rsid w:val="004C3FFD"/>
    <w:rsid w:val="004C5C70"/>
    <w:rsid w:val="004D0830"/>
    <w:rsid w:val="004D20FD"/>
    <w:rsid w:val="004D2823"/>
    <w:rsid w:val="004D4492"/>
    <w:rsid w:val="004D5C36"/>
    <w:rsid w:val="004D638C"/>
    <w:rsid w:val="004D7263"/>
    <w:rsid w:val="004D7613"/>
    <w:rsid w:val="004E0A2C"/>
    <w:rsid w:val="004E0F46"/>
    <w:rsid w:val="004E1A22"/>
    <w:rsid w:val="004E4741"/>
    <w:rsid w:val="004E6BA2"/>
    <w:rsid w:val="004F06B4"/>
    <w:rsid w:val="004F07A4"/>
    <w:rsid w:val="004F6613"/>
    <w:rsid w:val="005002B1"/>
    <w:rsid w:val="005023E4"/>
    <w:rsid w:val="00503169"/>
    <w:rsid w:val="00503244"/>
    <w:rsid w:val="00503F12"/>
    <w:rsid w:val="00504BFA"/>
    <w:rsid w:val="00506B44"/>
    <w:rsid w:val="00511C20"/>
    <w:rsid w:val="00512E65"/>
    <w:rsid w:val="005130A8"/>
    <w:rsid w:val="00513A9D"/>
    <w:rsid w:val="0051440F"/>
    <w:rsid w:val="0052163E"/>
    <w:rsid w:val="00523242"/>
    <w:rsid w:val="00524860"/>
    <w:rsid w:val="00524D0F"/>
    <w:rsid w:val="00525B32"/>
    <w:rsid w:val="00527F8E"/>
    <w:rsid w:val="00530C1D"/>
    <w:rsid w:val="00531F2B"/>
    <w:rsid w:val="00532B7B"/>
    <w:rsid w:val="00536DD1"/>
    <w:rsid w:val="00541970"/>
    <w:rsid w:val="00541BC3"/>
    <w:rsid w:val="00543A79"/>
    <w:rsid w:val="00544D4E"/>
    <w:rsid w:val="00547C27"/>
    <w:rsid w:val="00547F86"/>
    <w:rsid w:val="00550F31"/>
    <w:rsid w:val="005520E9"/>
    <w:rsid w:val="00552DA0"/>
    <w:rsid w:val="00562751"/>
    <w:rsid w:val="00563808"/>
    <w:rsid w:val="005643B0"/>
    <w:rsid w:val="00564A07"/>
    <w:rsid w:val="00572C13"/>
    <w:rsid w:val="0057740C"/>
    <w:rsid w:val="005805C4"/>
    <w:rsid w:val="00586384"/>
    <w:rsid w:val="00590300"/>
    <w:rsid w:val="005936E2"/>
    <w:rsid w:val="005946B8"/>
    <w:rsid w:val="00594DAE"/>
    <w:rsid w:val="005A005E"/>
    <w:rsid w:val="005A30A8"/>
    <w:rsid w:val="005A4B16"/>
    <w:rsid w:val="005A6758"/>
    <w:rsid w:val="005B33EC"/>
    <w:rsid w:val="005B57BF"/>
    <w:rsid w:val="005C03D7"/>
    <w:rsid w:val="005C1659"/>
    <w:rsid w:val="005D29A6"/>
    <w:rsid w:val="005D4048"/>
    <w:rsid w:val="005D486A"/>
    <w:rsid w:val="005D4D74"/>
    <w:rsid w:val="005D5D00"/>
    <w:rsid w:val="005D6C8C"/>
    <w:rsid w:val="005D6D12"/>
    <w:rsid w:val="005D6F8D"/>
    <w:rsid w:val="005D70F3"/>
    <w:rsid w:val="005E218C"/>
    <w:rsid w:val="005E3A50"/>
    <w:rsid w:val="005E3F42"/>
    <w:rsid w:val="005E7823"/>
    <w:rsid w:val="005F1955"/>
    <w:rsid w:val="005F4ED9"/>
    <w:rsid w:val="005F7B0F"/>
    <w:rsid w:val="006025C6"/>
    <w:rsid w:val="00602998"/>
    <w:rsid w:val="00602B05"/>
    <w:rsid w:val="00606ECF"/>
    <w:rsid w:val="00610ABC"/>
    <w:rsid w:val="00610C6E"/>
    <w:rsid w:val="00613B58"/>
    <w:rsid w:val="00616DC1"/>
    <w:rsid w:val="00621152"/>
    <w:rsid w:val="00627FED"/>
    <w:rsid w:val="006308C5"/>
    <w:rsid w:val="00631379"/>
    <w:rsid w:val="00631E4C"/>
    <w:rsid w:val="00634789"/>
    <w:rsid w:val="00635082"/>
    <w:rsid w:val="00636728"/>
    <w:rsid w:val="00636D05"/>
    <w:rsid w:val="006400E8"/>
    <w:rsid w:val="00640C66"/>
    <w:rsid w:val="00642F1E"/>
    <w:rsid w:val="006432DF"/>
    <w:rsid w:val="006474F7"/>
    <w:rsid w:val="006476C5"/>
    <w:rsid w:val="00653B13"/>
    <w:rsid w:val="00655461"/>
    <w:rsid w:val="0066077B"/>
    <w:rsid w:val="00661247"/>
    <w:rsid w:val="00664EF8"/>
    <w:rsid w:val="00666061"/>
    <w:rsid w:val="00672142"/>
    <w:rsid w:val="00674BDA"/>
    <w:rsid w:val="0068194E"/>
    <w:rsid w:val="0068279D"/>
    <w:rsid w:val="00682957"/>
    <w:rsid w:val="0068301A"/>
    <w:rsid w:val="006840A9"/>
    <w:rsid w:val="00684CD7"/>
    <w:rsid w:val="006855CB"/>
    <w:rsid w:val="006860B7"/>
    <w:rsid w:val="00686326"/>
    <w:rsid w:val="0068787D"/>
    <w:rsid w:val="00687F15"/>
    <w:rsid w:val="00690D9E"/>
    <w:rsid w:val="00691102"/>
    <w:rsid w:val="006918FC"/>
    <w:rsid w:val="006920A9"/>
    <w:rsid w:val="006944CD"/>
    <w:rsid w:val="00694886"/>
    <w:rsid w:val="00694DB4"/>
    <w:rsid w:val="00695A19"/>
    <w:rsid w:val="00695F22"/>
    <w:rsid w:val="006A01ED"/>
    <w:rsid w:val="006A7D86"/>
    <w:rsid w:val="006A7DD9"/>
    <w:rsid w:val="006B04D6"/>
    <w:rsid w:val="006B12FF"/>
    <w:rsid w:val="006B1B60"/>
    <w:rsid w:val="006B32DA"/>
    <w:rsid w:val="006B3D12"/>
    <w:rsid w:val="006B5543"/>
    <w:rsid w:val="006C3EB1"/>
    <w:rsid w:val="006D3020"/>
    <w:rsid w:val="006D398E"/>
    <w:rsid w:val="006D3FC8"/>
    <w:rsid w:val="006D4013"/>
    <w:rsid w:val="006D4EF9"/>
    <w:rsid w:val="006E03DB"/>
    <w:rsid w:val="006E07A9"/>
    <w:rsid w:val="006E188F"/>
    <w:rsid w:val="006E6A6E"/>
    <w:rsid w:val="006F2E59"/>
    <w:rsid w:val="006F5394"/>
    <w:rsid w:val="006F6AF8"/>
    <w:rsid w:val="006F799D"/>
    <w:rsid w:val="00702131"/>
    <w:rsid w:val="00702A47"/>
    <w:rsid w:val="00702D12"/>
    <w:rsid w:val="00703828"/>
    <w:rsid w:val="00703A6D"/>
    <w:rsid w:val="00703FE7"/>
    <w:rsid w:val="00704596"/>
    <w:rsid w:val="00704D46"/>
    <w:rsid w:val="00706F34"/>
    <w:rsid w:val="0071057E"/>
    <w:rsid w:val="00710CD4"/>
    <w:rsid w:val="00712B24"/>
    <w:rsid w:val="00713A14"/>
    <w:rsid w:val="00714950"/>
    <w:rsid w:val="007175C7"/>
    <w:rsid w:val="0072049C"/>
    <w:rsid w:val="0072313D"/>
    <w:rsid w:val="00723631"/>
    <w:rsid w:val="00724CC3"/>
    <w:rsid w:val="0073105E"/>
    <w:rsid w:val="0073132B"/>
    <w:rsid w:val="0073268D"/>
    <w:rsid w:val="0073348D"/>
    <w:rsid w:val="0074248A"/>
    <w:rsid w:val="00744625"/>
    <w:rsid w:val="0075032D"/>
    <w:rsid w:val="00751668"/>
    <w:rsid w:val="00751BB9"/>
    <w:rsid w:val="00752DEE"/>
    <w:rsid w:val="0075329A"/>
    <w:rsid w:val="00753726"/>
    <w:rsid w:val="00760E5B"/>
    <w:rsid w:val="00764244"/>
    <w:rsid w:val="0076439E"/>
    <w:rsid w:val="00764ED0"/>
    <w:rsid w:val="00766705"/>
    <w:rsid w:val="007676A7"/>
    <w:rsid w:val="007701DC"/>
    <w:rsid w:val="00771C7A"/>
    <w:rsid w:val="00774199"/>
    <w:rsid w:val="00775053"/>
    <w:rsid w:val="0077618C"/>
    <w:rsid w:val="0077625E"/>
    <w:rsid w:val="0078254C"/>
    <w:rsid w:val="00782BAD"/>
    <w:rsid w:val="00783873"/>
    <w:rsid w:val="007851F5"/>
    <w:rsid w:val="00785671"/>
    <w:rsid w:val="0078602E"/>
    <w:rsid w:val="00786339"/>
    <w:rsid w:val="00786B5C"/>
    <w:rsid w:val="00792ABE"/>
    <w:rsid w:val="007934CD"/>
    <w:rsid w:val="00793E0D"/>
    <w:rsid w:val="0079566E"/>
    <w:rsid w:val="00797142"/>
    <w:rsid w:val="007A32AF"/>
    <w:rsid w:val="007A374C"/>
    <w:rsid w:val="007A426E"/>
    <w:rsid w:val="007A46AF"/>
    <w:rsid w:val="007A4AED"/>
    <w:rsid w:val="007A5D50"/>
    <w:rsid w:val="007A5F8A"/>
    <w:rsid w:val="007A79D2"/>
    <w:rsid w:val="007A7BB7"/>
    <w:rsid w:val="007B3736"/>
    <w:rsid w:val="007B4328"/>
    <w:rsid w:val="007B5732"/>
    <w:rsid w:val="007B6E6B"/>
    <w:rsid w:val="007B71E6"/>
    <w:rsid w:val="007C1AB4"/>
    <w:rsid w:val="007C1FDB"/>
    <w:rsid w:val="007C4019"/>
    <w:rsid w:val="007C44F2"/>
    <w:rsid w:val="007C6AB0"/>
    <w:rsid w:val="007D60F3"/>
    <w:rsid w:val="007D62C0"/>
    <w:rsid w:val="007D691A"/>
    <w:rsid w:val="007D6973"/>
    <w:rsid w:val="007D6E39"/>
    <w:rsid w:val="007E1445"/>
    <w:rsid w:val="007E2332"/>
    <w:rsid w:val="007E28C4"/>
    <w:rsid w:val="007E3400"/>
    <w:rsid w:val="007F1AFF"/>
    <w:rsid w:val="007F2090"/>
    <w:rsid w:val="007F3966"/>
    <w:rsid w:val="007F3FA0"/>
    <w:rsid w:val="007F5F27"/>
    <w:rsid w:val="0080386E"/>
    <w:rsid w:val="00804222"/>
    <w:rsid w:val="00804E73"/>
    <w:rsid w:val="008057F3"/>
    <w:rsid w:val="00805C64"/>
    <w:rsid w:val="00806D08"/>
    <w:rsid w:val="00810473"/>
    <w:rsid w:val="0081487D"/>
    <w:rsid w:val="00814ABB"/>
    <w:rsid w:val="00816103"/>
    <w:rsid w:val="00817099"/>
    <w:rsid w:val="0081719F"/>
    <w:rsid w:val="00821B03"/>
    <w:rsid w:val="00823C2F"/>
    <w:rsid w:val="00825659"/>
    <w:rsid w:val="00827549"/>
    <w:rsid w:val="008275ED"/>
    <w:rsid w:val="008302DF"/>
    <w:rsid w:val="00830C58"/>
    <w:rsid w:val="00831CF4"/>
    <w:rsid w:val="008337F0"/>
    <w:rsid w:val="008375A9"/>
    <w:rsid w:val="008401F4"/>
    <w:rsid w:val="0084395B"/>
    <w:rsid w:val="0084604D"/>
    <w:rsid w:val="008466CC"/>
    <w:rsid w:val="008501E1"/>
    <w:rsid w:val="008506A5"/>
    <w:rsid w:val="00856289"/>
    <w:rsid w:val="00860439"/>
    <w:rsid w:val="00860BE1"/>
    <w:rsid w:val="0086112A"/>
    <w:rsid w:val="00862939"/>
    <w:rsid w:val="00862E18"/>
    <w:rsid w:val="00863A4A"/>
    <w:rsid w:val="00863BC1"/>
    <w:rsid w:val="0087564A"/>
    <w:rsid w:val="00875FE2"/>
    <w:rsid w:val="008805B2"/>
    <w:rsid w:val="008809C2"/>
    <w:rsid w:val="0088222E"/>
    <w:rsid w:val="00882A74"/>
    <w:rsid w:val="008836AD"/>
    <w:rsid w:val="00885229"/>
    <w:rsid w:val="00886D5C"/>
    <w:rsid w:val="008878F4"/>
    <w:rsid w:val="0089254F"/>
    <w:rsid w:val="008926DE"/>
    <w:rsid w:val="00892B8A"/>
    <w:rsid w:val="0089358E"/>
    <w:rsid w:val="00893CC7"/>
    <w:rsid w:val="00894394"/>
    <w:rsid w:val="00894CD2"/>
    <w:rsid w:val="00896EAB"/>
    <w:rsid w:val="008A1230"/>
    <w:rsid w:val="008A19D6"/>
    <w:rsid w:val="008A3354"/>
    <w:rsid w:val="008A340F"/>
    <w:rsid w:val="008A3A8B"/>
    <w:rsid w:val="008A4887"/>
    <w:rsid w:val="008B3438"/>
    <w:rsid w:val="008B4819"/>
    <w:rsid w:val="008B4A5A"/>
    <w:rsid w:val="008B70ED"/>
    <w:rsid w:val="008C0EEC"/>
    <w:rsid w:val="008C163B"/>
    <w:rsid w:val="008C19F7"/>
    <w:rsid w:val="008C2611"/>
    <w:rsid w:val="008C52AB"/>
    <w:rsid w:val="008C6457"/>
    <w:rsid w:val="008C6948"/>
    <w:rsid w:val="008D1C6B"/>
    <w:rsid w:val="008D288B"/>
    <w:rsid w:val="008D2D4E"/>
    <w:rsid w:val="008D3A7E"/>
    <w:rsid w:val="008D40B8"/>
    <w:rsid w:val="008D5222"/>
    <w:rsid w:val="008D6336"/>
    <w:rsid w:val="008E7958"/>
    <w:rsid w:val="008F04BF"/>
    <w:rsid w:val="008F0BF8"/>
    <w:rsid w:val="008F208C"/>
    <w:rsid w:val="008F557D"/>
    <w:rsid w:val="00901065"/>
    <w:rsid w:val="00903081"/>
    <w:rsid w:val="00911804"/>
    <w:rsid w:val="00912198"/>
    <w:rsid w:val="00912F55"/>
    <w:rsid w:val="00913F72"/>
    <w:rsid w:val="0091674D"/>
    <w:rsid w:val="00921796"/>
    <w:rsid w:val="00921852"/>
    <w:rsid w:val="00922536"/>
    <w:rsid w:val="00924400"/>
    <w:rsid w:val="009246F5"/>
    <w:rsid w:val="009306FD"/>
    <w:rsid w:val="0093114C"/>
    <w:rsid w:val="00931CB4"/>
    <w:rsid w:val="00933CC2"/>
    <w:rsid w:val="00936C67"/>
    <w:rsid w:val="00942138"/>
    <w:rsid w:val="00942220"/>
    <w:rsid w:val="0094318D"/>
    <w:rsid w:val="00951813"/>
    <w:rsid w:val="00952671"/>
    <w:rsid w:val="009578C0"/>
    <w:rsid w:val="009600BA"/>
    <w:rsid w:val="0096087E"/>
    <w:rsid w:val="009633B2"/>
    <w:rsid w:val="0096493A"/>
    <w:rsid w:val="00964BC3"/>
    <w:rsid w:val="0096685E"/>
    <w:rsid w:val="00966916"/>
    <w:rsid w:val="00966C90"/>
    <w:rsid w:val="00967CED"/>
    <w:rsid w:val="00970948"/>
    <w:rsid w:val="00971BB5"/>
    <w:rsid w:val="00971C33"/>
    <w:rsid w:val="00974662"/>
    <w:rsid w:val="00975CDA"/>
    <w:rsid w:val="00976C50"/>
    <w:rsid w:val="00976D46"/>
    <w:rsid w:val="00977912"/>
    <w:rsid w:val="00981BC3"/>
    <w:rsid w:val="00981FFE"/>
    <w:rsid w:val="00983ACB"/>
    <w:rsid w:val="00984664"/>
    <w:rsid w:val="0098499B"/>
    <w:rsid w:val="00985525"/>
    <w:rsid w:val="00985BC2"/>
    <w:rsid w:val="00994D63"/>
    <w:rsid w:val="009953AF"/>
    <w:rsid w:val="009A02DA"/>
    <w:rsid w:val="009A47FF"/>
    <w:rsid w:val="009A519E"/>
    <w:rsid w:val="009A7391"/>
    <w:rsid w:val="009B0225"/>
    <w:rsid w:val="009B3534"/>
    <w:rsid w:val="009B3631"/>
    <w:rsid w:val="009C21D0"/>
    <w:rsid w:val="009C719F"/>
    <w:rsid w:val="009C7A4B"/>
    <w:rsid w:val="009D2833"/>
    <w:rsid w:val="009D646C"/>
    <w:rsid w:val="009D71E8"/>
    <w:rsid w:val="009E2BBD"/>
    <w:rsid w:val="009E3397"/>
    <w:rsid w:val="009E3B87"/>
    <w:rsid w:val="009E5D61"/>
    <w:rsid w:val="009E6114"/>
    <w:rsid w:val="009E7BC9"/>
    <w:rsid w:val="009F003A"/>
    <w:rsid w:val="009F2B4E"/>
    <w:rsid w:val="009F49B0"/>
    <w:rsid w:val="009F5A73"/>
    <w:rsid w:val="009F69E5"/>
    <w:rsid w:val="009F6D5E"/>
    <w:rsid w:val="00A0050B"/>
    <w:rsid w:val="00A02A89"/>
    <w:rsid w:val="00A02D81"/>
    <w:rsid w:val="00A038F9"/>
    <w:rsid w:val="00A03E47"/>
    <w:rsid w:val="00A05951"/>
    <w:rsid w:val="00A10CE6"/>
    <w:rsid w:val="00A15587"/>
    <w:rsid w:val="00A157D0"/>
    <w:rsid w:val="00A15B41"/>
    <w:rsid w:val="00A16C15"/>
    <w:rsid w:val="00A176FC"/>
    <w:rsid w:val="00A17D49"/>
    <w:rsid w:val="00A20A2A"/>
    <w:rsid w:val="00A2195A"/>
    <w:rsid w:val="00A22332"/>
    <w:rsid w:val="00A251A8"/>
    <w:rsid w:val="00A265E9"/>
    <w:rsid w:val="00A274F8"/>
    <w:rsid w:val="00A30071"/>
    <w:rsid w:val="00A30CC1"/>
    <w:rsid w:val="00A31B89"/>
    <w:rsid w:val="00A32323"/>
    <w:rsid w:val="00A340AB"/>
    <w:rsid w:val="00A40080"/>
    <w:rsid w:val="00A41C41"/>
    <w:rsid w:val="00A463BB"/>
    <w:rsid w:val="00A5153C"/>
    <w:rsid w:val="00A52041"/>
    <w:rsid w:val="00A614F1"/>
    <w:rsid w:val="00A636C5"/>
    <w:rsid w:val="00A64044"/>
    <w:rsid w:val="00A67960"/>
    <w:rsid w:val="00A71F8B"/>
    <w:rsid w:val="00A722A9"/>
    <w:rsid w:val="00A72403"/>
    <w:rsid w:val="00A72AFA"/>
    <w:rsid w:val="00A741DA"/>
    <w:rsid w:val="00A74902"/>
    <w:rsid w:val="00A74F46"/>
    <w:rsid w:val="00A75FAF"/>
    <w:rsid w:val="00A773F8"/>
    <w:rsid w:val="00A77679"/>
    <w:rsid w:val="00A806D3"/>
    <w:rsid w:val="00A80874"/>
    <w:rsid w:val="00A8192C"/>
    <w:rsid w:val="00A81938"/>
    <w:rsid w:val="00A81ED7"/>
    <w:rsid w:val="00A84BA1"/>
    <w:rsid w:val="00A84FEE"/>
    <w:rsid w:val="00A85D1D"/>
    <w:rsid w:val="00A86977"/>
    <w:rsid w:val="00A90D80"/>
    <w:rsid w:val="00A91C2F"/>
    <w:rsid w:val="00A93AFF"/>
    <w:rsid w:val="00AA01EE"/>
    <w:rsid w:val="00AA050B"/>
    <w:rsid w:val="00AA286C"/>
    <w:rsid w:val="00AA31DA"/>
    <w:rsid w:val="00AA38BD"/>
    <w:rsid w:val="00AA4367"/>
    <w:rsid w:val="00AA629A"/>
    <w:rsid w:val="00AA7608"/>
    <w:rsid w:val="00AA7D92"/>
    <w:rsid w:val="00AB2442"/>
    <w:rsid w:val="00AB2580"/>
    <w:rsid w:val="00AB3152"/>
    <w:rsid w:val="00AB3A2F"/>
    <w:rsid w:val="00AB3F5B"/>
    <w:rsid w:val="00AC049A"/>
    <w:rsid w:val="00AC19C0"/>
    <w:rsid w:val="00AC3D11"/>
    <w:rsid w:val="00AC5FBF"/>
    <w:rsid w:val="00AD0C2B"/>
    <w:rsid w:val="00AD4254"/>
    <w:rsid w:val="00AD4D6F"/>
    <w:rsid w:val="00AD5999"/>
    <w:rsid w:val="00AD6729"/>
    <w:rsid w:val="00AE1E82"/>
    <w:rsid w:val="00AE2EBD"/>
    <w:rsid w:val="00AE4BE9"/>
    <w:rsid w:val="00AE57CC"/>
    <w:rsid w:val="00AE5ED4"/>
    <w:rsid w:val="00AE71F1"/>
    <w:rsid w:val="00AF13FF"/>
    <w:rsid w:val="00AF176E"/>
    <w:rsid w:val="00AF5326"/>
    <w:rsid w:val="00AF6D8D"/>
    <w:rsid w:val="00AF6FE9"/>
    <w:rsid w:val="00B02BAD"/>
    <w:rsid w:val="00B07469"/>
    <w:rsid w:val="00B124A1"/>
    <w:rsid w:val="00B12750"/>
    <w:rsid w:val="00B162C4"/>
    <w:rsid w:val="00B169B7"/>
    <w:rsid w:val="00B16B68"/>
    <w:rsid w:val="00B200C5"/>
    <w:rsid w:val="00B20D7E"/>
    <w:rsid w:val="00B22ABD"/>
    <w:rsid w:val="00B22DAB"/>
    <w:rsid w:val="00B237FF"/>
    <w:rsid w:val="00B25560"/>
    <w:rsid w:val="00B30CEB"/>
    <w:rsid w:val="00B36956"/>
    <w:rsid w:val="00B40C7F"/>
    <w:rsid w:val="00B42859"/>
    <w:rsid w:val="00B429DF"/>
    <w:rsid w:val="00B43B2E"/>
    <w:rsid w:val="00B44C45"/>
    <w:rsid w:val="00B45C4E"/>
    <w:rsid w:val="00B47813"/>
    <w:rsid w:val="00B544FD"/>
    <w:rsid w:val="00B63B12"/>
    <w:rsid w:val="00B63CDC"/>
    <w:rsid w:val="00B644A2"/>
    <w:rsid w:val="00B65ADD"/>
    <w:rsid w:val="00B67153"/>
    <w:rsid w:val="00B712FE"/>
    <w:rsid w:val="00B725E2"/>
    <w:rsid w:val="00B742AB"/>
    <w:rsid w:val="00B7470F"/>
    <w:rsid w:val="00B75DFB"/>
    <w:rsid w:val="00B76B39"/>
    <w:rsid w:val="00B77287"/>
    <w:rsid w:val="00B82C94"/>
    <w:rsid w:val="00B86B78"/>
    <w:rsid w:val="00B86C4B"/>
    <w:rsid w:val="00B872F5"/>
    <w:rsid w:val="00B90B10"/>
    <w:rsid w:val="00B90BDC"/>
    <w:rsid w:val="00B94B18"/>
    <w:rsid w:val="00B9563D"/>
    <w:rsid w:val="00B95B5C"/>
    <w:rsid w:val="00B96921"/>
    <w:rsid w:val="00BA2069"/>
    <w:rsid w:val="00BA26CE"/>
    <w:rsid w:val="00BA54D6"/>
    <w:rsid w:val="00BA57A0"/>
    <w:rsid w:val="00BA59E7"/>
    <w:rsid w:val="00BA709D"/>
    <w:rsid w:val="00BB04F1"/>
    <w:rsid w:val="00BB2290"/>
    <w:rsid w:val="00BB273E"/>
    <w:rsid w:val="00BB2EE2"/>
    <w:rsid w:val="00BB7507"/>
    <w:rsid w:val="00BC05EE"/>
    <w:rsid w:val="00BC0AFD"/>
    <w:rsid w:val="00BC0EE1"/>
    <w:rsid w:val="00BC2499"/>
    <w:rsid w:val="00BC251C"/>
    <w:rsid w:val="00BC2D1D"/>
    <w:rsid w:val="00BC3DC9"/>
    <w:rsid w:val="00BC6F5E"/>
    <w:rsid w:val="00BD3C92"/>
    <w:rsid w:val="00BD5ABD"/>
    <w:rsid w:val="00BD6959"/>
    <w:rsid w:val="00BE0BA8"/>
    <w:rsid w:val="00BE0DEC"/>
    <w:rsid w:val="00BE13DD"/>
    <w:rsid w:val="00BE4CDE"/>
    <w:rsid w:val="00BF12A4"/>
    <w:rsid w:val="00BF2FCD"/>
    <w:rsid w:val="00BF40C5"/>
    <w:rsid w:val="00BF5786"/>
    <w:rsid w:val="00C0082C"/>
    <w:rsid w:val="00C01A9A"/>
    <w:rsid w:val="00C02D7B"/>
    <w:rsid w:val="00C03010"/>
    <w:rsid w:val="00C03494"/>
    <w:rsid w:val="00C04B9D"/>
    <w:rsid w:val="00C04D1F"/>
    <w:rsid w:val="00C10BE4"/>
    <w:rsid w:val="00C11179"/>
    <w:rsid w:val="00C12BF7"/>
    <w:rsid w:val="00C14A88"/>
    <w:rsid w:val="00C16CC7"/>
    <w:rsid w:val="00C173C9"/>
    <w:rsid w:val="00C173F0"/>
    <w:rsid w:val="00C23784"/>
    <w:rsid w:val="00C272F9"/>
    <w:rsid w:val="00C2756C"/>
    <w:rsid w:val="00C300E3"/>
    <w:rsid w:val="00C332F8"/>
    <w:rsid w:val="00C3409D"/>
    <w:rsid w:val="00C35FA2"/>
    <w:rsid w:val="00C36154"/>
    <w:rsid w:val="00C37005"/>
    <w:rsid w:val="00C37CC2"/>
    <w:rsid w:val="00C42C0F"/>
    <w:rsid w:val="00C43DB7"/>
    <w:rsid w:val="00C46258"/>
    <w:rsid w:val="00C46C90"/>
    <w:rsid w:val="00C501ED"/>
    <w:rsid w:val="00C51F3E"/>
    <w:rsid w:val="00C5233C"/>
    <w:rsid w:val="00C533B8"/>
    <w:rsid w:val="00C5547E"/>
    <w:rsid w:val="00C570EC"/>
    <w:rsid w:val="00C612A7"/>
    <w:rsid w:val="00C6181C"/>
    <w:rsid w:val="00C61F94"/>
    <w:rsid w:val="00C621BA"/>
    <w:rsid w:val="00C623CF"/>
    <w:rsid w:val="00C63E3D"/>
    <w:rsid w:val="00C67D96"/>
    <w:rsid w:val="00C7466C"/>
    <w:rsid w:val="00C746D3"/>
    <w:rsid w:val="00C77774"/>
    <w:rsid w:val="00C77D5E"/>
    <w:rsid w:val="00C81E8C"/>
    <w:rsid w:val="00C84CC3"/>
    <w:rsid w:val="00C866C9"/>
    <w:rsid w:val="00C86977"/>
    <w:rsid w:val="00C86DB8"/>
    <w:rsid w:val="00C86F49"/>
    <w:rsid w:val="00C86F8C"/>
    <w:rsid w:val="00C91B15"/>
    <w:rsid w:val="00C9396A"/>
    <w:rsid w:val="00C97B79"/>
    <w:rsid w:val="00CA215B"/>
    <w:rsid w:val="00CA445F"/>
    <w:rsid w:val="00CA5A1B"/>
    <w:rsid w:val="00CA5AC1"/>
    <w:rsid w:val="00CA6BFF"/>
    <w:rsid w:val="00CA7B4F"/>
    <w:rsid w:val="00CB16EC"/>
    <w:rsid w:val="00CB2145"/>
    <w:rsid w:val="00CB54AA"/>
    <w:rsid w:val="00CC630C"/>
    <w:rsid w:val="00CD05AA"/>
    <w:rsid w:val="00CD105F"/>
    <w:rsid w:val="00CD5EB6"/>
    <w:rsid w:val="00CD6038"/>
    <w:rsid w:val="00CE18EB"/>
    <w:rsid w:val="00CE1F73"/>
    <w:rsid w:val="00CE2992"/>
    <w:rsid w:val="00CE43B1"/>
    <w:rsid w:val="00CF0DF2"/>
    <w:rsid w:val="00CF2548"/>
    <w:rsid w:val="00CF25BE"/>
    <w:rsid w:val="00CF4B5B"/>
    <w:rsid w:val="00CF4FC6"/>
    <w:rsid w:val="00CF5DEC"/>
    <w:rsid w:val="00CF6948"/>
    <w:rsid w:val="00D03232"/>
    <w:rsid w:val="00D04AB9"/>
    <w:rsid w:val="00D14344"/>
    <w:rsid w:val="00D14C47"/>
    <w:rsid w:val="00D17272"/>
    <w:rsid w:val="00D2191B"/>
    <w:rsid w:val="00D21BAA"/>
    <w:rsid w:val="00D300AA"/>
    <w:rsid w:val="00D30F51"/>
    <w:rsid w:val="00D3131C"/>
    <w:rsid w:val="00D314DE"/>
    <w:rsid w:val="00D31BC9"/>
    <w:rsid w:val="00D33413"/>
    <w:rsid w:val="00D35574"/>
    <w:rsid w:val="00D40A60"/>
    <w:rsid w:val="00D4167C"/>
    <w:rsid w:val="00D4526D"/>
    <w:rsid w:val="00D45552"/>
    <w:rsid w:val="00D47D95"/>
    <w:rsid w:val="00D502CC"/>
    <w:rsid w:val="00D5155D"/>
    <w:rsid w:val="00D52CC6"/>
    <w:rsid w:val="00D531D4"/>
    <w:rsid w:val="00D5484B"/>
    <w:rsid w:val="00D54B5E"/>
    <w:rsid w:val="00D54EB7"/>
    <w:rsid w:val="00D55429"/>
    <w:rsid w:val="00D567F6"/>
    <w:rsid w:val="00D62800"/>
    <w:rsid w:val="00D62A54"/>
    <w:rsid w:val="00D65FA7"/>
    <w:rsid w:val="00D66398"/>
    <w:rsid w:val="00D707E6"/>
    <w:rsid w:val="00D7209A"/>
    <w:rsid w:val="00D724C0"/>
    <w:rsid w:val="00D74AAF"/>
    <w:rsid w:val="00D76EA1"/>
    <w:rsid w:val="00D80073"/>
    <w:rsid w:val="00D82D80"/>
    <w:rsid w:val="00D82FD7"/>
    <w:rsid w:val="00D832C3"/>
    <w:rsid w:val="00D84B02"/>
    <w:rsid w:val="00D8509F"/>
    <w:rsid w:val="00D91206"/>
    <w:rsid w:val="00D913C6"/>
    <w:rsid w:val="00D9188B"/>
    <w:rsid w:val="00D96377"/>
    <w:rsid w:val="00DA0BD6"/>
    <w:rsid w:val="00DA36BE"/>
    <w:rsid w:val="00DA36DE"/>
    <w:rsid w:val="00DA391E"/>
    <w:rsid w:val="00DA3EF1"/>
    <w:rsid w:val="00DA6B2C"/>
    <w:rsid w:val="00DB2AC4"/>
    <w:rsid w:val="00DB4E24"/>
    <w:rsid w:val="00DB646F"/>
    <w:rsid w:val="00DC2481"/>
    <w:rsid w:val="00DC2A9E"/>
    <w:rsid w:val="00DC30FF"/>
    <w:rsid w:val="00DC5EA2"/>
    <w:rsid w:val="00DC76D2"/>
    <w:rsid w:val="00DD1CC8"/>
    <w:rsid w:val="00DD20B0"/>
    <w:rsid w:val="00DD257D"/>
    <w:rsid w:val="00DD27B3"/>
    <w:rsid w:val="00DD6709"/>
    <w:rsid w:val="00DE0968"/>
    <w:rsid w:val="00DE0DEC"/>
    <w:rsid w:val="00DE228D"/>
    <w:rsid w:val="00DE3C41"/>
    <w:rsid w:val="00DE65B1"/>
    <w:rsid w:val="00DF079C"/>
    <w:rsid w:val="00DF234B"/>
    <w:rsid w:val="00DF503F"/>
    <w:rsid w:val="00DF5977"/>
    <w:rsid w:val="00E03A3C"/>
    <w:rsid w:val="00E1123F"/>
    <w:rsid w:val="00E165B7"/>
    <w:rsid w:val="00E17539"/>
    <w:rsid w:val="00E20562"/>
    <w:rsid w:val="00E222A3"/>
    <w:rsid w:val="00E2253B"/>
    <w:rsid w:val="00E2455E"/>
    <w:rsid w:val="00E24C82"/>
    <w:rsid w:val="00E25C58"/>
    <w:rsid w:val="00E27195"/>
    <w:rsid w:val="00E27ADD"/>
    <w:rsid w:val="00E30D70"/>
    <w:rsid w:val="00E31B28"/>
    <w:rsid w:val="00E32D8B"/>
    <w:rsid w:val="00E33735"/>
    <w:rsid w:val="00E33AEE"/>
    <w:rsid w:val="00E3473C"/>
    <w:rsid w:val="00E3587F"/>
    <w:rsid w:val="00E35D01"/>
    <w:rsid w:val="00E4070C"/>
    <w:rsid w:val="00E422D2"/>
    <w:rsid w:val="00E45EF8"/>
    <w:rsid w:val="00E463EF"/>
    <w:rsid w:val="00E4674C"/>
    <w:rsid w:val="00E4684C"/>
    <w:rsid w:val="00E5018C"/>
    <w:rsid w:val="00E51DB6"/>
    <w:rsid w:val="00E5377F"/>
    <w:rsid w:val="00E55187"/>
    <w:rsid w:val="00E55311"/>
    <w:rsid w:val="00E562D2"/>
    <w:rsid w:val="00E567CB"/>
    <w:rsid w:val="00E569DE"/>
    <w:rsid w:val="00E60010"/>
    <w:rsid w:val="00E621A0"/>
    <w:rsid w:val="00E62B69"/>
    <w:rsid w:val="00E6383A"/>
    <w:rsid w:val="00E638F7"/>
    <w:rsid w:val="00E649BB"/>
    <w:rsid w:val="00E66BC8"/>
    <w:rsid w:val="00E672B9"/>
    <w:rsid w:val="00E7319D"/>
    <w:rsid w:val="00E74324"/>
    <w:rsid w:val="00E7557C"/>
    <w:rsid w:val="00E75D89"/>
    <w:rsid w:val="00E80310"/>
    <w:rsid w:val="00E81D94"/>
    <w:rsid w:val="00E83021"/>
    <w:rsid w:val="00E83093"/>
    <w:rsid w:val="00E85C5C"/>
    <w:rsid w:val="00E91191"/>
    <w:rsid w:val="00E92A7D"/>
    <w:rsid w:val="00E93122"/>
    <w:rsid w:val="00E9316F"/>
    <w:rsid w:val="00E9629B"/>
    <w:rsid w:val="00E963A0"/>
    <w:rsid w:val="00E9697A"/>
    <w:rsid w:val="00E96E22"/>
    <w:rsid w:val="00EA2348"/>
    <w:rsid w:val="00EA456C"/>
    <w:rsid w:val="00EA4887"/>
    <w:rsid w:val="00EA5723"/>
    <w:rsid w:val="00EA582A"/>
    <w:rsid w:val="00EA70D7"/>
    <w:rsid w:val="00EB1081"/>
    <w:rsid w:val="00EB1E17"/>
    <w:rsid w:val="00EB22A6"/>
    <w:rsid w:val="00EB2FD5"/>
    <w:rsid w:val="00EB3F98"/>
    <w:rsid w:val="00EB4343"/>
    <w:rsid w:val="00EB740E"/>
    <w:rsid w:val="00EC177C"/>
    <w:rsid w:val="00EC31A5"/>
    <w:rsid w:val="00EC3589"/>
    <w:rsid w:val="00EC5372"/>
    <w:rsid w:val="00EC76A3"/>
    <w:rsid w:val="00ED419C"/>
    <w:rsid w:val="00ED4410"/>
    <w:rsid w:val="00ED57AB"/>
    <w:rsid w:val="00ED6460"/>
    <w:rsid w:val="00ED70AF"/>
    <w:rsid w:val="00ED7583"/>
    <w:rsid w:val="00EE722C"/>
    <w:rsid w:val="00EF1371"/>
    <w:rsid w:val="00EF15E1"/>
    <w:rsid w:val="00EF23BD"/>
    <w:rsid w:val="00EF4391"/>
    <w:rsid w:val="00EF6514"/>
    <w:rsid w:val="00F027F9"/>
    <w:rsid w:val="00F03A02"/>
    <w:rsid w:val="00F045D1"/>
    <w:rsid w:val="00F04E97"/>
    <w:rsid w:val="00F06293"/>
    <w:rsid w:val="00F077CC"/>
    <w:rsid w:val="00F11D47"/>
    <w:rsid w:val="00F12173"/>
    <w:rsid w:val="00F12DA4"/>
    <w:rsid w:val="00F12E45"/>
    <w:rsid w:val="00F13124"/>
    <w:rsid w:val="00F153AB"/>
    <w:rsid w:val="00F15EAA"/>
    <w:rsid w:val="00F173CC"/>
    <w:rsid w:val="00F21F4E"/>
    <w:rsid w:val="00F22912"/>
    <w:rsid w:val="00F22A8B"/>
    <w:rsid w:val="00F23336"/>
    <w:rsid w:val="00F25731"/>
    <w:rsid w:val="00F25E99"/>
    <w:rsid w:val="00F25FBB"/>
    <w:rsid w:val="00F277A3"/>
    <w:rsid w:val="00F27800"/>
    <w:rsid w:val="00F30F6D"/>
    <w:rsid w:val="00F332E0"/>
    <w:rsid w:val="00F333A2"/>
    <w:rsid w:val="00F34142"/>
    <w:rsid w:val="00F3481C"/>
    <w:rsid w:val="00F3756B"/>
    <w:rsid w:val="00F375B7"/>
    <w:rsid w:val="00F377CF"/>
    <w:rsid w:val="00F44210"/>
    <w:rsid w:val="00F450DF"/>
    <w:rsid w:val="00F462E8"/>
    <w:rsid w:val="00F46CDB"/>
    <w:rsid w:val="00F473AD"/>
    <w:rsid w:val="00F51A21"/>
    <w:rsid w:val="00F54433"/>
    <w:rsid w:val="00F568F0"/>
    <w:rsid w:val="00F62097"/>
    <w:rsid w:val="00F628AB"/>
    <w:rsid w:val="00F6586F"/>
    <w:rsid w:val="00F7359F"/>
    <w:rsid w:val="00F763C8"/>
    <w:rsid w:val="00F7692A"/>
    <w:rsid w:val="00F8037C"/>
    <w:rsid w:val="00F803DA"/>
    <w:rsid w:val="00F81C05"/>
    <w:rsid w:val="00F81EBC"/>
    <w:rsid w:val="00F8509E"/>
    <w:rsid w:val="00F85D43"/>
    <w:rsid w:val="00F910B5"/>
    <w:rsid w:val="00F929D7"/>
    <w:rsid w:val="00F94B83"/>
    <w:rsid w:val="00F95651"/>
    <w:rsid w:val="00FA0538"/>
    <w:rsid w:val="00FA05B2"/>
    <w:rsid w:val="00FA455F"/>
    <w:rsid w:val="00FA4F9B"/>
    <w:rsid w:val="00FA50F8"/>
    <w:rsid w:val="00FA676B"/>
    <w:rsid w:val="00FA718E"/>
    <w:rsid w:val="00FB1297"/>
    <w:rsid w:val="00FB19BF"/>
    <w:rsid w:val="00FB464A"/>
    <w:rsid w:val="00FB63AA"/>
    <w:rsid w:val="00FB64AC"/>
    <w:rsid w:val="00FB65A8"/>
    <w:rsid w:val="00FB6B77"/>
    <w:rsid w:val="00FC1670"/>
    <w:rsid w:val="00FC28AD"/>
    <w:rsid w:val="00FC2FA5"/>
    <w:rsid w:val="00FC3741"/>
    <w:rsid w:val="00FC55C8"/>
    <w:rsid w:val="00FC5764"/>
    <w:rsid w:val="00FC76D2"/>
    <w:rsid w:val="00FC78B9"/>
    <w:rsid w:val="00FD0194"/>
    <w:rsid w:val="00FD37B5"/>
    <w:rsid w:val="00FD4951"/>
    <w:rsid w:val="00FE33BF"/>
    <w:rsid w:val="00FE3EB9"/>
    <w:rsid w:val="00FE430F"/>
    <w:rsid w:val="00FE50AF"/>
    <w:rsid w:val="00FE7F7F"/>
    <w:rsid w:val="00FF0575"/>
    <w:rsid w:val="00FF5A1A"/>
    <w:rsid w:val="00FF6506"/>
    <w:rsid w:val="00FF6648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EC8D3"/>
  <w15:chartTrackingRefBased/>
  <w15:docId w15:val="{ACAB1128-7539-4BA6-A666-F1CF3BD8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2C4"/>
    <w:rPr>
      <w:lang w:val="uk-UA"/>
    </w:rPr>
  </w:style>
  <w:style w:type="paragraph" w:styleId="1">
    <w:name w:val="heading 1"/>
    <w:next w:val="a"/>
    <w:link w:val="10"/>
    <w:uiPriority w:val="1"/>
    <w:unhideWhenUsed/>
    <w:qFormat/>
    <w:rsid w:val="00B162C4"/>
    <w:pPr>
      <w:keepNext/>
      <w:keepLines/>
      <w:spacing w:after="365"/>
      <w:ind w:left="10" w:right="59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uk-UA" w:eastAsia="uk-UA"/>
    </w:rPr>
  </w:style>
  <w:style w:type="paragraph" w:styleId="2">
    <w:name w:val="heading 2"/>
    <w:next w:val="a"/>
    <w:link w:val="20"/>
    <w:uiPriority w:val="1"/>
    <w:unhideWhenUsed/>
    <w:qFormat/>
    <w:rsid w:val="00B162C4"/>
    <w:pPr>
      <w:keepNext/>
      <w:keepLines/>
      <w:spacing w:after="365"/>
      <w:ind w:left="10" w:right="59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val="uk-UA" w:eastAsia="uk-UA"/>
    </w:rPr>
  </w:style>
  <w:style w:type="paragraph" w:styleId="3">
    <w:name w:val="heading 3"/>
    <w:next w:val="a"/>
    <w:link w:val="30"/>
    <w:uiPriority w:val="9"/>
    <w:unhideWhenUsed/>
    <w:qFormat/>
    <w:rsid w:val="00B162C4"/>
    <w:pPr>
      <w:keepNext/>
      <w:keepLines/>
      <w:spacing w:after="365"/>
      <w:ind w:left="10" w:right="59" w:hanging="10"/>
      <w:outlineLvl w:val="2"/>
    </w:pPr>
    <w:rPr>
      <w:rFonts w:ascii="Times New Roman" w:eastAsia="Times New Roman" w:hAnsi="Times New Roman" w:cs="Times New Roman"/>
      <w:b/>
      <w:color w:val="000000"/>
      <w:sz w:val="28"/>
      <w:lang w:val="uk-UA" w:eastAsia="uk-UA"/>
    </w:rPr>
  </w:style>
  <w:style w:type="paragraph" w:styleId="4">
    <w:name w:val="heading 4"/>
    <w:next w:val="a"/>
    <w:link w:val="40"/>
    <w:uiPriority w:val="9"/>
    <w:unhideWhenUsed/>
    <w:qFormat/>
    <w:rsid w:val="00B162C4"/>
    <w:pPr>
      <w:keepNext/>
      <w:keepLines/>
      <w:spacing w:after="365"/>
      <w:ind w:left="10" w:right="59" w:hanging="10"/>
      <w:outlineLvl w:val="3"/>
    </w:pPr>
    <w:rPr>
      <w:rFonts w:ascii="Times New Roman" w:eastAsia="Times New Roman" w:hAnsi="Times New Roman" w:cs="Times New Roman"/>
      <w:b/>
      <w:color w:val="000000"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2C4"/>
    <w:rPr>
      <w:rFonts w:ascii="Times New Roman" w:eastAsia="Times New Roman" w:hAnsi="Times New Roman" w:cs="Times New Roman"/>
      <w:b/>
      <w:color w:val="000000"/>
      <w:sz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B162C4"/>
    <w:rPr>
      <w:rFonts w:ascii="Times New Roman" w:eastAsia="Times New Roman" w:hAnsi="Times New Roman" w:cs="Times New Roman"/>
      <w:b/>
      <w:color w:val="000000"/>
      <w:sz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B162C4"/>
    <w:rPr>
      <w:rFonts w:ascii="Times New Roman" w:eastAsia="Times New Roman" w:hAnsi="Times New Roman" w:cs="Times New Roman"/>
      <w:b/>
      <w:color w:val="000000"/>
      <w:sz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B162C4"/>
    <w:rPr>
      <w:rFonts w:ascii="Times New Roman" w:eastAsia="Times New Roman" w:hAnsi="Times New Roman" w:cs="Times New Roman"/>
      <w:b/>
      <w:color w:val="000000"/>
      <w:sz w:val="28"/>
      <w:lang w:val="uk-UA" w:eastAsia="uk-UA"/>
    </w:rPr>
  </w:style>
  <w:style w:type="character" w:styleId="a3">
    <w:name w:val="Hyperlink"/>
    <w:uiPriority w:val="99"/>
    <w:rsid w:val="00B162C4"/>
    <w:rPr>
      <w:color w:val="0000FF"/>
      <w:u w:val="single"/>
    </w:rPr>
  </w:style>
  <w:style w:type="paragraph" w:styleId="a4">
    <w:name w:val="No Spacing"/>
    <w:uiPriority w:val="1"/>
    <w:qFormat/>
    <w:rsid w:val="00B162C4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customStyle="1" w:styleId="TableGrid">
    <w:name w:val="TableGrid"/>
    <w:rsid w:val="00B162C4"/>
    <w:pPr>
      <w:spacing w:after="0" w:line="240" w:lineRule="auto"/>
    </w:pPr>
    <w:rPr>
      <w:rFonts w:eastAsiaTheme="minorEastAsia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B162C4"/>
    <w:pPr>
      <w:ind w:left="720"/>
      <w:contextualSpacing/>
    </w:pPr>
  </w:style>
  <w:style w:type="table" w:styleId="a6">
    <w:name w:val="Table Grid"/>
    <w:basedOn w:val="a1"/>
    <w:uiPriority w:val="59"/>
    <w:rsid w:val="00B162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162C4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162C4"/>
    <w:rPr>
      <w:rFonts w:ascii="Segoe UI" w:hAnsi="Segoe UI" w:cs="Segoe UI"/>
      <w:sz w:val="18"/>
      <w:szCs w:val="18"/>
      <w:lang w:val="ru-RU"/>
    </w:rPr>
  </w:style>
  <w:style w:type="paragraph" w:customStyle="1" w:styleId="Default">
    <w:name w:val="Default"/>
    <w:rsid w:val="00B162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rsid w:val="00B162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162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rsid w:val="00B162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162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basedOn w:val="a0"/>
    <w:rsid w:val="00B162C4"/>
  </w:style>
  <w:style w:type="paragraph" w:styleId="21">
    <w:name w:val="Body Text Indent 2"/>
    <w:basedOn w:val="a"/>
    <w:link w:val="22"/>
    <w:uiPriority w:val="99"/>
    <w:unhideWhenUsed/>
    <w:rsid w:val="00B162C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162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B16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B162C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d">
    <w:name w:val="Emphasis"/>
    <w:basedOn w:val="a0"/>
    <w:uiPriority w:val="20"/>
    <w:qFormat/>
    <w:rsid w:val="00896EAB"/>
    <w:rPr>
      <w:i/>
      <w:iCs/>
    </w:rPr>
  </w:style>
  <w:style w:type="paragraph" w:styleId="11">
    <w:name w:val="toc 1"/>
    <w:basedOn w:val="a"/>
    <w:uiPriority w:val="1"/>
    <w:qFormat/>
    <w:rsid w:val="00896EAB"/>
    <w:pPr>
      <w:widowControl w:val="0"/>
      <w:autoSpaceDE w:val="0"/>
      <w:autoSpaceDN w:val="0"/>
      <w:spacing w:before="132" w:after="0" w:line="240" w:lineRule="auto"/>
      <w:ind w:left="447" w:hanging="321"/>
    </w:pPr>
    <w:rPr>
      <w:rFonts w:ascii="Calibri" w:eastAsia="Calibri" w:hAnsi="Calibri" w:cs="Calibri"/>
      <w:b/>
      <w:bCs/>
    </w:rPr>
  </w:style>
  <w:style w:type="paragraph" w:styleId="23">
    <w:name w:val="toc 2"/>
    <w:basedOn w:val="a"/>
    <w:uiPriority w:val="1"/>
    <w:qFormat/>
    <w:rsid w:val="00896EAB"/>
    <w:pPr>
      <w:widowControl w:val="0"/>
      <w:autoSpaceDE w:val="0"/>
      <w:autoSpaceDN w:val="0"/>
      <w:spacing w:before="48" w:after="0" w:line="240" w:lineRule="auto"/>
      <w:ind w:left="751" w:hanging="625"/>
    </w:pPr>
    <w:rPr>
      <w:rFonts w:ascii="Calibri" w:eastAsia="Calibri" w:hAnsi="Calibri" w:cs="Calibri"/>
      <w:sz w:val="21"/>
      <w:szCs w:val="21"/>
    </w:rPr>
  </w:style>
  <w:style w:type="paragraph" w:styleId="ae">
    <w:name w:val="Body Text"/>
    <w:basedOn w:val="a"/>
    <w:link w:val="af"/>
    <w:uiPriority w:val="1"/>
    <w:qFormat/>
    <w:rsid w:val="00896E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7"/>
      <w:szCs w:val="17"/>
    </w:rPr>
  </w:style>
  <w:style w:type="character" w:customStyle="1" w:styleId="af">
    <w:name w:val="Основной текст Знак"/>
    <w:basedOn w:val="a0"/>
    <w:link w:val="ae"/>
    <w:uiPriority w:val="1"/>
    <w:rsid w:val="00896EAB"/>
    <w:rPr>
      <w:rFonts w:ascii="Calibri" w:eastAsia="Calibri" w:hAnsi="Calibri" w:cs="Calibri"/>
      <w:sz w:val="17"/>
      <w:szCs w:val="17"/>
      <w:lang w:val="uk-UA"/>
    </w:rPr>
  </w:style>
  <w:style w:type="paragraph" w:styleId="af0">
    <w:name w:val="Title"/>
    <w:basedOn w:val="a"/>
    <w:link w:val="af1"/>
    <w:uiPriority w:val="1"/>
    <w:qFormat/>
    <w:rsid w:val="00896EAB"/>
    <w:pPr>
      <w:widowControl w:val="0"/>
      <w:autoSpaceDE w:val="0"/>
      <w:autoSpaceDN w:val="0"/>
      <w:spacing w:after="0" w:line="240" w:lineRule="auto"/>
      <w:ind w:left="126"/>
    </w:pPr>
    <w:rPr>
      <w:rFonts w:ascii="Calibri" w:eastAsia="Calibri" w:hAnsi="Calibri" w:cs="Calibri"/>
      <w:sz w:val="32"/>
      <w:szCs w:val="32"/>
    </w:rPr>
  </w:style>
  <w:style w:type="character" w:customStyle="1" w:styleId="af1">
    <w:name w:val="Заголовок Знак"/>
    <w:basedOn w:val="a0"/>
    <w:link w:val="af0"/>
    <w:uiPriority w:val="1"/>
    <w:rsid w:val="00896EAB"/>
    <w:rPr>
      <w:rFonts w:ascii="Calibri" w:eastAsia="Calibri" w:hAnsi="Calibri" w:cs="Calibri"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896EAB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www.ema.europa.eu/documents/scientific-guideline/ich-q-2-r1-validation-analytical-procedures-text-methodology-step-5_en.pdf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ema.europa.eu/documents/scientific-guideline/ich-e-9-statistical-principles-clinical-trials-step-5_e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ma.europa.eu/documents/scientific-guideline/ich-e-8-general-considerations-clinical-trials-step-5_en.pdf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s://uk.wikipedia.org/wiki/SARS-CoV-2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2%D1%81%D0%B5%D1%81%D0%B2%D1%96%D1%82%D0%BD%D1%8F_%D0%BE%D1%80%D0%B3%D0%B0%D0%BD%D1%96%D0%B7%D0%B0%D1%86%D1%96%D1%8F_%D0%BE%D1%85%D0%BE%D1%80%D0%BE%D0%BD%D0%B8_%D0%B7%D0%B4%D0%BE%D1%80%D0%BE%D0%B2%27%D1%8F" TargetMode="Externa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27B44-AE8D-4121-91A7-754081BE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53</Pages>
  <Words>13000</Words>
  <Characters>74102</Characters>
  <Application>Microsoft Office Word</Application>
  <DocSecurity>0</DocSecurity>
  <Lines>617</Lines>
  <Paragraphs>173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Богатиренко Наталія Петрівна</dc:creator>
  <cp:keywords/>
  <dc:description/>
  <cp:lastModifiedBy>Богатиренко Наталія Петрівна</cp:lastModifiedBy>
  <cp:revision>5</cp:revision>
  <cp:lastPrinted>2024-08-09T07:23:00Z</cp:lastPrinted>
  <dcterms:created xsi:type="dcterms:W3CDTF">2024-06-18T07:00:00Z</dcterms:created>
  <dcterms:modified xsi:type="dcterms:W3CDTF">2024-08-09T07:47:00Z</dcterms:modified>
</cp:coreProperties>
</file>