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82" w:rsidRPr="00B857D6" w:rsidRDefault="000B1C82" w:rsidP="00B857D6">
      <w:pPr>
        <w:ind w:right="-125"/>
        <w:jc w:val="right"/>
        <w:rPr>
          <w:rFonts w:ascii="Arial" w:hAnsi="Arial" w:cs="Arial"/>
          <w:b/>
          <w:sz w:val="20"/>
          <w:szCs w:val="20"/>
          <w:lang w:val="ru-RU"/>
        </w:rPr>
      </w:pPr>
      <w:r w:rsidRPr="00B857D6">
        <w:rPr>
          <w:rFonts w:ascii="Arial" w:hAnsi="Arial" w:cs="Arial"/>
          <w:b/>
          <w:sz w:val="20"/>
          <w:szCs w:val="20"/>
          <w:lang w:val="ru-RU"/>
        </w:rPr>
        <w:t>Додаток</w:t>
      </w:r>
      <w:r w:rsidR="00B857D6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B857D6">
        <w:rPr>
          <w:rFonts w:ascii="Arial" w:hAnsi="Arial" w:cs="Arial"/>
          <w:b/>
          <w:sz w:val="20"/>
          <w:szCs w:val="20"/>
          <w:lang w:val="ru-RU"/>
        </w:rPr>
        <w:t>1</w:t>
      </w:r>
    </w:p>
    <w:p w:rsidR="000B1C82" w:rsidRPr="00B857D6" w:rsidRDefault="000B1C82" w:rsidP="00B857D6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B1C82" w:rsidRPr="00B857D6" w:rsidRDefault="000B1C82" w:rsidP="00B857D6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B857D6">
        <w:rPr>
          <w:rFonts w:ascii="Arial" w:hAnsi="Arial" w:cs="Arial"/>
          <w:b/>
          <w:sz w:val="20"/>
          <w:szCs w:val="20"/>
          <w:lang w:val="ru-RU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26 від 19.12.24, НТР № 47 від 19.12.24, на які були отримані позитивні висновки експертів»</w:t>
      </w:r>
    </w:p>
    <w:p w:rsidR="000B1C82" w:rsidRPr="00B857D6" w:rsidRDefault="000B1C82" w:rsidP="00B857D6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8E1C35" w:rsidRPr="00B857D6" w:rsidRDefault="008E1C35" w:rsidP="00B857D6">
      <w:pPr>
        <w:ind w:right="-125"/>
        <w:jc w:val="both"/>
        <w:rPr>
          <w:rFonts w:ascii="Arial" w:hAnsi="Arial" w:cs="Arial"/>
          <w:sz w:val="20"/>
          <w:szCs w:val="20"/>
          <w:lang w:val="ru-RU"/>
        </w:rPr>
      </w:pPr>
    </w:p>
    <w:p w:rsidR="008E1C35" w:rsidRPr="00B857D6" w:rsidRDefault="000B1C82" w:rsidP="00B857D6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B857D6">
        <w:rPr>
          <w:rStyle w:val="cs80d9435b1"/>
          <w:rFonts w:ascii="Arial" w:hAnsi="Arial" w:cs="Arial"/>
          <w:b/>
          <w:sz w:val="20"/>
        </w:rPr>
        <w:t xml:space="preserve">1. </w:t>
      </w:r>
      <w:r w:rsidR="00C54BB1" w:rsidRPr="00B857D6">
        <w:rPr>
          <w:rStyle w:val="csa16174ba1"/>
        </w:rPr>
        <w:t xml:space="preserve">«Подвійне сліпе, рандомізоване, контрольоване активним препаратом дослідження фази 3, яке проводять у паралельних групах для порівняння ефективності та безпечності препаратів </w:t>
      </w:r>
      <w:r w:rsidR="00C54BB1" w:rsidRPr="00B857D6">
        <w:rPr>
          <w:rStyle w:val="cs5e98e9301"/>
          <w:lang w:val="en-US"/>
        </w:rPr>
        <w:t>CT</w:t>
      </w:r>
      <w:r w:rsidR="00C54BB1" w:rsidRPr="00B857D6">
        <w:rPr>
          <w:rStyle w:val="cs5e98e9301"/>
        </w:rPr>
        <w:t>-</w:t>
      </w:r>
      <w:r w:rsidR="00C54BB1" w:rsidRPr="00B857D6">
        <w:rPr>
          <w:rStyle w:val="cs5e98e9301"/>
          <w:lang w:val="en-US"/>
        </w:rPr>
        <w:t>P</w:t>
      </w:r>
      <w:r w:rsidR="00C54BB1" w:rsidRPr="00B857D6">
        <w:rPr>
          <w:rStyle w:val="cs5e98e9301"/>
        </w:rPr>
        <w:t>51</w:t>
      </w:r>
      <w:r w:rsidR="00C54BB1" w:rsidRPr="00B857D6">
        <w:rPr>
          <w:rStyle w:val="csa16174ba1"/>
        </w:rPr>
        <w:t xml:space="preserve"> та </w:t>
      </w:r>
      <w:r w:rsidR="00C54BB1" w:rsidRPr="00B857D6">
        <w:rPr>
          <w:rStyle w:val="cs5e98e9301"/>
        </w:rPr>
        <w:t>Кітруда</w:t>
      </w:r>
      <w:r w:rsidR="00C54BB1" w:rsidRPr="00B857D6">
        <w:rPr>
          <w:rStyle w:val="csa16174ba1"/>
        </w:rPr>
        <w:t xml:space="preserve"> в комбінації з хіміотерапією препаратами платини і пеметрекседом у пацієнтів із метастатичним неплоскоклітинним недрібноклітинним раком легень, які раніше не отримували лікування», код дослідження </w:t>
      </w:r>
      <w:r w:rsidR="00C54BB1" w:rsidRPr="00B857D6">
        <w:rPr>
          <w:rStyle w:val="cs5e98e9301"/>
          <w:lang w:val="en-US"/>
        </w:rPr>
        <w:t>CT</w:t>
      </w:r>
      <w:r w:rsidR="00C54BB1" w:rsidRPr="00B857D6">
        <w:rPr>
          <w:rStyle w:val="cs5e98e9301"/>
        </w:rPr>
        <w:t>-</w:t>
      </w:r>
      <w:r w:rsidR="00C54BB1" w:rsidRPr="00B857D6">
        <w:rPr>
          <w:rStyle w:val="cs5e98e9301"/>
          <w:lang w:val="en-US"/>
        </w:rPr>
        <w:t>P</w:t>
      </w:r>
      <w:r w:rsidR="00C54BB1" w:rsidRPr="00B857D6">
        <w:rPr>
          <w:rStyle w:val="cs5e98e9301"/>
        </w:rPr>
        <w:t>51 3.1</w:t>
      </w:r>
      <w:r w:rsidR="00C54BB1" w:rsidRPr="00B857D6">
        <w:rPr>
          <w:rStyle w:val="csa16174ba1"/>
        </w:rPr>
        <w:t>, версія 1.3 від 11 вересня 2024 р., спонсор - СЕЛЛТРІОН Інк., Республіка Корея [</w:t>
      </w:r>
      <w:r w:rsidR="00C54BB1" w:rsidRPr="00B857D6">
        <w:rPr>
          <w:rStyle w:val="csa16174ba1"/>
          <w:lang w:val="en-US"/>
        </w:rPr>
        <w:t>Celltrion</w:t>
      </w:r>
      <w:r w:rsidR="00C54BB1" w:rsidRPr="00B857D6">
        <w:rPr>
          <w:rStyle w:val="csa16174ba1"/>
        </w:rPr>
        <w:t xml:space="preserve">, </w:t>
      </w:r>
      <w:r w:rsidR="00C54BB1" w:rsidRPr="00B857D6">
        <w:rPr>
          <w:rStyle w:val="csa16174ba1"/>
          <w:lang w:val="en-US"/>
        </w:rPr>
        <w:t>Inc</w:t>
      </w:r>
      <w:r w:rsidR="00C54BB1" w:rsidRPr="00B857D6">
        <w:rPr>
          <w:rStyle w:val="csa16174ba1"/>
        </w:rPr>
        <w:t xml:space="preserve">., </w:t>
      </w:r>
      <w:r w:rsidR="00C54BB1" w:rsidRPr="00B857D6">
        <w:rPr>
          <w:rStyle w:val="csa16174ba1"/>
          <w:lang w:val="en-US"/>
        </w:rPr>
        <w:t>Republic</w:t>
      </w:r>
      <w:r w:rsidR="00C54BB1" w:rsidRPr="00B857D6">
        <w:rPr>
          <w:rStyle w:val="csa16174ba1"/>
        </w:rPr>
        <w:t xml:space="preserve"> </w:t>
      </w:r>
      <w:r w:rsidR="00C54BB1" w:rsidRPr="00B857D6">
        <w:rPr>
          <w:rStyle w:val="csa16174ba1"/>
          <w:lang w:val="en-US"/>
        </w:rPr>
        <w:t>of</w:t>
      </w:r>
      <w:r w:rsidR="00C54BB1" w:rsidRPr="00B857D6">
        <w:rPr>
          <w:rStyle w:val="csa16174ba1"/>
        </w:rPr>
        <w:t xml:space="preserve"> </w:t>
      </w:r>
      <w:r w:rsidR="00C54BB1" w:rsidRPr="00B857D6">
        <w:rPr>
          <w:rStyle w:val="csa16174ba1"/>
          <w:lang w:val="en-US"/>
        </w:rPr>
        <w:t>Korea</w:t>
      </w:r>
      <w:r w:rsidR="00C54BB1" w:rsidRPr="00B857D6">
        <w:rPr>
          <w:rStyle w:val="csa16174ba1"/>
        </w:rPr>
        <w:t xml:space="preserve">] </w:t>
      </w:r>
    </w:p>
    <w:p w:rsidR="008E1C35" w:rsidRPr="00B857D6" w:rsidRDefault="00C54BB1" w:rsidP="00B857D6">
      <w:pPr>
        <w:pStyle w:val="cs80d9435b"/>
        <w:rPr>
          <w:rFonts w:ascii="Arial" w:hAnsi="Arial" w:cs="Arial"/>
          <w:sz w:val="20"/>
        </w:rPr>
      </w:pPr>
      <w:r w:rsidRPr="00B857D6">
        <w:rPr>
          <w:rStyle w:val="csa16174ba1"/>
          <w:lang w:val="ru-RU"/>
        </w:rPr>
        <w:t>Фаза - ІІІ</w:t>
      </w:r>
    </w:p>
    <w:p w:rsidR="008E1C35" w:rsidRPr="00B857D6" w:rsidRDefault="00C54BB1" w:rsidP="00B857D6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B857D6">
        <w:rPr>
          <w:rStyle w:val="csa16174ba1"/>
          <w:lang w:val="ru-RU"/>
        </w:rPr>
        <w:t>Заявник - ТОВ «Сінеос Хелс Україна»</w:t>
      </w:r>
    </w:p>
    <w:p w:rsidR="000B1C82" w:rsidRPr="00B857D6" w:rsidRDefault="000B1C82" w:rsidP="00B857D6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9122"/>
      </w:tblGrid>
      <w:tr w:rsidR="008E1C35" w:rsidRPr="00B857D6" w:rsidTr="000B1C82"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C35" w:rsidRPr="00B857D6" w:rsidRDefault="00C54BB1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№ п/п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1C35" w:rsidRPr="00B857D6" w:rsidRDefault="00C54BB1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П.І.Б. відповідального дослідника</w:t>
            </w:r>
          </w:p>
          <w:p w:rsidR="008E1C35" w:rsidRPr="00B857D6" w:rsidRDefault="00C54BB1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8E1C35" w:rsidRPr="00B857D6" w:rsidTr="000B1C82">
        <w:trPr>
          <w:trHeight w:val="486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35" w:rsidRPr="00B857D6" w:rsidRDefault="00C54BB1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1.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35" w:rsidRPr="00B857D6" w:rsidRDefault="00C54BB1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лікар Дробнер І.Г.</w:t>
            </w:r>
          </w:p>
          <w:p w:rsidR="008E1C35" w:rsidRPr="00B857D6" w:rsidRDefault="00C54BB1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Комунальне некомерційне підприємство «Хмельницький обласний протипухлинний центр» Хмельницької обласної ради, відділення новоутворень грудної залози, шкіри, м’яких тканин та кісток, м. Хмельницький</w:t>
            </w:r>
          </w:p>
        </w:tc>
      </w:tr>
      <w:tr w:rsidR="008E1C35" w:rsidRPr="00B857D6" w:rsidTr="000B1C82">
        <w:trPr>
          <w:trHeight w:val="486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35" w:rsidRPr="00B857D6" w:rsidRDefault="00C54BB1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2.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35" w:rsidRPr="00B857D6" w:rsidRDefault="00C54BB1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к.м.н. Остапенко Ю.В.</w:t>
            </w:r>
          </w:p>
          <w:p w:rsidR="008E1C35" w:rsidRPr="00B857D6" w:rsidRDefault="00C54BB1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Державне некомерційне підприємство «Національний інститут раку», відділення малоінвазивної та ендоскопічної хірургії, інтервенційної радіології, м. Київ</w:t>
            </w:r>
          </w:p>
        </w:tc>
      </w:tr>
      <w:tr w:rsidR="008E1C35" w:rsidRPr="00B857D6" w:rsidTr="000B1C82">
        <w:trPr>
          <w:trHeight w:val="486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35" w:rsidRPr="00B857D6" w:rsidRDefault="00C54BB1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3.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35" w:rsidRPr="00B857D6" w:rsidRDefault="00C54BB1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лікар Пацко В.В.</w:t>
            </w:r>
          </w:p>
          <w:p w:rsidR="008E1C35" w:rsidRPr="00B857D6" w:rsidRDefault="00C54BB1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Товариство з обмеженою відповідальністю «Медичний центр «МедОфіс Груп», м. Київ</w:t>
            </w:r>
          </w:p>
        </w:tc>
      </w:tr>
      <w:tr w:rsidR="008E1C35" w:rsidRPr="00B857D6" w:rsidTr="000B1C82">
        <w:trPr>
          <w:trHeight w:val="486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35" w:rsidRPr="00B857D6" w:rsidRDefault="00C54BB1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4.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35" w:rsidRPr="00B857D6" w:rsidRDefault="00C54BB1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к.м.н. Пономарьова О.В.</w:t>
            </w:r>
          </w:p>
          <w:p w:rsidR="008E1C35" w:rsidRPr="00B857D6" w:rsidRDefault="00C54BB1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Комунальне некомерційне підприємство «Київський міський клінічний онкологічний центр» виконавчого органу Київської міської ради (Київської міської державної адміністрації), хіміотерапевтичне відділення №1, м. Київ</w:t>
            </w:r>
          </w:p>
        </w:tc>
      </w:tr>
      <w:tr w:rsidR="008E1C35" w:rsidRPr="00B857D6" w:rsidTr="000B1C82">
        <w:trPr>
          <w:trHeight w:val="486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35" w:rsidRPr="00B857D6" w:rsidRDefault="00C54BB1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5.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35" w:rsidRPr="00B857D6" w:rsidRDefault="00C54BB1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лікар Сінєльніков І.В.</w:t>
            </w:r>
          </w:p>
          <w:p w:rsidR="008E1C35" w:rsidRPr="00B857D6" w:rsidRDefault="00C54BB1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Комунальне підприємство «Волинська обласна клінічна лікарня» Волинської обласної ради, Обласний медичний центр онкології, онкологічне хіміотерапевтичне відділення, м. Луцьк</w:t>
            </w:r>
          </w:p>
        </w:tc>
      </w:tr>
      <w:tr w:rsidR="008E1C35" w:rsidRPr="00B857D6" w:rsidTr="000B1C82">
        <w:trPr>
          <w:trHeight w:val="486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35" w:rsidRPr="00B857D6" w:rsidRDefault="00C54BB1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6.</w:t>
            </w:r>
          </w:p>
        </w:tc>
        <w:tc>
          <w:tcPr>
            <w:tcW w:w="9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C35" w:rsidRPr="00B857D6" w:rsidRDefault="00C54BB1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к.м.н. Трухін Д.В.</w:t>
            </w:r>
          </w:p>
          <w:p w:rsidR="008E1C35" w:rsidRPr="00B857D6" w:rsidRDefault="00C54BB1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1"/>
              </w:rPr>
              <w:t>Товариство з обмеженою відповідальністю «КЛІНІКА ВЕРУМ ЕКСПЕРТ», м. Київ</w:t>
            </w:r>
          </w:p>
        </w:tc>
      </w:tr>
    </w:tbl>
    <w:p w:rsidR="008E1C35" w:rsidRPr="00B857D6" w:rsidRDefault="008E1C35" w:rsidP="00B857D6">
      <w:pPr>
        <w:jc w:val="both"/>
        <w:rPr>
          <w:rFonts w:ascii="Arial" w:hAnsi="Arial" w:cs="Arial"/>
          <w:sz w:val="20"/>
          <w:szCs w:val="18"/>
        </w:rPr>
      </w:pPr>
    </w:p>
    <w:p w:rsidR="000B1C82" w:rsidRPr="00B857D6" w:rsidRDefault="000B1C82" w:rsidP="00B857D6">
      <w:pPr>
        <w:rPr>
          <w:rFonts w:ascii="Arial" w:hAnsi="Arial" w:cs="Arial"/>
          <w:b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1"/>
          <w:rFonts w:ascii="Arial" w:hAnsi="Arial" w:cs="Arial"/>
          <w:sz w:val="20"/>
        </w:rPr>
      </w:pPr>
      <w:r w:rsidRPr="00B857D6">
        <w:rPr>
          <w:rStyle w:val="cs80d9435b1"/>
          <w:rFonts w:ascii="Arial" w:hAnsi="Arial" w:cs="Arial"/>
          <w:b/>
          <w:sz w:val="20"/>
          <w:szCs w:val="20"/>
        </w:rPr>
        <w:t xml:space="preserve">2. </w:t>
      </w:r>
      <w:r w:rsidRPr="00B857D6">
        <w:rPr>
          <w:rStyle w:val="cs5e98e9301"/>
        </w:rPr>
        <w:t xml:space="preserve">Оновлений Протокол клінічного дослідження AVT16-GL-C01, версія 4.0 (поправка 3.0) від </w:t>
      </w:r>
      <w:r w:rsidR="00B857D6">
        <w:rPr>
          <w:rStyle w:val="cs5e98e9301"/>
        </w:rPr>
        <w:t xml:space="preserve">                   </w:t>
      </w:r>
      <w:r w:rsidRPr="00B857D6">
        <w:rPr>
          <w:rStyle w:val="cs5e98e9301"/>
        </w:rPr>
        <w:t>22 липня 2024 р., англійською мовою</w:t>
      </w:r>
      <w:r w:rsidRPr="00B857D6">
        <w:rPr>
          <w:rStyle w:val="csa16174ba1"/>
        </w:rPr>
        <w:t xml:space="preserve"> до протоколу клінічного дослідження «Подвійне сліпе дослідження в паралельних групах для вивчення порівняльної ефективності, безпечності та імуногенності </w:t>
      </w:r>
      <w:r w:rsidRPr="00B857D6">
        <w:rPr>
          <w:rStyle w:val="cs5e98e9301"/>
        </w:rPr>
        <w:t>AVT16</w:t>
      </w:r>
      <w:r w:rsidRPr="00B857D6">
        <w:rPr>
          <w:rStyle w:val="csa16174ba1"/>
        </w:rPr>
        <w:t xml:space="preserve"> для внутрішньовенного введення і препарату </w:t>
      </w:r>
      <w:r w:rsidRPr="00B857D6">
        <w:rPr>
          <w:rStyle w:val="cs5e98e9301"/>
        </w:rPr>
        <w:t>Ентивіо®</w:t>
      </w:r>
      <w:r w:rsidRPr="00B857D6">
        <w:rPr>
          <w:rStyle w:val="csa16174ba1"/>
        </w:rPr>
        <w:t xml:space="preserve"> у чоловіків і жінок віком від 18 до 80 років включно з активним виразковим колітом від помірного до тяжкого ступеня», код дослідження </w:t>
      </w:r>
      <w:r w:rsidRPr="00B857D6">
        <w:rPr>
          <w:rStyle w:val="cs5e98e9301"/>
        </w:rPr>
        <w:t>AVT16-GL-C01</w:t>
      </w:r>
      <w:r w:rsidRPr="00B857D6">
        <w:rPr>
          <w:rStyle w:val="csa16174ba1"/>
        </w:rPr>
        <w:t>, версія 3.0 (поправка 2.0) від 02 лютого 2024 р.; спонсор - Алвотек Свісс АГ, Швейцарія (Alvotech Swiss AG, Switzerland)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>Заявник - ТОВАРИСТВО З ОБМЕЖЕНОЮ ВІДПОВІДАЛЬНІСТЮ «ПіПіДі ЮКРЕЙН», Україна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2"/>
          <w:rFonts w:ascii="Arial" w:hAnsi="Arial" w:cs="Arial"/>
          <w:sz w:val="20"/>
        </w:rPr>
      </w:pPr>
      <w:r w:rsidRPr="00B857D6">
        <w:rPr>
          <w:rStyle w:val="cs80d9435b2"/>
          <w:rFonts w:ascii="Arial" w:hAnsi="Arial" w:cs="Arial"/>
          <w:b/>
          <w:sz w:val="20"/>
          <w:szCs w:val="20"/>
        </w:rPr>
        <w:t xml:space="preserve">3. </w:t>
      </w:r>
      <w:r w:rsidRPr="00B857D6">
        <w:rPr>
          <w:rStyle w:val="cs5e98e9302"/>
        </w:rPr>
        <w:t>Брошура дослідника: тофацитиніб від вересня 2024 р., версія 21.0</w:t>
      </w:r>
      <w:r w:rsidRPr="00B857D6">
        <w:rPr>
          <w:rStyle w:val="csa16174ba2"/>
        </w:rPr>
        <w:t xml:space="preserve"> до протоколу клінічного дослідження «Довготривале, відкрите дослідження з періодом подальшого спостереження, яке проводиться для вивчення препарату </w:t>
      </w:r>
      <w:r w:rsidRPr="00B857D6">
        <w:rPr>
          <w:rStyle w:val="cs5e98e9302"/>
        </w:rPr>
        <w:t>тофацитиніб</w:t>
      </w:r>
      <w:r w:rsidRPr="00B857D6">
        <w:rPr>
          <w:rStyle w:val="csa16174ba2"/>
        </w:rPr>
        <w:t xml:space="preserve"> при лікуванні ювенільного ідіопатичного артриту (ЮІА)», код дослідження </w:t>
      </w:r>
      <w:r w:rsidRPr="00B857D6">
        <w:rPr>
          <w:rStyle w:val="cs5e98e9302"/>
        </w:rPr>
        <w:t>А3921145</w:t>
      </w:r>
      <w:r w:rsidRPr="00B857D6">
        <w:rPr>
          <w:rStyle w:val="csa16174ba2"/>
        </w:rPr>
        <w:t>, з інкорпорованою поправкою 12 від 06 травня 2022 року; спонсор - Пфайзер Інк [Pfizer Inc], США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>Заявник - ТОВ «Сінеос Хелс Україна»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3"/>
          <w:rFonts w:ascii="Arial" w:hAnsi="Arial" w:cs="Arial"/>
          <w:sz w:val="20"/>
        </w:rPr>
      </w:pPr>
      <w:r w:rsidRPr="00B857D6">
        <w:rPr>
          <w:rStyle w:val="cs80d9435b3"/>
          <w:rFonts w:ascii="Arial" w:hAnsi="Arial" w:cs="Arial"/>
          <w:b/>
          <w:sz w:val="20"/>
        </w:rPr>
        <w:t xml:space="preserve">4. </w:t>
      </w:r>
      <w:r w:rsidRPr="00B857D6">
        <w:rPr>
          <w:rStyle w:val="cs5e98e9303"/>
        </w:rPr>
        <w:t xml:space="preserve">Брошура дослідника досліджуваного лікарського засобу Мірікізумаб (LY3074828) від                      23 липня 2024 року англійською мовою; Інформація для пацієнта дослідження та Форма Інформованої Згоди для використання в Україні, версія № 6.0 українською мовою від 26 вересня 2024 року </w:t>
      </w:r>
      <w:r w:rsidRPr="00B857D6">
        <w:rPr>
          <w:rStyle w:val="csa16174ba3"/>
        </w:rPr>
        <w:t>до протоколу клінічного дослідження «Багатоцентрове, Відкрите, Подовжене Дослідження III Фази для Оцінки Довготривалої Ефективності та Безпечності Застосування</w:t>
      </w:r>
      <w:r w:rsidRPr="00B857D6">
        <w:rPr>
          <w:rStyle w:val="cs5e98e9303"/>
        </w:rPr>
        <w:t xml:space="preserve"> Мірікізумабу</w:t>
      </w:r>
      <w:r w:rsidRPr="00B857D6">
        <w:rPr>
          <w:rStyle w:val="csa16174ba3"/>
        </w:rPr>
        <w:t xml:space="preserve"> у Пацієнтів із Виразковим Колітом Помірного та Тяжкого Перебігу (LUCENT 3)», код дослідження </w:t>
      </w:r>
      <w:r w:rsidRPr="00B857D6">
        <w:rPr>
          <w:rStyle w:val="cs5e98e9303"/>
        </w:rPr>
        <w:t>I6T-MC-AMAP</w:t>
      </w:r>
      <w:r w:rsidRPr="00B857D6">
        <w:rPr>
          <w:rStyle w:val="csa16174ba3"/>
        </w:rPr>
        <w:t xml:space="preserve">, з </w:t>
      </w:r>
      <w:r w:rsidRPr="00B857D6">
        <w:rPr>
          <w:rStyle w:val="csa16174ba3"/>
        </w:rPr>
        <w:lastRenderedPageBreak/>
        <w:t>інкорпорованою поправкою (е) від 31 жовтня 2023 року; спонсор - Елі Ліллі енд Компані, США / Eli Lilly and Company, USA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 xml:space="preserve">Заявник - «Елі Ліллі Восток СА», Швейцарія 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4"/>
          <w:rFonts w:ascii="Arial" w:hAnsi="Arial" w:cs="Arial"/>
          <w:sz w:val="20"/>
        </w:rPr>
      </w:pPr>
      <w:r w:rsidRPr="00B857D6">
        <w:rPr>
          <w:rStyle w:val="cs80d9435b4"/>
          <w:rFonts w:ascii="Arial" w:hAnsi="Arial" w:cs="Arial"/>
          <w:b/>
          <w:sz w:val="20"/>
        </w:rPr>
        <w:t xml:space="preserve">5. </w:t>
      </w:r>
      <w:r w:rsidRPr="00B857D6">
        <w:rPr>
          <w:rStyle w:val="cs5e98e9304"/>
        </w:rPr>
        <w:t>Інформація та форма згоди на участь у клінічному дослідженні, включаючи дозвіл на розкриття медичної інформації, версія 5.3 від 04 грудня 2024 р., англійською, українською та російською мовами</w:t>
      </w:r>
      <w:r w:rsidRPr="00B857D6">
        <w:rPr>
          <w:rStyle w:val="csa16174ba4"/>
        </w:rPr>
        <w:t xml:space="preserve"> до протоколу клінічного дослідження «Проспективне, рандомізоване, подвійне сліпе, плацебо-контрольоване, багатоцентрове дослідження, яке проводиться з метою вивчення ефективності та безпеки препарату </w:t>
      </w:r>
      <w:r w:rsidRPr="00B857D6">
        <w:rPr>
          <w:rStyle w:val="cs5e98e9304"/>
        </w:rPr>
        <w:t>NT 201</w:t>
      </w:r>
      <w:r w:rsidRPr="00B857D6">
        <w:rPr>
          <w:rStyle w:val="csa16174ba4"/>
        </w:rPr>
        <w:t xml:space="preserve"> при лікуванні спастичності нижніх кінцівок, спричиненої інсультом або травматичним пошкодженням мозку у дорослих пацієнтів, з подальшим відкритим розширеним періодом дослідження з або без комбінованого лікування верхніх кінцівок», код дослідження </w:t>
      </w:r>
      <w:r w:rsidRPr="00B857D6">
        <w:rPr>
          <w:rStyle w:val="cs5e98e9304"/>
        </w:rPr>
        <w:t>M602011014</w:t>
      </w:r>
      <w:r w:rsidRPr="00B857D6">
        <w:rPr>
          <w:rStyle w:val="csa16174ba4"/>
        </w:rPr>
        <w:t>, версія 6.0 від 10 липня 2023 р. (Поправка №1.0, версія 6.0, специфічна для України версія 1.0 від 18 вересня 2023 р.); спонсор - Мерц Фармасьютікалз ГмбХ, Німеччина (Merz Pharamaceuticals GmbH, Germany)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>Заявник - ТОВ «ВОРЛДВАЙД КЛІНІКАЛ ТРАІЛС УКР»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5"/>
          <w:rFonts w:ascii="Arial" w:hAnsi="Arial" w:cs="Arial"/>
          <w:sz w:val="20"/>
        </w:rPr>
      </w:pPr>
      <w:r w:rsidRPr="00B857D6">
        <w:rPr>
          <w:rStyle w:val="cs80d9435b5"/>
          <w:rFonts w:ascii="Arial" w:hAnsi="Arial" w:cs="Arial"/>
          <w:b/>
          <w:sz w:val="20"/>
        </w:rPr>
        <w:t xml:space="preserve">6. </w:t>
      </w:r>
      <w:r w:rsidRPr="00B857D6">
        <w:rPr>
          <w:rStyle w:val="cs5e98e9305"/>
        </w:rPr>
        <w:t xml:space="preserve">Подовження тривалості клінічного дослідження в Україні до 31 грудня 2025 року </w:t>
      </w:r>
      <w:r w:rsidRPr="00B857D6">
        <w:rPr>
          <w:rStyle w:val="csa16174ba5"/>
        </w:rPr>
        <w:t xml:space="preserve">до протоколу клінічного випробування «Дослідження чотирифакторного концентрату протромбінового комплексу </w:t>
      </w:r>
      <w:r w:rsidRPr="00B857D6">
        <w:rPr>
          <w:rStyle w:val="cs5e98e9305"/>
        </w:rPr>
        <w:t xml:space="preserve">ОКТАПЛЕКС </w:t>
      </w:r>
      <w:r w:rsidRPr="00B857D6">
        <w:rPr>
          <w:rStyle w:val="csa16174ba5"/>
        </w:rPr>
        <w:t xml:space="preserve">у пацієнтів з гострою масивною кровотечею, що отримують терапію пероральним антикоагулянтом прямої дії (ПАКПД), інгібітором фактора Xa», код дослідження </w:t>
      </w:r>
      <w:r w:rsidRPr="00B857D6">
        <w:rPr>
          <w:rStyle w:val="cs5e98e9305"/>
        </w:rPr>
        <w:t>LEX-210</w:t>
      </w:r>
      <w:r w:rsidRPr="00B857D6">
        <w:rPr>
          <w:rStyle w:val="csa16174ba5"/>
        </w:rPr>
        <w:t>, версія 08 від 21 липня 2023 року; спонсор - «Октафарма АҐ» (Octapharma AG), Швейцарія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>Заявник - ТОВ «Прем’єр Ресерч Україна»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6"/>
          <w:rFonts w:ascii="Arial" w:hAnsi="Arial" w:cs="Arial"/>
          <w:sz w:val="20"/>
        </w:rPr>
      </w:pPr>
      <w:r w:rsidRPr="00B857D6">
        <w:rPr>
          <w:rStyle w:val="cs80d9435b6"/>
          <w:rFonts w:ascii="Arial" w:hAnsi="Arial" w:cs="Arial"/>
          <w:b/>
          <w:sz w:val="20"/>
        </w:rPr>
        <w:t xml:space="preserve">7. </w:t>
      </w:r>
      <w:r w:rsidRPr="00B857D6">
        <w:rPr>
          <w:rStyle w:val="cs5e98e9306"/>
        </w:rPr>
        <w:t>Україна, MK-7339-008, Інформація та документ про інформовану згоду для пацієнта, версія 6.04 від 15 листопада 2024 року, українською мовою; Зміна назви місця проведення клінічного випробування</w:t>
      </w:r>
      <w:r w:rsidRPr="00B857D6">
        <w:rPr>
          <w:rStyle w:val="csa16174ba6"/>
        </w:rPr>
        <w:t xml:space="preserve"> до протоколу клінічного випробування «Дослідження ІІІ фази для </w:t>
      </w:r>
      <w:r w:rsidRPr="00B857D6">
        <w:rPr>
          <w:rStyle w:val="cs5e98e9306"/>
        </w:rPr>
        <w:t>пембролізумабу</w:t>
      </w:r>
      <w:r w:rsidRPr="00B857D6">
        <w:rPr>
          <w:rStyle w:val="csa16174ba6"/>
        </w:rPr>
        <w:t xml:space="preserve"> у комбінації з карбоплатином / таксаном (паклітаксел або наб-паклітаксел)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(НДКРЛ)», код дослідження </w:t>
      </w:r>
      <w:r w:rsidRPr="00B857D6">
        <w:rPr>
          <w:rStyle w:val="cs5e98e9306"/>
        </w:rPr>
        <w:t>MK-7339-008</w:t>
      </w:r>
      <w:r w:rsidRPr="00B857D6">
        <w:rPr>
          <w:rStyle w:val="csa16174ba6"/>
        </w:rPr>
        <w:t>, з інкорпорованою поправкою 07 від 31 січня 2024 року; спонсор - ТОВ Мерк Шарп енд Доум, США (Merck Sharp &amp; Dohme LLC, USA)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0B1C82" w:rsidRPr="00B857D6" w:rsidRDefault="000B1C82" w:rsidP="00B857D6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0B1C82" w:rsidRPr="00B857D6" w:rsidTr="00F52FED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6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6"/>
              </w:rPr>
              <w:t>СТАЛО</w:t>
            </w:r>
          </w:p>
        </w:tc>
      </w:tr>
      <w:tr w:rsidR="000B1C82" w:rsidRPr="00B857D6" w:rsidTr="00F52FED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6"/>
              </w:rPr>
              <w:t xml:space="preserve">лікар Готько І.Ю. 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5e98e9306"/>
              </w:rPr>
              <w:t>Комунальне некомерційне підприємство «Центральна міська клінічна лікарня» Ужгородської міської ради, терапевтичне відділення</w:t>
            </w:r>
            <w:r w:rsidRPr="00B857D6">
              <w:rPr>
                <w:rStyle w:val="csa16174ba6"/>
              </w:rPr>
              <w:t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6"/>
              </w:rPr>
              <w:t xml:space="preserve">лікар Готько І.Ю. 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5e98e9306"/>
              </w:rPr>
              <w:t>Комунальне некомерційне підприємство «Ужгородська міська багатопрофільна клінічна лікарня» Ужгородської міської ради, відокремлений підрозділ «Клінічна лікарня з невідкладних станів та екстреної медичної допомоги», онкологічне відділення</w:t>
            </w:r>
            <w:r w:rsidRPr="00B857D6">
              <w:rPr>
                <w:rStyle w:val="csa16174ba6"/>
              </w:rPr>
              <w:t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</w:r>
          </w:p>
        </w:tc>
      </w:tr>
    </w:tbl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7"/>
          <w:rFonts w:ascii="Arial" w:hAnsi="Arial" w:cs="Arial"/>
          <w:sz w:val="20"/>
        </w:rPr>
      </w:pPr>
      <w:r w:rsidRPr="00B857D6">
        <w:rPr>
          <w:rStyle w:val="cs80d9435b7"/>
          <w:rFonts w:ascii="Arial" w:hAnsi="Arial" w:cs="Arial"/>
          <w:b/>
          <w:sz w:val="20"/>
        </w:rPr>
        <w:t xml:space="preserve">8. </w:t>
      </w:r>
      <w:r w:rsidRPr="00B857D6">
        <w:rPr>
          <w:rStyle w:val="cs5e98e9307"/>
        </w:rPr>
        <w:t>Брошура дослідника Pembrolizumab (MK-3475), видання 25 від 10 жовтня 2024 року, англійською мовою; Україна, MK-1084-001, Інформація та документ про інформовану згоду для пацієнта, версія 02 від 14 лиcтопада 2024 р., українською мовою; Залучення додаткового місця проведення клінічного випробування</w:t>
      </w:r>
      <w:r w:rsidRPr="00B857D6">
        <w:rPr>
          <w:rStyle w:val="csa16174ba7"/>
        </w:rPr>
        <w:t xml:space="preserve"> до протоколу клінічного дослідження «Відкрите, багатоцентрове дослідження I фази для оцінки безпеки, переносимості, фармакокінетики та ефективності </w:t>
      </w:r>
      <w:r w:rsidRPr="00B857D6">
        <w:rPr>
          <w:rStyle w:val="cs5e98e9307"/>
        </w:rPr>
        <w:t>MK-1084</w:t>
      </w:r>
      <w:r w:rsidRPr="00B857D6">
        <w:rPr>
          <w:rStyle w:val="csa16174ba7"/>
        </w:rPr>
        <w:t xml:space="preserve"> як монотерапії та як частини різних комбінацій лікування у пацієнтів із розповсюдженими солідними пухлинами з мутацією KRAS G12C», код дослідження </w:t>
      </w:r>
      <w:r w:rsidRPr="00B857D6">
        <w:rPr>
          <w:rStyle w:val="cs5e98e9307"/>
        </w:rPr>
        <w:t>MK-1084-001</w:t>
      </w:r>
      <w:r w:rsidRPr="00B857D6">
        <w:rPr>
          <w:rStyle w:val="csa16174ba7"/>
        </w:rPr>
        <w:t xml:space="preserve">, версія з інкорпорованою поправкою 10 від 16 квітня 2024 року; спонсор - ТОВ Мерк Шарп енд Доум, США (Merck Sharp &amp; Dohme LLC, USA) 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0B1C82" w:rsidRPr="00B857D6" w:rsidRDefault="000B1C82" w:rsidP="00B857D6">
      <w:pPr>
        <w:rPr>
          <w:rFonts w:ascii="Arial" w:hAnsi="Arial" w:cs="Arial"/>
          <w:sz w:val="20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125"/>
      </w:tblGrid>
      <w:tr w:rsidR="000B1C82" w:rsidRPr="00B857D6" w:rsidTr="00F52FED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B857D6">
              <w:rPr>
                <w:rStyle w:val="cs5e98e9307"/>
              </w:rPr>
              <w:lastRenderedPageBreak/>
              <w:t>№ п/п</w:t>
            </w:r>
          </w:p>
        </w:tc>
        <w:tc>
          <w:tcPr>
            <w:tcW w:w="9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B857D6">
              <w:rPr>
                <w:rStyle w:val="cs5e98e9307"/>
              </w:rPr>
              <w:t>П.І.Б. відповідального дослідника</w:t>
            </w:r>
          </w:p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B857D6">
              <w:rPr>
                <w:rStyle w:val="cs5e98e9307"/>
              </w:rPr>
              <w:t>Назва місця проведення клінічного випробування</w:t>
            </w:r>
          </w:p>
        </w:tc>
      </w:tr>
      <w:tr w:rsidR="000B1C82" w:rsidRPr="00B857D6" w:rsidTr="00F52FED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95e872d0"/>
              <w:jc w:val="center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7"/>
              </w:rPr>
              <w:t>1.</w:t>
            </w:r>
          </w:p>
        </w:tc>
        <w:tc>
          <w:tcPr>
            <w:tcW w:w="9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7"/>
              </w:rPr>
              <w:t>лікар Готько І.Ю.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7"/>
              </w:rPr>
              <w:t>Комунальне некомерційне підприємство «Ужгородська міська багатопрофільна клінічна лікарня» Ужгородської міської ради, відокремлений підрозділ «Клінічна лікарня з невідкладних станів та екстреної медичної допомоги», онкологічне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</w:r>
          </w:p>
        </w:tc>
      </w:tr>
    </w:tbl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8"/>
          <w:rFonts w:ascii="Arial" w:hAnsi="Arial" w:cs="Arial"/>
          <w:sz w:val="20"/>
        </w:rPr>
      </w:pPr>
      <w:r w:rsidRPr="00B857D6">
        <w:rPr>
          <w:rStyle w:val="cs80d9435b8"/>
          <w:rFonts w:ascii="Arial" w:hAnsi="Arial" w:cs="Arial"/>
          <w:b/>
          <w:sz w:val="20"/>
        </w:rPr>
        <w:t xml:space="preserve">9. </w:t>
      </w:r>
      <w:r w:rsidRPr="00B857D6">
        <w:rPr>
          <w:rStyle w:val="cs5e98e9308"/>
        </w:rPr>
        <w:t>Брошура дослідника по препарату Дапагліфлозин пропандіол (Dapagliflozin propanediol), версія 19 від 30 жовтня 2024 року англійською мовою; Залучення додаткових місць проведення клінічного випробування</w:t>
      </w:r>
      <w:r w:rsidRPr="00B857D6">
        <w:rPr>
          <w:rStyle w:val="csa16174ba8"/>
        </w:rPr>
        <w:t xml:space="preserve"> до протоколу клінічного дослідження «Рандомізоване, подвійне сліпе дослідження фази 3 для оцінки впливу препарату </w:t>
      </w:r>
      <w:r w:rsidRPr="00B857D6">
        <w:rPr>
          <w:rStyle w:val="cs5e98e9308"/>
        </w:rPr>
        <w:t>Балцинренон/Дапагліфлозин</w:t>
      </w:r>
      <w:r w:rsidRPr="00B857D6">
        <w:rPr>
          <w:rStyle w:val="csa16174ba8"/>
        </w:rPr>
        <w:t xml:space="preserve"> порівняно лише з Дапагліфлозином на ризик виникнення явищ серцевої недостатності та серцево-судинної смерті у пацієнтів із серцевою недостатністю та порушенням функції нирок», код дослідженняя </w:t>
      </w:r>
      <w:r w:rsidRPr="00B857D6">
        <w:rPr>
          <w:rStyle w:val="cs5e98e9308"/>
        </w:rPr>
        <w:t>D6402C00012</w:t>
      </w:r>
      <w:r w:rsidRPr="00B857D6">
        <w:rPr>
          <w:rStyle w:val="csa16174ba8"/>
        </w:rPr>
        <w:t>, версія 2.0 від 11 січня 2024; спонсор - AstraZeneca AB, Sweden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0B1C82" w:rsidRPr="00B857D6" w:rsidRDefault="000B1C82" w:rsidP="00B857D6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004"/>
      </w:tblGrid>
      <w:tr w:rsidR="000B1C82" w:rsidRPr="00B857D6" w:rsidTr="00F52FED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№ п/п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02b20ac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П.І.Б. відповідального дослідника</w:t>
            </w:r>
          </w:p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Назва місця проведення клінічного випробування</w:t>
            </w:r>
          </w:p>
        </w:tc>
      </w:tr>
      <w:tr w:rsidR="000B1C82" w:rsidRPr="00B857D6" w:rsidTr="00F52FED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1.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f06cd379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лікар Алєксєєва Л.З.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Комунальне некомерційне підприємство «Свято-Михайлівська клінічна лікарня м. Києва» виконавчого органу Київської міської ради (Київської міської державної адміністрації), відділення гострих коронарних станів, м. Київ</w:t>
            </w:r>
          </w:p>
        </w:tc>
      </w:tr>
      <w:tr w:rsidR="000B1C82" w:rsidRPr="00B857D6" w:rsidTr="00F52FED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2.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f06cd379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д.м.н. Міщенко Л.А.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Державна установа «Національний науковий центр «Інститут кардіології, клінічної та регенеративної медицини імені академіка М.Д. Стражеска Національної академії медичних наук України», відділ артеріальної гіпертензії та коморбідної патології, м. Київ</w:t>
            </w:r>
          </w:p>
        </w:tc>
      </w:tr>
      <w:tr w:rsidR="000B1C82" w:rsidRPr="00B857D6" w:rsidTr="00F52FED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3.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f06cd379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 xml:space="preserve">д.м.н., проф. Андрейчин С.М. 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Комунальне некомерційне підприємство «Тернопільська комунальна міська лікарня №2», терапевтичне відділення №2, Тернопiльський національний медичний університет                               iменi I.Я. Горбачeвського Міністерства охорони здоров'я України, кафедра пропедевтики внутрішньої медицини та фтизіатрії, м. Тернопіль</w:t>
            </w:r>
          </w:p>
        </w:tc>
      </w:tr>
      <w:tr w:rsidR="000B1C82" w:rsidRPr="00B857D6" w:rsidTr="00F52FED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4.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f06cd379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к.м.н. Бабаніна Т.В.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Медичний центр «Універсальна клініка «Оберіг» товариства з обмеженою відповідальністю «Капитал», клініко-консультативне відділення, м. Київ</w:t>
            </w:r>
          </w:p>
        </w:tc>
      </w:tr>
      <w:tr w:rsidR="000B1C82" w:rsidRPr="00B857D6" w:rsidTr="00F52FED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5.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f06cd379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к.м.н., доцент Чендей Т.В.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Комунальне некомерційне підприємство «Закарпатський обласний клінічний центр кардіології та кардіохірургії» Закарпатської обласної ради, загальнокардіологічне відділення, м. Ужгород</w:t>
            </w:r>
          </w:p>
        </w:tc>
      </w:tr>
      <w:tr w:rsidR="000B1C82" w:rsidRPr="00B857D6" w:rsidTr="00F52FED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6.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f06cd379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лікар Донець О.А.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Медичний центр товариства з обмеженою відповідальністю «Медбуд-Клінік», лікувально-профілактичний підрозділ, м. Київ</w:t>
            </w:r>
          </w:p>
        </w:tc>
      </w:tr>
      <w:tr w:rsidR="000B1C82" w:rsidRPr="00B857D6" w:rsidTr="00F52FED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7.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f06cd379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к.м.н., доцент Галюк Н.М.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Комунальне некомерційне підприємство «Міська клінічна лікарня №1 Івано-Франківської міської ради», відділення спеціалізованої консультативної допомоги, м. Івано-Франківськ</w:t>
            </w:r>
          </w:p>
        </w:tc>
      </w:tr>
      <w:tr w:rsidR="000B1C82" w:rsidRPr="00B857D6" w:rsidTr="00F52FED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8.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f06cd379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д.м.н., проф. Мартинюк Л.П.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 xml:space="preserve">Комунальне некомерційне підприємство «Тернопільська обласна клінічна лікарня» Тернопільської обласної ради, відділення кардіології, Тернопiльський національний медичний університет iменi I.Я. Горбачeвського Міністерства охорони здоров'я України, кафедра внутрішньої медицини №3, м. Тернопіль </w:t>
            </w:r>
          </w:p>
        </w:tc>
      </w:tr>
      <w:tr w:rsidR="000B1C82" w:rsidRPr="00B857D6" w:rsidTr="00F52FED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9.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f06cd379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д.м.н., проф. Пархоменко О.М.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Державна установа «Національний науковий центр «Інститут кардіології, клінічної та регенеративної медицини імені академіка М.Д. Стражеска Національної академії медичних наук України», відділ інтенсивної терапії та реанімації, м. Київ</w:t>
            </w:r>
          </w:p>
        </w:tc>
      </w:tr>
      <w:tr w:rsidR="000B1C82" w:rsidRPr="00B857D6" w:rsidTr="00F52FED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10.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f06cd379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д.м.н., проф. Пентюк Н.О.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Комунальне некомерційне підприємство «Вінницька міська клінічна лікарня №1», клінічне терапевтичне відділення №1, Вінницький національний медичний університет                                                ім. М.І. Пирогова, кафедра пропедевтики внутрішньої медицини, м. Вінниця</w:t>
            </w:r>
          </w:p>
        </w:tc>
      </w:tr>
      <w:tr w:rsidR="000B1C82" w:rsidRPr="00B857D6" w:rsidTr="00F52FED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11.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f06cd379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к.м.н. Романова О.М.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Товариство з обмеженою відповідальністю «МЕДФІЛД», м. Київ</w:t>
            </w:r>
          </w:p>
        </w:tc>
      </w:tr>
      <w:tr w:rsidR="000B1C82" w:rsidRPr="00B857D6" w:rsidTr="00F52FED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2e86d3a6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12.</w:t>
            </w:r>
          </w:p>
        </w:tc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82" w:rsidRPr="00B857D6" w:rsidRDefault="000B1C82" w:rsidP="00B857D6">
            <w:pPr>
              <w:pStyle w:val="csf06cd379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t>к.м.н. Вишнивецький І.І.</w:t>
            </w:r>
          </w:p>
          <w:p w:rsidR="000B1C82" w:rsidRPr="00B857D6" w:rsidRDefault="000B1C82" w:rsidP="00B857D6">
            <w:pPr>
              <w:pStyle w:val="cs80d9435b"/>
              <w:rPr>
                <w:rFonts w:ascii="Arial" w:hAnsi="Arial" w:cs="Arial"/>
                <w:sz w:val="20"/>
              </w:rPr>
            </w:pPr>
            <w:r w:rsidRPr="00B857D6">
              <w:rPr>
                <w:rStyle w:val="csa16174ba8"/>
              </w:rPr>
              <w:lastRenderedPageBreak/>
              <w:t>Комунальне підприємство «Лікарня №1» Житомирської міської ради, консультативно-лікувальне відділення «Науково-дослідницький центр», м. Житомир</w:t>
            </w:r>
          </w:p>
        </w:tc>
      </w:tr>
    </w:tbl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9"/>
          <w:rFonts w:ascii="Arial" w:hAnsi="Arial" w:cs="Arial"/>
          <w:sz w:val="20"/>
        </w:rPr>
      </w:pPr>
      <w:r w:rsidRPr="00B857D6">
        <w:rPr>
          <w:rStyle w:val="cs80d9435b9"/>
          <w:rFonts w:ascii="Arial" w:hAnsi="Arial" w:cs="Arial"/>
          <w:b/>
          <w:sz w:val="20"/>
        </w:rPr>
        <w:t xml:space="preserve">10. </w:t>
      </w:r>
      <w:r w:rsidRPr="00B857D6">
        <w:rPr>
          <w:rStyle w:val="cs5e98e9309"/>
        </w:rPr>
        <w:t>Україна, MK-7339-012, Інформація та документ про інформовану згоду для пацієнта, версія 2.08 від 20 листопада 2024 р. українською мовою</w:t>
      </w:r>
      <w:r w:rsidRPr="00B857D6">
        <w:rPr>
          <w:rStyle w:val="csa16174ba9"/>
        </w:rPr>
        <w:t xml:space="preserve"> до протоколу клінічного випробування «Дослідження ІІІ фази </w:t>
      </w:r>
      <w:r w:rsidRPr="00B857D6">
        <w:rPr>
          <w:rStyle w:val="cs5e98e9309"/>
        </w:rPr>
        <w:t xml:space="preserve">пембролізумабу (MK-3475) </w:t>
      </w:r>
      <w:r w:rsidRPr="00B857D6">
        <w:rPr>
          <w:rStyle w:val="csa16174ba9"/>
        </w:rPr>
        <w:t xml:space="preserve">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(НДРЛ)», код дослідження                     </w:t>
      </w:r>
      <w:r w:rsidRPr="00B857D6">
        <w:rPr>
          <w:rStyle w:val="cs5e98e9309"/>
        </w:rPr>
        <w:t>MK-7339-012</w:t>
      </w:r>
      <w:r w:rsidRPr="00B857D6">
        <w:rPr>
          <w:rStyle w:val="csa16174ba9"/>
        </w:rPr>
        <w:t>, з інкорпорованою поправкою 08 від 15 квітня 2024 року; спонсор - ТОВ Мерк Шарп енд Доум, США (Merck Sharp &amp; Dohme LLC, USA)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10"/>
          <w:rFonts w:ascii="Arial" w:hAnsi="Arial" w:cs="Arial"/>
          <w:sz w:val="20"/>
        </w:rPr>
      </w:pPr>
      <w:r w:rsidRPr="00B857D6">
        <w:rPr>
          <w:rStyle w:val="cs80d9435b10"/>
          <w:rFonts w:ascii="Arial" w:hAnsi="Arial" w:cs="Arial"/>
          <w:b/>
          <w:sz w:val="20"/>
          <w:szCs w:val="20"/>
        </w:rPr>
        <w:t xml:space="preserve">11. </w:t>
      </w:r>
      <w:r w:rsidRPr="00B857D6">
        <w:rPr>
          <w:rStyle w:val="cs5e98e93010"/>
        </w:rPr>
        <w:t>Україна, MK-3475-В15, Інформація та документ про інформовану згоду для пацієнта, версія 3.03 від 20 листопада 2024 р., українською мовою</w:t>
      </w:r>
      <w:r w:rsidRPr="00B857D6">
        <w:rPr>
          <w:rStyle w:val="csa16174ba10"/>
        </w:rPr>
        <w:t xml:space="preserve"> до протоколу клінічного дослідження «Рандомізоване, відкрите дослідження III фази для оцінки періопераційного застосування </w:t>
      </w:r>
      <w:r w:rsidRPr="00B857D6">
        <w:rPr>
          <w:rStyle w:val="cs5e98e93010"/>
          <w:b w:val="0"/>
        </w:rPr>
        <w:t>енфортумабу ведотину</w:t>
      </w:r>
      <w:r w:rsidRPr="00B857D6">
        <w:rPr>
          <w:rStyle w:val="csa16174ba10"/>
        </w:rPr>
        <w:t xml:space="preserve"> у комбінації з </w:t>
      </w:r>
      <w:r w:rsidRPr="00B857D6">
        <w:rPr>
          <w:rStyle w:val="cs5e98e93010"/>
        </w:rPr>
        <w:t>пембролізумабом (MK-3475)</w:t>
      </w:r>
      <w:r w:rsidRPr="00B857D6">
        <w:rPr>
          <w:rStyle w:val="csa16174ba10"/>
        </w:rPr>
        <w:t xml:space="preserve"> порівняно з неоад'ювантною терапією гемцитабіном та цисплатином у учасників з м'язово-інвазивним раком сечового міхура, придатних для лікування цисплатином (KEYNOTE-B15 / EV-304)», код дослідження </w:t>
      </w:r>
      <w:r w:rsidRPr="00B857D6">
        <w:rPr>
          <w:rStyle w:val="cs5e98e93010"/>
        </w:rPr>
        <w:t>MK-3475-B15</w:t>
      </w:r>
      <w:r w:rsidRPr="00B857D6">
        <w:rPr>
          <w:rStyle w:val="csa16174ba10"/>
        </w:rPr>
        <w:t>, з інкорпорованою поправкою 04 від 17 листопада 2023 року; спонсор - ТОВ Мерк Шарп енд Доум, США (Merck Sharp &amp; Dohme LLC, USA)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11"/>
          <w:rFonts w:ascii="Arial" w:hAnsi="Arial" w:cs="Arial"/>
          <w:sz w:val="20"/>
        </w:rPr>
      </w:pPr>
      <w:r w:rsidRPr="00B857D6">
        <w:rPr>
          <w:rStyle w:val="cs80d9435b11"/>
          <w:rFonts w:ascii="Arial" w:hAnsi="Arial" w:cs="Arial"/>
          <w:b/>
          <w:sz w:val="20"/>
        </w:rPr>
        <w:t xml:space="preserve">12. </w:t>
      </w:r>
      <w:r w:rsidRPr="00B857D6">
        <w:rPr>
          <w:rStyle w:val="cs5e98e93011"/>
        </w:rPr>
        <w:t>Україна, MK-7339-007, Інформація та документ про інформовану згоду для пацієнта, версія 10 від 25 листопада 2024 р. українською мовою</w:t>
      </w:r>
      <w:r w:rsidRPr="00B857D6">
        <w:rPr>
          <w:rStyle w:val="csa16174ba11"/>
        </w:rPr>
        <w:t xml:space="preserve"> до протоколу клінічного випробування «Дослідження фази 2 </w:t>
      </w:r>
      <w:r w:rsidRPr="00B857D6">
        <w:rPr>
          <w:rStyle w:val="cs5e98e93011"/>
        </w:rPr>
        <w:t>олапарибу</w:t>
      </w:r>
      <w:r w:rsidRPr="00B857D6">
        <w:rPr>
          <w:rStyle w:val="csa16174ba11"/>
        </w:rPr>
        <w:t xml:space="preserve"> у комбінації з </w:t>
      </w:r>
      <w:r w:rsidRPr="00B857D6">
        <w:rPr>
          <w:rStyle w:val="csa16174ba11"/>
          <w:b/>
        </w:rPr>
        <w:t>пембролізумабом</w:t>
      </w:r>
      <w:r w:rsidRPr="00B857D6">
        <w:rPr>
          <w:rStyle w:val="csa16174ba11"/>
        </w:rPr>
        <w:t xml:space="preserve"> у пацієнтів з раніше лікованим розповсюдженим раком з мутацією гена у системі гомологічної рекомбінаційної репарації (HRRm) ДНК та/або з порушенням гомологічної рекомбінації (HRD) ДНК», код дослідження </w:t>
      </w:r>
      <w:r w:rsidRPr="00B857D6">
        <w:rPr>
          <w:rStyle w:val="cs5e98e93011"/>
        </w:rPr>
        <w:t>MK-7339-007</w:t>
      </w:r>
      <w:r w:rsidRPr="00B857D6">
        <w:rPr>
          <w:rStyle w:val="csa16174ba11"/>
        </w:rPr>
        <w:t>, з інкорпорованою поправкою 05 від 20 грудня 2022 року; спонсор - ТОВ Мерк Шарп енд Доум, США (Merck Sharp &amp; Dohme LLC, USA)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12"/>
          <w:rFonts w:ascii="Arial" w:hAnsi="Arial" w:cs="Arial"/>
          <w:sz w:val="20"/>
        </w:rPr>
      </w:pPr>
      <w:r w:rsidRPr="00B857D6">
        <w:rPr>
          <w:rStyle w:val="cs80d9435b12"/>
          <w:rFonts w:ascii="Arial" w:hAnsi="Arial" w:cs="Arial"/>
          <w:b/>
          <w:sz w:val="20"/>
        </w:rPr>
        <w:t xml:space="preserve">13. </w:t>
      </w:r>
      <w:r w:rsidRPr="00B857D6">
        <w:rPr>
          <w:rStyle w:val="cs5e98e93012"/>
        </w:rPr>
        <w:t>Брошура дослідника Pembrolizumab (MK-3475), видання 25 від 10 жовтня 2024 року, англійською мовою; Україна, MK-3475-905, Інформація та документ про інформовану згоду для пацієнта, версія 4.04 від 25 листопада 2024 р., українською мовою</w:t>
      </w:r>
      <w:r w:rsidRPr="00B857D6">
        <w:rPr>
          <w:rStyle w:val="csa16174ba12"/>
        </w:rPr>
        <w:t xml:space="preserve"> до протоколу клінічного дослідження «Рандомізоване дослідження III фази для оцінки цистектомії в комбінації з періопераційним застосуванням </w:t>
      </w:r>
      <w:r w:rsidRPr="00B857D6">
        <w:rPr>
          <w:rStyle w:val="cs5e98e93012"/>
        </w:rPr>
        <w:t>пембролізумабу</w:t>
      </w:r>
      <w:r w:rsidRPr="00B857D6">
        <w:rPr>
          <w:rStyle w:val="csa16174ba12"/>
        </w:rPr>
        <w:t xml:space="preserve">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м’язово-інвазивним раком сечового міхура, яким не можна проводити лікування цисплатином або які відмовилися від лікування цисплатином (KEYNOTE-905/EV-303)», код дослідження </w:t>
      </w:r>
      <w:r w:rsidRPr="00B857D6">
        <w:rPr>
          <w:rStyle w:val="cs5e98e93012"/>
        </w:rPr>
        <w:t>MK-3475-905</w:t>
      </w:r>
      <w:r w:rsidRPr="00B857D6">
        <w:rPr>
          <w:rStyle w:val="csa16174ba12"/>
        </w:rPr>
        <w:t>, з інкорпорованою поправкою 10 від 06 вересня 2024 року; спонсор -                      ТОВ Мерк Шарп енд Доум, США (Merck Sharp &amp; Dohme LLC, USA)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13"/>
          <w:rFonts w:ascii="Arial" w:hAnsi="Arial" w:cs="Arial"/>
          <w:sz w:val="20"/>
        </w:rPr>
      </w:pPr>
      <w:r w:rsidRPr="00B857D6">
        <w:rPr>
          <w:rStyle w:val="cs80d9435b13"/>
          <w:rFonts w:ascii="Arial" w:hAnsi="Arial" w:cs="Arial"/>
          <w:b/>
          <w:sz w:val="20"/>
          <w:szCs w:val="20"/>
        </w:rPr>
        <w:t xml:space="preserve">14. </w:t>
      </w:r>
      <w:r w:rsidRPr="00B857D6">
        <w:rPr>
          <w:rStyle w:val="cs5e98e93013"/>
        </w:rPr>
        <w:t>Подовження тривалості клінічного випробування в Україні до 01 червня 2034 року; Збільшення кількості досліджуваних в Україні від попередньо запланованої з 100 до 160 осіб</w:t>
      </w:r>
      <w:r w:rsidRPr="00B857D6">
        <w:rPr>
          <w:rStyle w:val="csa16174ba13"/>
        </w:rPr>
        <w:t xml:space="preserve"> до протоколу клінічного дослідження «Рандомізоване, подвійне сліпе, багатоцентрове дослідження фази III для оцінки довгострокової ефективності та безпечності препарату </w:t>
      </w:r>
      <w:r w:rsidRPr="00B857D6">
        <w:rPr>
          <w:rStyle w:val="cs5e98e93013"/>
        </w:rPr>
        <w:t>ABX464</w:t>
      </w:r>
      <w:r w:rsidRPr="00B857D6">
        <w:rPr>
          <w:rStyle w:val="csa16174ba13"/>
        </w:rPr>
        <w:t xml:space="preserve"> при застосуванні в дозі                25 мг або 50 мг один раз на добу як підтримувальної терапії в пацієнтів із активним виразковим колітом від середнього до тяжкого ступеня тяжкості», код дослідження </w:t>
      </w:r>
      <w:r w:rsidRPr="00B857D6">
        <w:rPr>
          <w:rStyle w:val="cs5e98e93013"/>
        </w:rPr>
        <w:t>ABX464-107</w:t>
      </w:r>
      <w:r w:rsidRPr="00B857D6">
        <w:rPr>
          <w:rStyle w:val="csa16174ba13"/>
        </w:rPr>
        <w:t>, версія 5.0 від 10 квітня                 2024 року; спонсор - ABIVAX, Франція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0B1C82" w:rsidRPr="00B857D6" w:rsidRDefault="000B1C82" w:rsidP="00B857D6">
      <w:pPr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14"/>
          <w:rFonts w:ascii="Arial" w:hAnsi="Arial" w:cs="Arial"/>
          <w:sz w:val="20"/>
        </w:rPr>
      </w:pPr>
      <w:r w:rsidRPr="00B857D6">
        <w:rPr>
          <w:rStyle w:val="cs80d9435b14"/>
          <w:rFonts w:ascii="Arial" w:hAnsi="Arial" w:cs="Arial"/>
          <w:b/>
          <w:sz w:val="20"/>
          <w:szCs w:val="20"/>
        </w:rPr>
        <w:t xml:space="preserve">15. </w:t>
      </w:r>
      <w:r w:rsidRPr="00B857D6">
        <w:rPr>
          <w:rStyle w:val="cs5e98e93014"/>
        </w:rPr>
        <w:t>Подовження тривалості клінічного випробування в Україні до 30 квітня 2025 року; збільшення кількості досліджуваних в Україні від попередньо запланованої з 125 до 200 осіб</w:t>
      </w:r>
      <w:r w:rsidRPr="00B857D6">
        <w:rPr>
          <w:rStyle w:val="csa16174ba14"/>
        </w:rPr>
        <w:t xml:space="preserve"> до протоколу клінічного дослідження «Рандомізоване, подвійне сліпе, плацебо-контрольоване, багатоцентрове дослідження фази III для оцінки ефективності та безпечності препарату </w:t>
      </w:r>
      <w:r w:rsidRPr="00B857D6">
        <w:rPr>
          <w:rStyle w:val="cs5e98e93014"/>
        </w:rPr>
        <w:t xml:space="preserve">ABX464 </w:t>
      </w:r>
      <w:r w:rsidRPr="00B857D6">
        <w:rPr>
          <w:rStyle w:val="csa16174ba14"/>
        </w:rPr>
        <w:t xml:space="preserve">один раз на добу для </w:t>
      </w:r>
      <w:r w:rsidRPr="00B857D6">
        <w:rPr>
          <w:rStyle w:val="csa16174ba14"/>
        </w:rPr>
        <w:lastRenderedPageBreak/>
        <w:t xml:space="preserve">індукційної терапії в пацієнтів з активним виразковим колітом від середнього до тяжкого ступеня тяжкості», код дослідження </w:t>
      </w:r>
      <w:r w:rsidRPr="00B857D6">
        <w:rPr>
          <w:rStyle w:val="cs5e98e93014"/>
        </w:rPr>
        <w:t>ABX464-105</w:t>
      </w:r>
      <w:r w:rsidRPr="00B857D6">
        <w:rPr>
          <w:rStyle w:val="csa16174ba14"/>
        </w:rPr>
        <w:t>, версія 5.1 від 10 квітня 2024 року; спонсор - ABIVAX, Франція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Style w:val="cs80d9435b15"/>
          <w:rFonts w:ascii="Arial" w:hAnsi="Arial" w:cs="Arial"/>
          <w:sz w:val="20"/>
        </w:rPr>
      </w:pPr>
      <w:r w:rsidRPr="00B857D6">
        <w:rPr>
          <w:rStyle w:val="cs80d9435b15"/>
          <w:rFonts w:ascii="Arial" w:hAnsi="Arial" w:cs="Arial"/>
          <w:b/>
          <w:sz w:val="20"/>
          <w:szCs w:val="20"/>
        </w:rPr>
        <w:t xml:space="preserve">16. </w:t>
      </w:r>
      <w:r w:rsidRPr="00B857D6">
        <w:rPr>
          <w:rStyle w:val="cs5e98e93015"/>
        </w:rPr>
        <w:t xml:space="preserve">Подовження тривалості клінічного випробування в Україні до 30 квітня 2025 року; збільшення кількості досліджуваних в Україні від попередньо запланованої з 125 до 200 осіб </w:t>
      </w:r>
      <w:r w:rsidRPr="00B857D6">
        <w:rPr>
          <w:rStyle w:val="csa16174ba15"/>
        </w:rPr>
        <w:t xml:space="preserve">до протоколу клінічного дослідження «Рандомізоване, подвійне сліпе, плацебо-контрольоване, багатоцентрове дослідження фази III для оцінки ефективності та безпечності препарату </w:t>
      </w:r>
      <w:r w:rsidRPr="00B857D6">
        <w:rPr>
          <w:rStyle w:val="cs5e98e93015"/>
        </w:rPr>
        <w:t>ABX464</w:t>
      </w:r>
      <w:r w:rsidRPr="00B857D6">
        <w:rPr>
          <w:rStyle w:val="csa16174ba15"/>
        </w:rPr>
        <w:t xml:space="preserve"> один раз на добу для індукційної терапії в пацієнтів з активним виразковим колітом від середнього до тяжкого ступеня тяжкості», код дослідження </w:t>
      </w:r>
      <w:r w:rsidRPr="00B857D6">
        <w:rPr>
          <w:rStyle w:val="cs5e98e93015"/>
        </w:rPr>
        <w:t>ABX464-106</w:t>
      </w:r>
      <w:r w:rsidRPr="00B857D6">
        <w:rPr>
          <w:rStyle w:val="csa16174ba15"/>
        </w:rPr>
        <w:t>, версія 5.1 від 10 квітня 2024 року; спонсор - ABIVAX, Франція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  <w:r w:rsidRPr="00B857D6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rPr>
          <w:rFonts w:ascii="Arial" w:hAnsi="Arial" w:cs="Arial"/>
          <w:sz w:val="20"/>
          <w:szCs w:val="20"/>
        </w:rPr>
      </w:pPr>
    </w:p>
    <w:p w:rsidR="000B1C82" w:rsidRPr="00B857D6" w:rsidRDefault="000B1C82" w:rsidP="00B857D6">
      <w:pPr>
        <w:jc w:val="both"/>
        <w:rPr>
          <w:rFonts w:ascii="Arial" w:hAnsi="Arial" w:cs="Arial"/>
          <w:sz w:val="20"/>
          <w:szCs w:val="18"/>
        </w:rPr>
      </w:pPr>
    </w:p>
    <w:sectPr w:rsidR="000B1C82" w:rsidRPr="00B85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C35" w:rsidRDefault="00C54BB1">
      <w:pPr>
        <w:rPr>
          <w:lang w:val="ru-RU"/>
        </w:rPr>
      </w:pPr>
      <w:r>
        <w:rPr>
          <w:lang w:val="ru-RU"/>
        </w:rPr>
        <w:separator/>
      </w:r>
    </w:p>
    <w:p w:rsidR="008E1C35" w:rsidRDefault="008E1C35">
      <w:pPr>
        <w:rPr>
          <w:lang w:val="ru-RU"/>
        </w:rPr>
      </w:pPr>
    </w:p>
  </w:endnote>
  <w:endnote w:type="continuationSeparator" w:id="0">
    <w:p w:rsidR="008E1C35" w:rsidRDefault="00C54BB1">
      <w:pPr>
        <w:rPr>
          <w:lang w:val="ru-RU"/>
        </w:rPr>
      </w:pPr>
      <w:r>
        <w:rPr>
          <w:lang w:val="ru-RU"/>
        </w:rPr>
        <w:continuationSeparator/>
      </w:r>
    </w:p>
    <w:p w:rsidR="008E1C35" w:rsidRDefault="008E1C35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35" w:rsidRDefault="008E1C35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35" w:rsidRPr="000B1C82" w:rsidRDefault="000B1C82" w:rsidP="000B1C82">
    <w:pPr>
      <w:pStyle w:val="a4"/>
      <w:jc w:val="right"/>
      <w:rPr>
        <w:sz w:val="20"/>
      </w:rPr>
    </w:pPr>
    <w:r w:rsidRPr="000B1C82">
      <w:rPr>
        <w:sz w:val="20"/>
      </w:rPr>
      <w:fldChar w:fldCharType="begin"/>
    </w:r>
    <w:r w:rsidRPr="000B1C82">
      <w:rPr>
        <w:sz w:val="20"/>
      </w:rPr>
      <w:instrText xml:space="preserve"> PAGE  \* MERGEFORMAT </w:instrText>
    </w:r>
    <w:r w:rsidRPr="000B1C82">
      <w:rPr>
        <w:sz w:val="20"/>
      </w:rPr>
      <w:fldChar w:fldCharType="separate"/>
    </w:r>
    <w:r w:rsidR="00B857D6">
      <w:rPr>
        <w:noProof/>
        <w:sz w:val="20"/>
      </w:rPr>
      <w:t>1</w:t>
    </w:r>
    <w:r w:rsidRPr="000B1C82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35" w:rsidRDefault="008E1C35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C35" w:rsidRDefault="00C54BB1">
      <w:pPr>
        <w:rPr>
          <w:lang w:val="ru-RU"/>
        </w:rPr>
      </w:pPr>
      <w:r>
        <w:rPr>
          <w:lang w:val="ru-RU"/>
        </w:rPr>
        <w:separator/>
      </w:r>
    </w:p>
    <w:p w:rsidR="008E1C35" w:rsidRDefault="008E1C35">
      <w:pPr>
        <w:rPr>
          <w:lang w:val="ru-RU"/>
        </w:rPr>
      </w:pPr>
    </w:p>
  </w:footnote>
  <w:footnote w:type="continuationSeparator" w:id="0">
    <w:p w:rsidR="008E1C35" w:rsidRDefault="00C54BB1">
      <w:pPr>
        <w:rPr>
          <w:lang w:val="ru-RU"/>
        </w:rPr>
      </w:pPr>
      <w:r>
        <w:rPr>
          <w:lang w:val="ru-RU"/>
        </w:rPr>
        <w:continuationSeparator/>
      </w:r>
    </w:p>
    <w:p w:rsidR="008E1C35" w:rsidRDefault="008E1C35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35" w:rsidRDefault="008E1C35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35" w:rsidRPr="000B1C82" w:rsidRDefault="008E1C35" w:rsidP="000B1C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35" w:rsidRDefault="008E1C35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B1"/>
    <w:rsid w:val="000B1C82"/>
    <w:rsid w:val="008E1C35"/>
    <w:rsid w:val="00B857D6"/>
    <w:rsid w:val="00C5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B895814"/>
  <w15:chartTrackingRefBased/>
  <w15:docId w15:val="{7D3CCA86-F838-4FE3-BB5C-DC795DEC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3"/>
    <w:unhideWhenUsed/>
  </w:style>
  <w:style w:type="character" w:customStyle="1" w:styleId="13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4"/>
    <w:uiPriority w:val="99"/>
    <w:unhideWhenUsed/>
  </w:style>
  <w:style w:type="character" w:customStyle="1" w:styleId="14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5"/>
    <w:semiHidden/>
    <w:unhideWhenUsed/>
  </w:style>
  <w:style w:type="character" w:customStyle="1" w:styleId="15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6"/>
    <w:semiHidden/>
    <w:unhideWhenUsed/>
  </w:style>
  <w:style w:type="character" w:customStyle="1" w:styleId="16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7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7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8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8"/>
    <w:locked/>
    <w:rPr>
      <w:sz w:val="24"/>
      <w:szCs w:val="24"/>
    </w:rPr>
  </w:style>
  <w:style w:type="paragraph" w:customStyle="1" w:styleId="19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9"/>
    <w:uiPriority w:val="99"/>
    <w:locked/>
    <w:rPr>
      <w:sz w:val="24"/>
      <w:szCs w:val="24"/>
    </w:rPr>
  </w:style>
  <w:style w:type="paragraph" w:customStyle="1" w:styleId="1a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a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b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b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c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2006a97">
    <w:name w:val="cs2006a9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b94105b">
    <w:name w:val="cs3b94105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0B1C82"/>
  </w:style>
  <w:style w:type="character" w:customStyle="1" w:styleId="cs5e98e9302">
    <w:name w:val="cs5e98e9302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0B1C82"/>
  </w:style>
  <w:style w:type="character" w:customStyle="1" w:styleId="cs5e98e9303">
    <w:name w:val="cs5e98e9303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0B1C82"/>
  </w:style>
  <w:style w:type="character" w:customStyle="1" w:styleId="cs5e98e9304">
    <w:name w:val="cs5e98e9304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0B1C82"/>
  </w:style>
  <w:style w:type="character" w:customStyle="1" w:styleId="cs5e98e9305">
    <w:name w:val="cs5e98e9305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0B1C82"/>
  </w:style>
  <w:style w:type="character" w:customStyle="1" w:styleId="cs5e98e9306">
    <w:name w:val="cs5e98e9306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0B1C82"/>
    <w:rPr>
      <w:rFonts w:eastAsiaTheme="minorEastAsia"/>
    </w:rPr>
  </w:style>
  <w:style w:type="character" w:customStyle="1" w:styleId="cs80d9435b7">
    <w:name w:val="cs80d9435b7"/>
    <w:basedOn w:val="a0"/>
    <w:rsid w:val="000B1C82"/>
  </w:style>
  <w:style w:type="character" w:customStyle="1" w:styleId="cs5e98e9307">
    <w:name w:val="cs5e98e9307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0B1C82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0B1C82"/>
    <w:pPr>
      <w:jc w:val="both"/>
    </w:pPr>
    <w:rPr>
      <w:rFonts w:eastAsiaTheme="minorEastAsia"/>
    </w:rPr>
  </w:style>
  <w:style w:type="character" w:customStyle="1" w:styleId="cs80d9435b8">
    <w:name w:val="cs80d9435b8"/>
    <w:basedOn w:val="a0"/>
    <w:rsid w:val="000B1C82"/>
  </w:style>
  <w:style w:type="character" w:customStyle="1" w:styleId="cs5e98e9308">
    <w:name w:val="cs5e98e9308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0B1C82"/>
  </w:style>
  <w:style w:type="character" w:customStyle="1" w:styleId="cs5e98e9309">
    <w:name w:val="cs5e98e9309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0B1C82"/>
  </w:style>
  <w:style w:type="character" w:customStyle="1" w:styleId="cs5e98e93010">
    <w:name w:val="cs5e98e93010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0B1C82"/>
  </w:style>
  <w:style w:type="character" w:customStyle="1" w:styleId="cs5e98e93011">
    <w:name w:val="cs5e98e93011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0B1C82"/>
  </w:style>
  <w:style w:type="character" w:customStyle="1" w:styleId="cs5e98e93012">
    <w:name w:val="cs5e98e93012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0B1C82"/>
  </w:style>
  <w:style w:type="character" w:customStyle="1" w:styleId="cs5e98e93013">
    <w:name w:val="cs5e98e93013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  <w:rsid w:val="000B1C82"/>
  </w:style>
  <w:style w:type="character" w:customStyle="1" w:styleId="cs5e98e93014">
    <w:name w:val="cs5e98e93014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  <w:rsid w:val="000B1C82"/>
  </w:style>
  <w:style w:type="character" w:customStyle="1" w:styleId="cs5e98e93015">
    <w:name w:val="cs5e98e93015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  <w:rsid w:val="000B1C82"/>
  </w:style>
  <w:style w:type="character" w:customStyle="1" w:styleId="cs5e98e93016">
    <w:name w:val="cs5e98e93016"/>
    <w:basedOn w:val="a0"/>
    <w:rsid w:val="000B1C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0B1C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AC58A-C873-4A83-A60C-B7A97AF3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2081</Words>
  <Characters>14692</Characters>
  <Application>Microsoft Office Word</Application>
  <DocSecurity>0</DocSecurity>
  <Lines>122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2</cp:revision>
  <cp:lastPrinted>2014-04-25T09:08:00Z</cp:lastPrinted>
  <dcterms:created xsi:type="dcterms:W3CDTF">2024-12-18T13:09:00Z</dcterms:created>
  <dcterms:modified xsi:type="dcterms:W3CDTF">2024-12-18T13:09:00Z</dcterms:modified>
</cp:coreProperties>
</file>