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8F7C2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C18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C18A8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C18A8" w:rsidRPr="00DD0193" w:rsidRDefault="006C18A8" w:rsidP="006C18A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1843" w:type="dxa"/>
            <w:shd w:val="clear" w:color="auto" w:fill="FFFFFF"/>
          </w:tcPr>
          <w:p w:rsidR="006C18A8" w:rsidRPr="006C18A8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4,5 мг; по 4,5 мг у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C18A8" w:rsidRPr="006C18A8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США</w:t>
            </w:r>
          </w:p>
        </w:tc>
        <w:tc>
          <w:tcPr>
            <w:tcW w:w="1134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Холдінгс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Сервісес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Re-evaluate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gemtuzumab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ozogamicin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drug substance and drug product lot release acceptance criteria for appearance,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iCE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CGE and cytotoxicity assays based on ?25 unique combinations of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gemtuzumab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activated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calicheamicin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drug substance intermediate lots used to manufacture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gemtuzumab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ozogamicin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drug substance and drug product using the commercial manufacturing process and tested using the commercial specification methods. Pfizer will submit the corresponding data, the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>analytical and statistical plan used to evaluate the specifications, and any proposed changes to the specifications.</w:t>
            </w:r>
          </w:p>
        </w:tc>
        <w:tc>
          <w:tcPr>
            <w:tcW w:w="1046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640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40A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  <w:tr w:rsidR="006C18A8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C18A8" w:rsidRPr="00DD0193" w:rsidRDefault="006C18A8" w:rsidP="006C18A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843" w:type="dxa"/>
            <w:shd w:val="clear" w:color="auto" w:fill="FFFFFF"/>
          </w:tcPr>
          <w:p w:rsidR="006C18A8" w:rsidRPr="006C18A8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В.II.h.1 b)1. II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надійшли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23.05.24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>Updates sections 2.3.A.2 and 3.2.A.2 as follows: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provide the current virus reduction study data for CH9/Z+ filtration and virus filtration steps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to deregister the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Octanoic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Acid (OA) Fractionation as a virus and TSE reduction step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include a modernized format of section 2.3.A.2 and 3.2.A.2.</w:t>
            </w:r>
          </w:p>
        </w:tc>
        <w:tc>
          <w:tcPr>
            <w:tcW w:w="1046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640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40A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  <w:tr w:rsidR="006C18A8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C18A8" w:rsidRPr="00DD0193" w:rsidRDefault="006C18A8" w:rsidP="006C18A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843" w:type="dxa"/>
            <w:shd w:val="clear" w:color="auto" w:fill="FFFFFF"/>
          </w:tcPr>
          <w:p w:rsidR="006C18A8" w:rsidRPr="006C18A8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</w:t>
            </w:r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200 мл,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якості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В.І.а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2с) ІІ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надано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04.06.24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Introduction of an alternative 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dosing for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Octanoic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Acid at Bulk manufacturing step CZ0200.</w:t>
            </w:r>
          </w:p>
        </w:tc>
        <w:tc>
          <w:tcPr>
            <w:tcW w:w="1046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5A640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40A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  <w:tr w:rsidR="006C18A8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C18A8" w:rsidRPr="00DD0193" w:rsidRDefault="006C18A8" w:rsidP="006C18A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843" w:type="dxa"/>
            <w:shd w:val="clear" w:color="auto" w:fill="FFFFFF"/>
          </w:tcPr>
          <w:p w:rsidR="006C18A8" w:rsidRPr="006C18A8" w:rsidRDefault="006C18A8" w:rsidP="006C18A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В.І.а.2.a)ІВ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надано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04.06.2024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Introduction of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Hydrosart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UF Cassettes in the M99 facility for manufacturing of lgPro10: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With this application, CSLB intends to introduce the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Hydrosart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UF cassettes as an alternative to the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Biomax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UF cassettes in the M99 production facility at CSL Bering Bern. The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Hydrosart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UF cassettes are already licensed and used in the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lgLAB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Modules I-IV. A detailed description of the change can be found in section 3.2.S.2.6 Manufacturing Process Development, charter 3.2.S.2.6.12.51.</w:t>
            </w:r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In addition, CSLB uses this opportunity to introduce a dossier optimization and harmonization in Drug Substance (DS) and Drug Product (DP) section in the submission package. The aim of this </w:t>
            </w:r>
            <w:proofErr w:type="spellStart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>optimisation</w:t>
            </w:r>
            <w:proofErr w:type="spellEnd"/>
            <w:r w:rsidRPr="005A640A">
              <w:rPr>
                <w:rFonts w:ascii="Arial" w:hAnsi="Arial" w:cs="Arial"/>
                <w:color w:val="000000"/>
                <w:sz w:val="16"/>
                <w:szCs w:val="16"/>
              </w:rPr>
              <w:t xml:space="preserve"> is to improve the readability of the sections by eliminating redundant information and to avoid inconsistencies between sections: 2.3.S.2., 2.3.P.3., 2.3.P.7., 3.2.S.2.2., 3.2.S.2.3., 3.2.P.2.3., 3.2.P.3.1., 3.2.P.3.3., 3.2.P.7.</w:t>
            </w:r>
          </w:p>
        </w:tc>
        <w:tc>
          <w:tcPr>
            <w:tcW w:w="1046" w:type="dxa"/>
            <w:shd w:val="clear" w:color="auto" w:fill="FFFFFF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640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640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C18A8" w:rsidRPr="005A640A" w:rsidRDefault="006C18A8" w:rsidP="006C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40A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6D0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8F7C29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0B5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0942"/>
    <w:rsid w:val="009F2A12"/>
    <w:rsid w:val="009F4D23"/>
    <w:rsid w:val="009F5944"/>
    <w:rsid w:val="00A01DF7"/>
    <w:rsid w:val="00A0266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8A64DC9-5D82-4D4D-B702-3E0B787B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EFCB-D467-43AF-8774-E249DB56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2024-06-14T13:54:00Z</dcterms:created>
  <dcterms:modified xsi:type="dcterms:W3CDTF">2024-06-14T13:54:00Z</dcterms:modified>
</cp:coreProperties>
</file>