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3A" w:rsidRPr="00BE4099" w:rsidRDefault="004C4A3A" w:rsidP="00BE4099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BE4099">
        <w:rPr>
          <w:rFonts w:ascii="Arial" w:hAnsi="Arial" w:cs="Arial"/>
          <w:b/>
          <w:sz w:val="20"/>
          <w:szCs w:val="20"/>
        </w:rPr>
        <w:t>Додаток</w:t>
      </w:r>
      <w:r w:rsidR="00BE40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4099">
        <w:rPr>
          <w:rFonts w:ascii="Arial" w:hAnsi="Arial" w:cs="Arial"/>
          <w:b/>
          <w:sz w:val="20"/>
          <w:szCs w:val="20"/>
        </w:rPr>
        <w:t>1</w:t>
      </w:r>
    </w:p>
    <w:p w:rsidR="004C4A3A" w:rsidRPr="00BE4099" w:rsidRDefault="004C4A3A" w:rsidP="00BE4099">
      <w:pPr>
        <w:jc w:val="both"/>
        <w:rPr>
          <w:rFonts w:ascii="Arial" w:hAnsi="Arial" w:cs="Arial"/>
          <w:b/>
          <w:sz w:val="20"/>
          <w:szCs w:val="20"/>
        </w:rPr>
      </w:pPr>
    </w:p>
    <w:p w:rsidR="004C4A3A" w:rsidRPr="00BE4099" w:rsidRDefault="004C4A3A" w:rsidP="00BE4099">
      <w:pPr>
        <w:jc w:val="both"/>
        <w:rPr>
          <w:rFonts w:ascii="Arial" w:hAnsi="Arial" w:cs="Arial"/>
          <w:b/>
          <w:sz w:val="20"/>
          <w:szCs w:val="20"/>
        </w:rPr>
      </w:pPr>
      <w:r w:rsidRPr="00BE4099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15 від 17.04.25, на які були отримані позитивні висновки експертів.»</w:t>
      </w:r>
    </w:p>
    <w:p w:rsidR="004C4A3A" w:rsidRPr="00BE4099" w:rsidRDefault="004C4A3A" w:rsidP="00BE4099">
      <w:pPr>
        <w:jc w:val="both"/>
        <w:rPr>
          <w:rFonts w:ascii="Arial" w:hAnsi="Arial" w:cs="Arial"/>
          <w:b/>
          <w:sz w:val="20"/>
          <w:szCs w:val="20"/>
        </w:rPr>
      </w:pPr>
    </w:p>
    <w:p w:rsidR="0021378F" w:rsidRPr="00BE4099" w:rsidRDefault="0021378F" w:rsidP="00BE4099">
      <w:pPr>
        <w:rPr>
          <w:rFonts w:ascii="Arial" w:hAnsi="Arial" w:cs="Arial"/>
          <w:b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1"/>
          <w:rFonts w:ascii="Arial" w:hAnsi="Arial" w:cs="Arial"/>
          <w:sz w:val="20"/>
        </w:rPr>
      </w:pPr>
      <w:r w:rsidRPr="00BE4099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B84B6D" w:rsidRPr="00BE4099">
        <w:rPr>
          <w:rStyle w:val="cs5e98e9301"/>
        </w:rPr>
        <w:t xml:space="preserve">Досьє досліджуваного лікарського засобу Декспраміпексол та плацебо (IMPD), версія 8.0 від 21 лютого 2025 р., англійською мовою; Зразок маркування досліджуваного лікарського засобу та плацебо версія 06 від 29 травня 2024 р., англійською та українською мовами </w:t>
      </w:r>
      <w:r w:rsidR="00B84B6D" w:rsidRPr="00BE4099">
        <w:rPr>
          <w:rStyle w:val="csa16174ba1"/>
        </w:rPr>
        <w:t xml:space="preserve">до протоколу клінічного дослідження 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B84B6D" w:rsidRPr="00BE4099">
        <w:rPr>
          <w:rStyle w:val="cs5e98e9301"/>
        </w:rPr>
        <w:t xml:space="preserve">декспраміпексолу </w:t>
      </w:r>
      <w:r w:rsidR="00B84B6D" w:rsidRPr="00BE4099">
        <w:rPr>
          <w:rStyle w:val="csa16174ba1"/>
        </w:rPr>
        <w:t xml:space="preserve">для перорального застосування протягом 52 тижнів у пацієнтів з тяжкою еозинофільною астмою (EXHALE-3)», код дослідження </w:t>
      </w:r>
      <w:r w:rsidR="00B84B6D" w:rsidRPr="00BE4099">
        <w:rPr>
          <w:rStyle w:val="cs5e98e9301"/>
        </w:rPr>
        <w:t>AR-DEX-22-02</w:t>
      </w:r>
      <w:r w:rsidR="00B84B6D" w:rsidRPr="00BE4099">
        <w:rPr>
          <w:rStyle w:val="csa16174ba1"/>
        </w:rPr>
        <w:t>, поправкa 2, від 20 лютого 2023 р.; спонсор - Аретея Терап’ютікс Інк., США (Areteia Therapeutics, Inc., USA)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2"/>
          <w:rFonts w:ascii="Arial" w:hAnsi="Arial" w:cs="Arial"/>
          <w:sz w:val="20"/>
        </w:rPr>
      </w:pPr>
      <w:r w:rsidRPr="00BE4099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B84B6D" w:rsidRPr="00BE4099">
        <w:rPr>
          <w:rStyle w:val="cs5e98e9302"/>
        </w:rPr>
        <w:t>Оновлений протокол клінічного випробування М16-066,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5, 6, 7 і Адміністративними змінами 1, 2, 3, 4, 5, 7 та 8 від 04 грудня 2024 року; Інформація для пацієнта та інформована згода на участь у науковому дослідженні та необов’язковому дослідженні, версія 7.0 для України від 05 березня 2025 року, українською, англійською та російською мовами; Оновлений розділ «Якість» Досьє досліджуваного лікарського засобу Рісанкізумаб (ABBV-066), версія 7.0 В від 30 січня 2025 року</w:t>
      </w:r>
      <w:r w:rsidR="00B84B6D" w:rsidRPr="00BE4099">
        <w:rPr>
          <w:rStyle w:val="csa16174ba2"/>
        </w:rPr>
        <w:t xml:space="preserve"> до протоколу клінічного дослідження «Багатоцентрове, рандомізоване, подвійне сліпе, плацебо-контрольоване </w:t>
      </w:r>
      <w:r w:rsidR="00BE4099" w:rsidRPr="00BE4099">
        <w:rPr>
          <w:rStyle w:val="csa16174ba2"/>
        </w:rPr>
        <w:t xml:space="preserve">                 </w:t>
      </w:r>
      <w:r w:rsidR="00B84B6D" w:rsidRPr="00BE4099">
        <w:rPr>
          <w:rStyle w:val="csa16174ba2"/>
        </w:rPr>
        <w:t xml:space="preserve">52-тижневе підтримуюче лікування і відкрите продовжене дослідження для вивчення ефективності </w:t>
      </w:r>
      <w:r w:rsidR="00BE4099" w:rsidRPr="00BE4099">
        <w:rPr>
          <w:rStyle w:val="csa16174ba2"/>
        </w:rPr>
        <w:t xml:space="preserve">                   </w:t>
      </w:r>
      <w:r w:rsidR="00B84B6D" w:rsidRPr="00BE4099">
        <w:rPr>
          <w:rStyle w:val="csa16174ba2"/>
        </w:rPr>
        <w:t xml:space="preserve">та безпечності </w:t>
      </w:r>
      <w:r w:rsidR="00B84B6D" w:rsidRPr="00BE4099">
        <w:rPr>
          <w:rStyle w:val="cs5e98e9302"/>
        </w:rPr>
        <w:t>Рісанкізумабу</w:t>
      </w:r>
      <w:r w:rsidR="00B84B6D" w:rsidRPr="00BE4099">
        <w:rPr>
          <w:rStyle w:val="csa16174ba2"/>
        </w:rPr>
        <w:t xml:space="preserve"> у пацієнтів з виразковим колітом», код дослідження </w:t>
      </w:r>
      <w:r w:rsidR="00B84B6D" w:rsidRPr="00BE4099">
        <w:rPr>
          <w:rStyle w:val="cs5e98e9302"/>
        </w:rPr>
        <w:t>M16-066</w:t>
      </w:r>
      <w:r w:rsidR="00B84B6D" w:rsidRPr="00BE4099">
        <w:rPr>
          <w:rStyle w:val="csa16174ba2"/>
        </w:rPr>
        <w:t>, інкорпорований Поправками 1, 2, 2.01 (тільки для Китаю), 3, 3.01 (тільки для Німеччини), 4, 4.01 (тільки для Японії), 4.02 (для України та прилеглих задіяних країн), 5, 6 і Адміністративними змінами 1, 2, 3, 4, 5 та 7 від 14 вересня 2023 року; спонсор - AbbVie Inc., USA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«ЕббВі Біофармасьютікалз ГмбХ», Швейцарія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3"/>
          <w:rFonts w:ascii="Arial" w:hAnsi="Arial" w:cs="Arial"/>
          <w:sz w:val="20"/>
        </w:rPr>
      </w:pPr>
      <w:r w:rsidRPr="00BE4099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B84B6D" w:rsidRPr="00BE4099">
        <w:rPr>
          <w:rStyle w:val="cs5e98e9303"/>
        </w:rPr>
        <w:t xml:space="preserve">Брошура дослідника досліджуваного лікарського засобу JNJ-67896062 (Macitentan), видання 22, від 2 грудня 2024р., англійською мовою </w:t>
      </w:r>
      <w:r w:rsidR="00B84B6D" w:rsidRPr="00BE4099">
        <w:rPr>
          <w:rStyle w:val="csa16174ba3"/>
        </w:rPr>
        <w:t xml:space="preserve">до протоколу клінічного дослідження «Багатоцентрове, відкрите, рандомізоване дослідження з додатковим періодом, яке проводиться в одній групі з метою оцінки фармакокінетики, безпечності та ефективності препарату </w:t>
      </w:r>
      <w:r w:rsidR="00B84B6D" w:rsidRPr="00BE4099">
        <w:rPr>
          <w:rStyle w:val="cs5e98e9303"/>
        </w:rPr>
        <w:t xml:space="preserve">Мацитентан </w:t>
      </w:r>
      <w:r w:rsidR="00B84B6D" w:rsidRPr="00BE4099">
        <w:rPr>
          <w:rStyle w:val="csa16174ba3"/>
        </w:rPr>
        <w:t xml:space="preserve">в порівнянні зі стандартом лікування у дітей з легеневою артеріальною гіпертензією», код дослідження </w:t>
      </w:r>
      <w:r w:rsidR="00B84B6D" w:rsidRPr="00BE4099">
        <w:rPr>
          <w:rStyle w:val="cs5e98e9303"/>
        </w:rPr>
        <w:t>AC-055-312</w:t>
      </w:r>
      <w:r w:rsidR="00B84B6D" w:rsidRPr="00BE4099">
        <w:rPr>
          <w:rStyle w:val="csa16174ba3"/>
        </w:rPr>
        <w:t xml:space="preserve">, версія 9 від </w:t>
      </w:r>
      <w:r w:rsidR="00BE4099" w:rsidRPr="00BE4099">
        <w:rPr>
          <w:rStyle w:val="csa16174ba3"/>
        </w:rPr>
        <w:t xml:space="preserve">   </w:t>
      </w:r>
      <w:r w:rsidR="00B84B6D" w:rsidRPr="00BE4099">
        <w:rPr>
          <w:rStyle w:val="csa16174ba3"/>
        </w:rPr>
        <w:t>23 листопада 2021 р.; спонсор - ACTELION Pharmaceuticals Ltd., Switzerland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4"/>
          <w:rFonts w:ascii="Arial" w:hAnsi="Arial" w:cs="Arial"/>
          <w:sz w:val="20"/>
        </w:rPr>
      </w:pPr>
      <w:r w:rsidRPr="00BE4099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84B6D" w:rsidRPr="00BE4099">
        <w:rPr>
          <w:rStyle w:val="cs5e98e9304"/>
        </w:rPr>
        <w:t>Оновлена Брошура дослідника з препарату Орелабрутиніб (ІСР-022), версія 11.0В від                   18 лютого 2025 р., англійською мовою</w:t>
      </w:r>
      <w:r w:rsidR="00B84B6D" w:rsidRPr="00BE4099">
        <w:rPr>
          <w:rStyle w:val="csa16174ba4"/>
        </w:rPr>
        <w:t xml:space="preserve"> до протоколу клінічного дослідження «Багатоцентрове відкрите дослідження фази I/II з вивчення нового інгібітора тирозинкінази Брутона — </w:t>
      </w:r>
      <w:r w:rsidR="00B84B6D" w:rsidRPr="00BE4099">
        <w:rPr>
          <w:rStyle w:val="cs5e98e9304"/>
        </w:rPr>
        <w:t xml:space="preserve">орелабрутинібу </w:t>
      </w:r>
      <w:r w:rsidR="00B84B6D" w:rsidRPr="00BE4099">
        <w:rPr>
          <w:rStyle w:val="csa16174ba4"/>
        </w:rPr>
        <w:t xml:space="preserve">в пацієнтів із В-клітинними злоякісними новоутвореннями», код дослідження </w:t>
      </w:r>
      <w:r w:rsidR="00B84B6D" w:rsidRPr="00BE4099">
        <w:rPr>
          <w:rStyle w:val="cs5e98e9304"/>
        </w:rPr>
        <w:t>ICP-CL-00107</w:t>
      </w:r>
      <w:r w:rsidR="00B84B6D" w:rsidRPr="00BE4099">
        <w:rPr>
          <w:rStyle w:val="csa16174ba4"/>
        </w:rPr>
        <w:t>, версія 5.0 від 30 листопада 2021 року; спонсор - «ІнноКер Фарма Інк.» (InnoCare Pharma Inc.), США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5"/>
          <w:rFonts w:ascii="Arial" w:hAnsi="Arial" w:cs="Arial"/>
          <w:sz w:val="20"/>
        </w:rPr>
      </w:pPr>
      <w:r w:rsidRPr="00BE4099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B84B6D" w:rsidRPr="00BE4099">
        <w:rPr>
          <w:rStyle w:val="cs5e98e9305"/>
        </w:rPr>
        <w:t xml:space="preserve">Брошура дослідника MK-2140, версія 10 від 14 лютого 2025 року, англійською мовою; Україна, MK-2140-010, Інформація та документ про інформовану згоду для пацієнта, версія 01 від </w:t>
      </w:r>
      <w:r w:rsidR="00BE4099" w:rsidRPr="00BE4099">
        <w:rPr>
          <w:rStyle w:val="cs5e98e9305"/>
        </w:rPr>
        <w:t xml:space="preserve">                          </w:t>
      </w:r>
      <w:bookmarkStart w:id="0" w:name="_GoBack"/>
      <w:bookmarkEnd w:id="0"/>
      <w:r w:rsidR="00B84B6D" w:rsidRPr="00BE4099">
        <w:rPr>
          <w:rStyle w:val="cs5e98e9305"/>
        </w:rPr>
        <w:t>13 березня 2025р., українською мовою; Зміна назви місця проведення клінічного випробування</w:t>
      </w:r>
      <w:r w:rsidR="00B84B6D" w:rsidRPr="00BE4099">
        <w:rPr>
          <w:rStyle w:val="csa16174ba5"/>
        </w:rPr>
        <w:t xml:space="preserve"> до протоколу клінічного дослідження «Рандомізоване, відкрите, багатоцентрове дослідження ІІІ фази </w:t>
      </w:r>
      <w:r w:rsidR="00B84B6D" w:rsidRPr="00BE4099">
        <w:rPr>
          <w:rStyle w:val="cs5e98e9305"/>
        </w:rPr>
        <w:t xml:space="preserve">зиловертамабу ведотину (MK-2140) </w:t>
      </w:r>
      <w:r w:rsidR="00B84B6D" w:rsidRPr="00BE4099">
        <w:rPr>
          <w:rStyle w:val="csa16174ba5"/>
        </w:rPr>
        <w:t xml:space="preserve">у комбінації зі схемою R-CHP порівняно з лікуванням за схемою R-CHOP у учасників з раніше нелікованою дифузною В-великоклітинною лімфомою (waveLINE-010)», код дослідження </w:t>
      </w:r>
      <w:r w:rsidR="00B84B6D" w:rsidRPr="00BE4099">
        <w:rPr>
          <w:rStyle w:val="cs5e98e9305"/>
        </w:rPr>
        <w:t>MK-2140-010</w:t>
      </w:r>
      <w:r w:rsidR="00B84B6D" w:rsidRPr="00BE4099">
        <w:rPr>
          <w:rStyle w:val="csa16174ba5"/>
        </w:rPr>
        <w:t>, з інкорпорованою поправкою 01 від 09 грудня 2024 року; спонсор -                   ТОВ Мерк Шарп енд Доум, США (Merck Sharp &amp; Dohme LLC, USA)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4C4A3A" w:rsidRPr="00BE4099" w:rsidRDefault="004C4A3A" w:rsidP="00BE4099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4C4A3A" w:rsidRPr="00BE4099" w:rsidTr="0077127C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A3A" w:rsidRPr="00BE4099" w:rsidRDefault="004C4A3A" w:rsidP="00BE4099">
            <w:pPr>
              <w:pStyle w:val="cs2e86d3a6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A3A" w:rsidRPr="00BE4099" w:rsidRDefault="004C4A3A" w:rsidP="00BE4099">
            <w:pPr>
              <w:pStyle w:val="cs2e86d3a6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t xml:space="preserve">СТАЛО </w:t>
            </w:r>
          </w:p>
        </w:tc>
      </w:tr>
      <w:tr w:rsidR="004C4A3A" w:rsidRPr="00BE4099" w:rsidTr="0077127C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A3A" w:rsidRPr="00BE4099" w:rsidRDefault="004C4A3A" w:rsidP="00BE4099">
            <w:pPr>
              <w:pStyle w:val="cs80d9435b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t>д.м.н., проф. Крячок І.А.</w:t>
            </w:r>
          </w:p>
          <w:p w:rsidR="004C4A3A" w:rsidRPr="00BE4099" w:rsidRDefault="004C4A3A" w:rsidP="00BE4099">
            <w:pPr>
              <w:pStyle w:val="cs80d9435b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lastRenderedPageBreak/>
              <w:t xml:space="preserve">Державне некомерційне підприємство «Національний інститут раку», </w:t>
            </w:r>
            <w:r w:rsidRPr="00BE4099">
              <w:rPr>
                <w:rStyle w:val="cs5e98e9305"/>
              </w:rPr>
              <w:t>клініка хіміотерапії та онкогематології</w:t>
            </w:r>
            <w:r w:rsidRPr="00BE4099">
              <w:rPr>
                <w:rStyle w:val="csa16174ba5"/>
              </w:rPr>
              <w:t>, науково-клінічний відділ онкогематології, відділення онкогематології, м. Київ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A3A" w:rsidRPr="00BE4099" w:rsidRDefault="004C4A3A" w:rsidP="00BE4099">
            <w:pPr>
              <w:pStyle w:val="cs80d9435b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lastRenderedPageBreak/>
              <w:t>д.м.н., проф. Крячок І.А.</w:t>
            </w:r>
          </w:p>
          <w:p w:rsidR="004C4A3A" w:rsidRPr="00BE4099" w:rsidRDefault="004C4A3A" w:rsidP="00BE4099">
            <w:pPr>
              <w:pStyle w:val="cs80d9435b"/>
              <w:rPr>
                <w:rFonts w:ascii="Arial" w:hAnsi="Arial" w:cs="Arial"/>
                <w:sz w:val="20"/>
              </w:rPr>
            </w:pPr>
            <w:r w:rsidRPr="00BE4099">
              <w:rPr>
                <w:rStyle w:val="csa16174ba5"/>
              </w:rPr>
              <w:lastRenderedPageBreak/>
              <w:t xml:space="preserve">Державне некомерційне підприємство «Національний інститут раку», </w:t>
            </w:r>
            <w:r w:rsidRPr="00BE4099">
              <w:rPr>
                <w:rStyle w:val="cs5e98e9305"/>
              </w:rPr>
              <w:t>клініка онкогематології та клінічної онкології</w:t>
            </w:r>
            <w:r w:rsidRPr="00BE4099">
              <w:rPr>
                <w:rStyle w:val="csa16174ba5"/>
              </w:rPr>
              <w:t>, науково-клінічний відділ онкогематології, відділення онкогематології, м. Київ</w:t>
            </w:r>
          </w:p>
        </w:tc>
      </w:tr>
    </w:tbl>
    <w:p w:rsidR="004C4A3A" w:rsidRPr="00BE4099" w:rsidRDefault="004C4A3A" w:rsidP="00BE4099">
      <w:pPr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6"/>
          <w:rFonts w:ascii="Arial" w:hAnsi="Arial" w:cs="Arial"/>
          <w:sz w:val="20"/>
        </w:rPr>
      </w:pPr>
      <w:r w:rsidRPr="00BE4099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B84B6D" w:rsidRPr="00BE4099">
        <w:rPr>
          <w:rStyle w:val="cs5e98e9306"/>
        </w:rPr>
        <w:t>Досьє досліджуваного лікарського засобу Декспраміпексол та плацебо (IMPD), версія 8.0 від 21 лютого 2025 р., англійською мовою; Зразок маркування досліджуваного лікарського засобу та плацебо версія 06 від 29 травня 2024 р., англійською та українською мовами</w:t>
      </w:r>
      <w:r w:rsidR="00B84B6D" w:rsidRPr="00BE4099">
        <w:rPr>
          <w:rStyle w:val="csa16174ba6"/>
        </w:rPr>
        <w:t xml:space="preserve"> до протоколу клінічного дослідження 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B84B6D" w:rsidRPr="00BE4099">
        <w:rPr>
          <w:rStyle w:val="cs5e98e9306"/>
        </w:rPr>
        <w:t>декспраміпексолу</w:t>
      </w:r>
      <w:r w:rsidR="00B84B6D" w:rsidRPr="00BE4099">
        <w:rPr>
          <w:rStyle w:val="csa16174ba6"/>
        </w:rPr>
        <w:t xml:space="preserve"> для перорального застосування протягом 52 тижнів у пацієнтів з тяжкою еозинофільною астмою (EXHALE-2)», код дослідження </w:t>
      </w:r>
      <w:r w:rsidR="00B84B6D" w:rsidRPr="00BE4099">
        <w:rPr>
          <w:rStyle w:val="cs5e98e9306"/>
        </w:rPr>
        <w:t>AR-DEX-22-01</w:t>
      </w:r>
      <w:r w:rsidR="00B84B6D" w:rsidRPr="00BE4099">
        <w:rPr>
          <w:rStyle w:val="csa16174ba6"/>
        </w:rPr>
        <w:t>, з інкорпорованою поправкою 2, від 30 червня 2023; спонсор - Аретея Терап'ютікс Інк. (Areteia Therapeutics, Inc.), США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7"/>
          <w:rFonts w:ascii="Arial" w:hAnsi="Arial" w:cs="Arial"/>
          <w:sz w:val="20"/>
        </w:rPr>
      </w:pPr>
      <w:r w:rsidRPr="00BE4099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84B6D" w:rsidRPr="00BE4099">
        <w:rPr>
          <w:rStyle w:val="cs5e98e9307"/>
        </w:rPr>
        <w:t>Досьє досліджуваного лікарського засобу Декспраміпексол та плацебо (IMPD), версія 8.0 від 21 лютого 2025 р., англійською мовою; Зразок маркування досліджуваного лікарського засобу та плацебо версія 06 від 29 травня 2024 р., англійською та українською мовами</w:t>
      </w:r>
      <w:r w:rsidR="00B84B6D" w:rsidRPr="00BE4099">
        <w:rPr>
          <w:rStyle w:val="csa16174ba7"/>
        </w:rPr>
        <w:t xml:space="preserve"> до протоколу клінічного дослідження 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B84B6D" w:rsidRPr="00BE4099">
        <w:rPr>
          <w:rStyle w:val="cs5e98e9307"/>
        </w:rPr>
        <w:t>декспраміпексолу</w:t>
      </w:r>
      <w:r w:rsidR="00B84B6D" w:rsidRPr="00BE4099">
        <w:rPr>
          <w:rStyle w:val="csa16174ba7"/>
        </w:rPr>
        <w:t xml:space="preserve"> для перорального застосування протягом 24 тижнів у пацієнтів з еозинофільною астмою (EXHALE-4)», код дослідження </w:t>
      </w:r>
      <w:r w:rsidR="00B84B6D" w:rsidRPr="00BE4099">
        <w:rPr>
          <w:rStyle w:val="cs5e98e9307"/>
        </w:rPr>
        <w:t>AR-DEX-22-03</w:t>
      </w:r>
      <w:r w:rsidR="00B84B6D" w:rsidRPr="00BE4099">
        <w:rPr>
          <w:rStyle w:val="csa16174ba7"/>
        </w:rPr>
        <w:t>, поправка 3 від 25 серпня 2023 р.; спонсор - Аретея Терап'ютікс Інк. (Areteia Therapeutics, Inc.), США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80d9435b8"/>
          <w:rFonts w:ascii="Arial" w:hAnsi="Arial" w:cs="Arial"/>
          <w:sz w:val="20"/>
        </w:rPr>
      </w:pPr>
      <w:r w:rsidRPr="00BE4099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B84B6D" w:rsidRPr="00BE4099">
        <w:rPr>
          <w:rStyle w:val="cs5e98e9308"/>
        </w:rPr>
        <w:t>Подовження тривалості клінічного дослідження в Україні та світі до 01 вересня 2026 року</w:t>
      </w:r>
      <w:r w:rsidR="00B84B6D" w:rsidRPr="00BE4099">
        <w:rPr>
          <w:rStyle w:val="csa16174ba8"/>
        </w:rPr>
        <w:t xml:space="preserve"> до протоколу клінічного дослідження «Рандомізоване, подвійне сліпе дослідження III фази для оцінки періопераційного застосування</w:t>
      </w:r>
      <w:r w:rsidR="00B84B6D" w:rsidRPr="00BE4099">
        <w:rPr>
          <w:rStyle w:val="cs5e98e9308"/>
        </w:rPr>
        <w:t xml:space="preserve"> пембролізумабу (МК-3475)</w:t>
      </w:r>
      <w:r w:rsidR="00B84B6D" w:rsidRPr="00BE4099">
        <w:rPr>
          <w:rStyle w:val="csa16174ba8"/>
        </w:rPr>
        <w:t xml:space="preserve">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(KEYNOTE-866)», код дослідження </w:t>
      </w:r>
      <w:r w:rsidR="00B84B6D" w:rsidRPr="00BE4099">
        <w:rPr>
          <w:rStyle w:val="cs5e98e9308"/>
        </w:rPr>
        <w:t>MK-3475-866</w:t>
      </w:r>
      <w:r w:rsidR="00B84B6D" w:rsidRPr="00BE4099">
        <w:rPr>
          <w:rStyle w:val="csa16174ba8"/>
        </w:rPr>
        <w:t>, з інкорпорованою поправкою 06 від                    14 серпня 2023 року; спонсор - ТОВ Мерк Шарп енд Доум, США (Merck Sharp &amp; Dohme LLC, USA)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4C4A3A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jc w:val="both"/>
        <w:rPr>
          <w:rFonts w:ascii="Arial" w:hAnsi="Arial" w:cs="Arial"/>
          <w:sz w:val="20"/>
          <w:szCs w:val="20"/>
        </w:rPr>
      </w:pPr>
    </w:p>
    <w:p w:rsidR="0021378F" w:rsidRPr="00BE4099" w:rsidRDefault="004C4A3A" w:rsidP="00BE4099">
      <w:pPr>
        <w:jc w:val="both"/>
        <w:rPr>
          <w:rStyle w:val="cs95e872d01"/>
          <w:rFonts w:ascii="Arial" w:hAnsi="Arial" w:cs="Arial"/>
          <w:sz w:val="20"/>
        </w:rPr>
      </w:pPr>
      <w:r w:rsidRPr="00BE4099">
        <w:rPr>
          <w:rStyle w:val="cs95e872d01"/>
          <w:rFonts w:ascii="Arial" w:hAnsi="Arial" w:cs="Arial"/>
          <w:b/>
          <w:sz w:val="20"/>
          <w:szCs w:val="20"/>
        </w:rPr>
        <w:t xml:space="preserve">9. </w:t>
      </w:r>
      <w:r w:rsidR="00B84B6D" w:rsidRPr="00BE4099">
        <w:rPr>
          <w:rStyle w:val="cs5e98e9309"/>
        </w:rPr>
        <w:t>Брошура дослідника ублітуксимабу, версія 16.0 від 26 лютого 2025 року, англійською мовою</w:t>
      </w:r>
      <w:r w:rsidR="00B84B6D" w:rsidRPr="00BE4099">
        <w:rPr>
          <w:rStyle w:val="csa16174ba9"/>
        </w:rPr>
        <w:t xml:space="preserve"> до протоколу клінічного дослідження «Відкрите подовжене дослідження </w:t>
      </w:r>
      <w:r w:rsidR="00B84B6D" w:rsidRPr="00BE4099">
        <w:rPr>
          <w:rStyle w:val="cs5e98e9309"/>
        </w:rPr>
        <w:t>ублітуксимабу</w:t>
      </w:r>
      <w:r w:rsidR="00B84B6D" w:rsidRPr="00BE4099">
        <w:rPr>
          <w:rStyle w:val="csa16174ba9"/>
        </w:rPr>
        <w:t xml:space="preserve"> у пацієнтів із рецидивним розсіяним склерозом», код дослідження </w:t>
      </w:r>
      <w:r w:rsidR="00B84B6D" w:rsidRPr="00BE4099">
        <w:rPr>
          <w:rStyle w:val="cs5e98e9309"/>
        </w:rPr>
        <w:t>TG1101-RMS303</w:t>
      </w:r>
      <w:r w:rsidR="00B84B6D" w:rsidRPr="00BE4099">
        <w:rPr>
          <w:rStyle w:val="csa16174ba9"/>
        </w:rPr>
        <w:t>, версія 4.0 від 31 січня 2024 року; спонсор - ТіДжи Терапьютикс, Інк., США (TG Therapeutics, Inc., USA)</w:t>
      </w:r>
    </w:p>
    <w:p w:rsidR="0021378F" w:rsidRPr="00BE4099" w:rsidRDefault="004C4A3A" w:rsidP="00BE4099">
      <w:pPr>
        <w:jc w:val="both"/>
        <w:rPr>
          <w:rFonts w:ascii="Arial" w:hAnsi="Arial" w:cs="Arial"/>
          <w:sz w:val="20"/>
          <w:szCs w:val="20"/>
        </w:rPr>
      </w:pPr>
      <w:r w:rsidRPr="00BE4099">
        <w:rPr>
          <w:rFonts w:ascii="Arial" w:hAnsi="Arial" w:cs="Arial"/>
          <w:sz w:val="20"/>
          <w:szCs w:val="20"/>
        </w:rPr>
        <w:t>Заявник</w:t>
      </w:r>
      <w:r w:rsidR="00B84B6D" w:rsidRPr="00BE4099">
        <w:rPr>
          <w:rFonts w:ascii="Arial" w:hAnsi="Arial" w:cs="Arial"/>
          <w:sz w:val="20"/>
          <w:szCs w:val="20"/>
        </w:rPr>
        <w:t xml:space="preserve"> - ТОВ «КЛІНІЧНІ ВИПРОБУВАННЯ», Україна</w:t>
      </w:r>
    </w:p>
    <w:p w:rsidR="004C4A3A" w:rsidRPr="00BE4099" w:rsidRDefault="004C4A3A" w:rsidP="00BE4099">
      <w:pPr>
        <w:rPr>
          <w:rFonts w:ascii="Arial" w:hAnsi="Arial" w:cs="Arial"/>
          <w:sz w:val="20"/>
          <w:szCs w:val="20"/>
        </w:rPr>
      </w:pPr>
    </w:p>
    <w:p w:rsidR="0021378F" w:rsidRPr="00BE4099" w:rsidRDefault="0021378F" w:rsidP="00BE4099">
      <w:pPr>
        <w:rPr>
          <w:rFonts w:ascii="Arial" w:hAnsi="Arial" w:cs="Arial"/>
          <w:sz w:val="20"/>
          <w:szCs w:val="20"/>
        </w:rPr>
      </w:pPr>
    </w:p>
    <w:sectPr w:rsidR="0021378F" w:rsidRPr="00BE4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8F" w:rsidRDefault="00B84B6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1378F" w:rsidRDefault="00B84B6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Default="0021378F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Pr="004C4A3A" w:rsidRDefault="004C4A3A" w:rsidP="004C4A3A">
    <w:pPr>
      <w:pStyle w:val="a4"/>
      <w:jc w:val="right"/>
      <w:rPr>
        <w:sz w:val="20"/>
      </w:rPr>
    </w:pPr>
    <w:r w:rsidRPr="004C4A3A">
      <w:rPr>
        <w:sz w:val="20"/>
      </w:rPr>
      <w:fldChar w:fldCharType="begin"/>
    </w:r>
    <w:r w:rsidRPr="004C4A3A">
      <w:rPr>
        <w:sz w:val="20"/>
      </w:rPr>
      <w:instrText xml:space="preserve"> PAGE  \* MERGEFORMAT </w:instrText>
    </w:r>
    <w:r w:rsidRPr="004C4A3A">
      <w:rPr>
        <w:sz w:val="20"/>
      </w:rPr>
      <w:fldChar w:fldCharType="separate"/>
    </w:r>
    <w:r w:rsidR="00BE4099">
      <w:rPr>
        <w:noProof/>
        <w:sz w:val="20"/>
      </w:rPr>
      <w:t>1</w:t>
    </w:r>
    <w:r w:rsidRPr="004C4A3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Default="0021378F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8F" w:rsidRDefault="00B84B6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1378F" w:rsidRDefault="00B84B6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Default="0021378F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Pr="004C4A3A" w:rsidRDefault="0021378F" w:rsidP="004C4A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F" w:rsidRDefault="0021378F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6D"/>
    <w:rsid w:val="00036DBF"/>
    <w:rsid w:val="001571C0"/>
    <w:rsid w:val="001B0A29"/>
    <w:rsid w:val="0021378F"/>
    <w:rsid w:val="004A75C8"/>
    <w:rsid w:val="004C4A3A"/>
    <w:rsid w:val="005049D5"/>
    <w:rsid w:val="006E31B4"/>
    <w:rsid w:val="007306E1"/>
    <w:rsid w:val="00883509"/>
    <w:rsid w:val="00B84B6D"/>
    <w:rsid w:val="00BB4178"/>
    <w:rsid w:val="00BE4099"/>
    <w:rsid w:val="00E27B31"/>
    <w:rsid w:val="00E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85B51EA"/>
  <w15:chartTrackingRefBased/>
  <w15:docId w15:val="{CA670EF5-F4AC-4FED-B2C6-9EF52D09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1e4cd6ce">
    <w:name w:val="cs1e4cd6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0968421">
    <w:name w:val="csc096842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8FD9-4544-4F04-8DAC-65911A0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2025-04-16T08:35:00Z</cp:lastPrinted>
  <dcterms:created xsi:type="dcterms:W3CDTF">2025-04-16T10:47:00Z</dcterms:created>
  <dcterms:modified xsi:type="dcterms:W3CDTF">2025-04-16T10:47:00Z</dcterms:modified>
</cp:coreProperties>
</file>