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3B" w:rsidRPr="00D16DA5" w:rsidRDefault="00D16DA5" w:rsidP="00D16DA5">
      <w:pPr>
        <w:spacing w:after="0" w:line="240" w:lineRule="auto"/>
        <w:jc w:val="both"/>
        <w:rPr>
          <w:rStyle w:val="cs5e98e93011"/>
          <w:lang w:val="ru-RU"/>
        </w:rPr>
      </w:pPr>
      <w:r w:rsidRPr="00D16DA5">
        <w:rPr>
          <w:rStyle w:val="cs5e98e93011"/>
          <w:lang w:val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11743B" w:rsidRPr="00D16DA5">
        <w:rPr>
          <w:rStyle w:val="cs5e98e93011"/>
          <w:lang w:val="ru-RU"/>
        </w:rPr>
        <w:t>Додаток</w:t>
      </w:r>
      <w:proofErr w:type="spellEnd"/>
      <w:r w:rsidRPr="00D16DA5">
        <w:rPr>
          <w:rStyle w:val="cs5e98e93011"/>
          <w:lang w:val="ru-RU"/>
        </w:rPr>
        <w:t xml:space="preserve"> </w:t>
      </w:r>
      <w:r w:rsidR="0011743B" w:rsidRPr="00D16DA5">
        <w:rPr>
          <w:rStyle w:val="cs5e98e93011"/>
          <w:lang w:val="ru-RU"/>
        </w:rPr>
        <w:t>2</w:t>
      </w:r>
    </w:p>
    <w:p w:rsidR="0011743B" w:rsidRPr="00D16DA5" w:rsidRDefault="0011743B" w:rsidP="00D16DA5">
      <w:pPr>
        <w:spacing w:after="0" w:line="240" w:lineRule="auto"/>
        <w:jc w:val="both"/>
        <w:rPr>
          <w:rStyle w:val="cs5e98e93011"/>
          <w:lang w:val="ru-RU"/>
        </w:rPr>
      </w:pPr>
    </w:p>
    <w:p w:rsidR="0011743B" w:rsidRPr="00D16DA5" w:rsidRDefault="0011743B" w:rsidP="00D16DA5">
      <w:pPr>
        <w:spacing w:after="0" w:line="240" w:lineRule="auto"/>
        <w:jc w:val="both"/>
        <w:rPr>
          <w:rStyle w:val="cs5e98e93011"/>
          <w:lang w:val="ru-RU"/>
        </w:rPr>
      </w:pPr>
      <w:r w:rsidRPr="00D16DA5">
        <w:rPr>
          <w:rStyle w:val="cs5e98e93011"/>
          <w:lang w:val="ru-RU"/>
        </w:rPr>
        <w:t>«</w:t>
      </w:r>
      <w:proofErr w:type="spellStart"/>
      <w:r w:rsidRPr="00D16DA5">
        <w:rPr>
          <w:rStyle w:val="cs5e98e93011"/>
          <w:lang w:val="ru-RU"/>
        </w:rPr>
        <w:t>Перелік</w:t>
      </w:r>
      <w:proofErr w:type="spellEnd"/>
      <w:r w:rsidRPr="00D16DA5">
        <w:rPr>
          <w:rStyle w:val="cs5e98e93011"/>
          <w:lang w:val="ru-RU"/>
        </w:rPr>
        <w:t xml:space="preserve"> </w:t>
      </w:r>
      <w:proofErr w:type="spellStart"/>
      <w:r w:rsidRPr="00D16DA5">
        <w:rPr>
          <w:rStyle w:val="cs5e98e93011"/>
          <w:lang w:val="ru-RU"/>
        </w:rPr>
        <w:t>суттєвих</w:t>
      </w:r>
      <w:proofErr w:type="spellEnd"/>
      <w:r w:rsidRPr="00D16DA5">
        <w:rPr>
          <w:rStyle w:val="cs5e98e93011"/>
          <w:lang w:val="ru-RU"/>
        </w:rPr>
        <w:t xml:space="preserve"> поправок до </w:t>
      </w:r>
      <w:proofErr w:type="spellStart"/>
      <w:r w:rsidRPr="00D16DA5">
        <w:rPr>
          <w:rStyle w:val="cs5e98e93011"/>
          <w:lang w:val="ru-RU"/>
        </w:rPr>
        <w:t>протоколів</w:t>
      </w:r>
      <w:proofErr w:type="spellEnd"/>
      <w:r w:rsidRPr="00D16DA5">
        <w:rPr>
          <w:rStyle w:val="cs5e98e93011"/>
          <w:lang w:val="ru-RU"/>
        </w:rPr>
        <w:t xml:space="preserve"> </w:t>
      </w:r>
      <w:proofErr w:type="spellStart"/>
      <w:r w:rsidRPr="00D16DA5">
        <w:rPr>
          <w:rStyle w:val="cs5e98e93011"/>
          <w:lang w:val="ru-RU"/>
        </w:rPr>
        <w:t>клінічних</w:t>
      </w:r>
      <w:proofErr w:type="spellEnd"/>
      <w:r w:rsidRPr="00D16DA5">
        <w:rPr>
          <w:rStyle w:val="cs5e98e93011"/>
          <w:lang w:val="ru-RU"/>
        </w:rPr>
        <w:t xml:space="preserve"> </w:t>
      </w:r>
      <w:proofErr w:type="spellStart"/>
      <w:r w:rsidRPr="00D16DA5">
        <w:rPr>
          <w:rStyle w:val="cs5e98e93011"/>
          <w:lang w:val="ru-RU"/>
        </w:rPr>
        <w:t>випроб</w:t>
      </w:r>
      <w:r w:rsidR="00D16DA5">
        <w:rPr>
          <w:rStyle w:val="cs5e98e93011"/>
          <w:lang w:val="ru-RU"/>
        </w:rPr>
        <w:t>увань</w:t>
      </w:r>
      <w:proofErr w:type="spellEnd"/>
      <w:r w:rsidR="00D16DA5">
        <w:rPr>
          <w:rStyle w:val="cs5e98e93011"/>
          <w:lang w:val="ru-RU"/>
        </w:rPr>
        <w:t xml:space="preserve">, </w:t>
      </w:r>
      <w:proofErr w:type="spellStart"/>
      <w:r w:rsidR="00D16DA5">
        <w:rPr>
          <w:rStyle w:val="cs5e98e93011"/>
          <w:lang w:val="ru-RU"/>
        </w:rPr>
        <w:t>розглянутих</w:t>
      </w:r>
      <w:proofErr w:type="spellEnd"/>
      <w:r w:rsidR="00D16DA5">
        <w:rPr>
          <w:rStyle w:val="cs5e98e93011"/>
          <w:lang w:val="ru-RU"/>
        </w:rPr>
        <w:t xml:space="preserve"> на </w:t>
      </w:r>
      <w:proofErr w:type="spellStart"/>
      <w:r w:rsidR="00D16DA5">
        <w:rPr>
          <w:rStyle w:val="cs5e98e93011"/>
          <w:lang w:val="ru-RU"/>
        </w:rPr>
        <w:t>засіданн</w:t>
      </w:r>
      <w:proofErr w:type="spellEnd"/>
      <w:r w:rsidR="00D16DA5">
        <w:rPr>
          <w:rStyle w:val="cs5e98e93011"/>
          <w:lang w:val="uk-UA"/>
        </w:rPr>
        <w:t>і</w:t>
      </w:r>
      <w:r w:rsidR="00D16DA5">
        <w:rPr>
          <w:rStyle w:val="cs5e98e93011"/>
          <w:lang w:val="ru-RU"/>
        </w:rPr>
        <w:t xml:space="preserve">     </w:t>
      </w:r>
      <w:r w:rsidRPr="00D16DA5">
        <w:rPr>
          <w:rStyle w:val="cs5e98e93011"/>
          <w:lang w:val="ru-RU"/>
        </w:rPr>
        <w:t xml:space="preserve">НТР № 26 </w:t>
      </w:r>
      <w:proofErr w:type="spellStart"/>
      <w:r w:rsidRPr="00D16DA5">
        <w:rPr>
          <w:rStyle w:val="cs5e98e93011"/>
          <w:lang w:val="ru-RU"/>
        </w:rPr>
        <w:t>від</w:t>
      </w:r>
      <w:proofErr w:type="spellEnd"/>
      <w:r w:rsidRPr="00D16DA5">
        <w:rPr>
          <w:rStyle w:val="cs5e98e93011"/>
          <w:lang w:val="ru-RU"/>
        </w:rPr>
        <w:t xml:space="preserve"> 18.07.25, </w:t>
      </w:r>
      <w:r w:rsidR="00D16DA5" w:rsidRPr="00D16DA5">
        <w:rPr>
          <w:rStyle w:val="cs5e98e93011"/>
          <w:lang w:val="ru-RU"/>
        </w:rPr>
        <w:t xml:space="preserve">про </w:t>
      </w:r>
      <w:proofErr w:type="spellStart"/>
      <w:r w:rsidR="00D16DA5" w:rsidRPr="00D16DA5">
        <w:rPr>
          <w:rStyle w:val="cs5e98e93011"/>
          <w:lang w:val="ru-RU"/>
        </w:rPr>
        <w:t>відмову</w:t>
      </w:r>
      <w:proofErr w:type="spellEnd"/>
      <w:r w:rsidR="00D16DA5" w:rsidRPr="00D16DA5">
        <w:rPr>
          <w:rStyle w:val="cs5e98e93011"/>
          <w:lang w:val="ru-RU"/>
        </w:rPr>
        <w:t xml:space="preserve"> у </w:t>
      </w:r>
      <w:proofErr w:type="spellStart"/>
      <w:r w:rsidR="00D16DA5" w:rsidRPr="00D16DA5">
        <w:rPr>
          <w:rStyle w:val="cs5e98e93011"/>
          <w:lang w:val="ru-RU"/>
        </w:rPr>
        <w:t>затвердженні</w:t>
      </w:r>
      <w:proofErr w:type="spellEnd"/>
      <w:r w:rsidR="00D16DA5" w:rsidRPr="00D16DA5">
        <w:rPr>
          <w:rStyle w:val="cs5e98e93011"/>
          <w:lang w:val="ru-RU"/>
        </w:rPr>
        <w:t xml:space="preserve"> поправок до </w:t>
      </w:r>
      <w:proofErr w:type="spellStart"/>
      <w:r w:rsidR="00D16DA5" w:rsidRPr="00D16DA5">
        <w:rPr>
          <w:rStyle w:val="cs5e98e93011"/>
          <w:lang w:val="ru-RU"/>
        </w:rPr>
        <w:t>протоколів</w:t>
      </w:r>
      <w:proofErr w:type="spellEnd"/>
      <w:r w:rsidR="00D16DA5" w:rsidRPr="00D16DA5">
        <w:rPr>
          <w:rStyle w:val="cs5e98e93011"/>
          <w:lang w:val="ru-RU"/>
        </w:rPr>
        <w:t xml:space="preserve"> </w:t>
      </w:r>
      <w:proofErr w:type="spellStart"/>
      <w:r w:rsidR="00D16DA5" w:rsidRPr="00D16DA5">
        <w:rPr>
          <w:rStyle w:val="cs5e98e93011"/>
          <w:lang w:val="ru-RU"/>
        </w:rPr>
        <w:t>міжнародних</w:t>
      </w:r>
      <w:proofErr w:type="spellEnd"/>
      <w:r w:rsidR="00D16DA5" w:rsidRPr="00D16DA5">
        <w:rPr>
          <w:rStyle w:val="cs5e98e93011"/>
          <w:lang w:val="ru-RU"/>
        </w:rPr>
        <w:t xml:space="preserve"> </w:t>
      </w:r>
      <w:proofErr w:type="spellStart"/>
      <w:r w:rsidR="00D16DA5" w:rsidRPr="00D16DA5">
        <w:rPr>
          <w:rStyle w:val="cs5e98e93011"/>
          <w:lang w:val="ru-RU"/>
        </w:rPr>
        <w:t>багатоцентрових</w:t>
      </w:r>
      <w:proofErr w:type="spellEnd"/>
      <w:r w:rsidR="00D16DA5" w:rsidRPr="00D16DA5">
        <w:rPr>
          <w:rStyle w:val="cs5e98e93011"/>
          <w:lang w:val="ru-RU"/>
        </w:rPr>
        <w:t xml:space="preserve"> </w:t>
      </w:r>
      <w:proofErr w:type="spellStart"/>
      <w:r w:rsidR="00D16DA5" w:rsidRPr="00D16DA5">
        <w:rPr>
          <w:rStyle w:val="cs5e98e93011"/>
          <w:lang w:val="ru-RU"/>
        </w:rPr>
        <w:t>клінічних</w:t>
      </w:r>
      <w:proofErr w:type="spellEnd"/>
      <w:r w:rsidR="00D16DA5" w:rsidRPr="00D16DA5">
        <w:rPr>
          <w:rStyle w:val="cs5e98e93011"/>
          <w:lang w:val="ru-RU"/>
        </w:rPr>
        <w:t xml:space="preserve"> </w:t>
      </w:r>
      <w:proofErr w:type="spellStart"/>
      <w:r w:rsidR="00D16DA5" w:rsidRPr="00D16DA5">
        <w:rPr>
          <w:rStyle w:val="cs5e98e93011"/>
          <w:lang w:val="ru-RU"/>
        </w:rPr>
        <w:t>випробувань</w:t>
      </w:r>
      <w:proofErr w:type="spellEnd"/>
      <w:r w:rsidRPr="00D16DA5">
        <w:rPr>
          <w:rStyle w:val="cs5e98e93011"/>
          <w:lang w:val="ru-RU"/>
        </w:rPr>
        <w:t>»</w:t>
      </w:r>
    </w:p>
    <w:p w:rsidR="0011743B" w:rsidRPr="00D16DA5" w:rsidRDefault="0011743B" w:rsidP="00D16DA5">
      <w:pPr>
        <w:spacing w:after="0" w:line="240" w:lineRule="auto"/>
        <w:jc w:val="both"/>
        <w:rPr>
          <w:rStyle w:val="cs5e98e93011"/>
          <w:lang w:val="ru-RU"/>
        </w:rPr>
      </w:pPr>
    </w:p>
    <w:p w:rsidR="0011743B" w:rsidRPr="00D16DA5" w:rsidRDefault="0011743B" w:rsidP="00D16DA5">
      <w:pPr>
        <w:spacing w:after="0" w:line="240" w:lineRule="auto"/>
        <w:jc w:val="both"/>
        <w:rPr>
          <w:rStyle w:val="cs5e98e93011"/>
          <w:lang w:val="ru-RU"/>
        </w:rPr>
      </w:pPr>
    </w:p>
    <w:p w:rsidR="0011743B" w:rsidRPr="00D16DA5" w:rsidRDefault="00D16DA5" w:rsidP="00D16DA5">
      <w:pPr>
        <w:spacing w:after="0" w:line="240" w:lineRule="auto"/>
        <w:jc w:val="both"/>
        <w:rPr>
          <w:rFonts w:ascii="Arial" w:hAnsi="Arial" w:cs="Arial"/>
          <w:sz w:val="20"/>
          <w:lang w:val="ru-RU"/>
        </w:rPr>
      </w:pPr>
      <w:r>
        <w:rPr>
          <w:rStyle w:val="cs5e98e93011"/>
          <w:lang w:val="ru-RU"/>
        </w:rPr>
        <w:t xml:space="preserve">1. </w:t>
      </w:r>
      <w:proofErr w:type="spellStart"/>
      <w:r w:rsidR="00545BE3" w:rsidRPr="00D16DA5">
        <w:rPr>
          <w:rStyle w:val="cs5e98e93011"/>
          <w:lang w:val="ru-RU"/>
        </w:rPr>
        <w:t>Залучення</w:t>
      </w:r>
      <w:proofErr w:type="spellEnd"/>
      <w:r w:rsidR="00545BE3" w:rsidRPr="00D16DA5">
        <w:rPr>
          <w:rStyle w:val="cs5e98e93011"/>
          <w:lang w:val="ru-RU"/>
        </w:rPr>
        <w:t xml:space="preserve"> </w:t>
      </w:r>
      <w:proofErr w:type="spellStart"/>
      <w:r w:rsidR="00545BE3" w:rsidRPr="00D16DA5">
        <w:rPr>
          <w:rStyle w:val="cs5e98e93011"/>
          <w:lang w:val="ru-RU"/>
        </w:rPr>
        <w:t>нових</w:t>
      </w:r>
      <w:proofErr w:type="spellEnd"/>
      <w:r w:rsidR="00545BE3" w:rsidRPr="00D16DA5">
        <w:rPr>
          <w:rStyle w:val="cs5e98e93011"/>
          <w:lang w:val="ru-RU"/>
        </w:rPr>
        <w:t xml:space="preserve"> </w:t>
      </w:r>
      <w:proofErr w:type="spellStart"/>
      <w:r w:rsidR="00545BE3" w:rsidRPr="00D16DA5">
        <w:rPr>
          <w:rStyle w:val="cs5e98e93011"/>
          <w:lang w:val="ru-RU"/>
        </w:rPr>
        <w:t>місць</w:t>
      </w:r>
      <w:proofErr w:type="spellEnd"/>
      <w:r w:rsidR="00545BE3" w:rsidRPr="00D16DA5">
        <w:rPr>
          <w:rStyle w:val="cs5e98e93011"/>
          <w:lang w:val="ru-RU"/>
        </w:rPr>
        <w:t xml:space="preserve"> проведення </w:t>
      </w:r>
      <w:proofErr w:type="spellStart"/>
      <w:r w:rsidR="00545BE3" w:rsidRPr="00D16DA5">
        <w:rPr>
          <w:rStyle w:val="cs5e98e93011"/>
          <w:lang w:val="ru-RU"/>
        </w:rPr>
        <w:t>клінічного</w:t>
      </w:r>
      <w:proofErr w:type="spellEnd"/>
      <w:r w:rsidR="00545BE3" w:rsidRPr="00D16DA5">
        <w:rPr>
          <w:rStyle w:val="cs5e98e93011"/>
          <w:lang w:val="ru-RU"/>
        </w:rPr>
        <w:t xml:space="preserve"> випробування</w:t>
      </w:r>
      <w:r w:rsidR="009A03D1">
        <w:rPr>
          <w:rStyle w:val="csa16174ba11"/>
          <w:lang w:val="ru-RU"/>
        </w:rPr>
        <w:t xml:space="preserve"> до </w:t>
      </w:r>
      <w:bookmarkStart w:id="0" w:name="_GoBack"/>
      <w:bookmarkEnd w:id="0"/>
      <w:r w:rsidR="00545BE3" w:rsidRPr="00D16DA5">
        <w:rPr>
          <w:rStyle w:val="csa16174ba11"/>
          <w:lang w:val="ru-RU"/>
        </w:rPr>
        <w:t xml:space="preserve">протоколу </w:t>
      </w:r>
      <w:proofErr w:type="spellStart"/>
      <w:r w:rsidR="00545BE3" w:rsidRPr="00D16DA5">
        <w:rPr>
          <w:rStyle w:val="csa16174ba11"/>
          <w:lang w:val="ru-RU"/>
        </w:rPr>
        <w:t>клінічного</w:t>
      </w:r>
      <w:proofErr w:type="spellEnd"/>
      <w:r w:rsidR="00545BE3" w:rsidRPr="00D16DA5">
        <w:rPr>
          <w:rStyle w:val="csa16174ba11"/>
          <w:lang w:val="ru-RU"/>
        </w:rPr>
        <w:t xml:space="preserve"> випробування «</w:t>
      </w:r>
      <w:proofErr w:type="spellStart"/>
      <w:r w:rsidR="00545BE3" w:rsidRPr="00D16DA5">
        <w:rPr>
          <w:rStyle w:val="csa16174ba11"/>
          <w:lang w:val="ru-RU"/>
        </w:rPr>
        <w:t>Дослідження</w:t>
      </w:r>
      <w:proofErr w:type="spellEnd"/>
      <w:r w:rsidR="00545BE3" w:rsidRPr="00D16DA5">
        <w:rPr>
          <w:rStyle w:val="csa16174ba11"/>
          <w:lang w:val="ru-RU"/>
        </w:rPr>
        <w:t xml:space="preserve"> І </w:t>
      </w:r>
      <w:proofErr w:type="spellStart"/>
      <w:r w:rsidR="00545BE3" w:rsidRPr="00D16DA5">
        <w:rPr>
          <w:rStyle w:val="csa16174ba11"/>
          <w:lang w:val="ru-RU"/>
        </w:rPr>
        <w:t>фази</w:t>
      </w:r>
      <w:proofErr w:type="spellEnd"/>
      <w:r w:rsidR="00545BE3" w:rsidRPr="00D16DA5">
        <w:rPr>
          <w:rStyle w:val="csa16174ba11"/>
          <w:lang w:val="ru-RU"/>
        </w:rPr>
        <w:t xml:space="preserve"> для </w:t>
      </w:r>
      <w:r w:rsidR="00545BE3" w:rsidRPr="00D16DA5">
        <w:rPr>
          <w:rStyle w:val="cs5e98e93011"/>
        </w:rPr>
        <w:t>ADI</w:t>
      </w:r>
      <w:r w:rsidR="00545BE3" w:rsidRPr="00D16DA5">
        <w:rPr>
          <w:rStyle w:val="cs5e98e93011"/>
          <w:lang w:val="ru-RU"/>
        </w:rPr>
        <w:t>-001</w:t>
      </w:r>
      <w:r w:rsidR="00545BE3" w:rsidRPr="00D16DA5">
        <w:rPr>
          <w:rStyle w:val="csa16174ba11"/>
          <w:lang w:val="ru-RU"/>
        </w:rPr>
        <w:t xml:space="preserve">, </w:t>
      </w:r>
      <w:proofErr w:type="spellStart"/>
      <w:r w:rsidR="00545BE3" w:rsidRPr="00D16DA5">
        <w:rPr>
          <w:rStyle w:val="csa16174ba11"/>
          <w:lang w:val="ru-RU"/>
        </w:rPr>
        <w:t>створеного</w:t>
      </w:r>
      <w:proofErr w:type="spellEnd"/>
      <w:r w:rsidR="00545BE3" w:rsidRPr="00D16DA5">
        <w:rPr>
          <w:rStyle w:val="csa16174ba11"/>
          <w:lang w:val="ru-RU"/>
        </w:rPr>
        <w:t xml:space="preserve"> за </w:t>
      </w:r>
      <w:proofErr w:type="spellStart"/>
      <w:r w:rsidR="00545BE3" w:rsidRPr="00D16DA5">
        <w:rPr>
          <w:rStyle w:val="csa16174ba11"/>
          <w:lang w:val="ru-RU"/>
        </w:rPr>
        <w:t>допомогою</w:t>
      </w:r>
      <w:proofErr w:type="spellEnd"/>
      <w:r w:rsidR="00545BE3" w:rsidRPr="00D16DA5">
        <w:rPr>
          <w:rStyle w:val="csa16174ba11"/>
          <w:lang w:val="ru-RU"/>
        </w:rPr>
        <w:t xml:space="preserve"> </w:t>
      </w:r>
      <w:proofErr w:type="spellStart"/>
      <w:r w:rsidR="00545BE3" w:rsidRPr="00D16DA5">
        <w:rPr>
          <w:rStyle w:val="csa16174ba11"/>
          <w:lang w:val="ru-RU"/>
        </w:rPr>
        <w:t>генної</w:t>
      </w:r>
      <w:proofErr w:type="spellEnd"/>
      <w:r w:rsidR="00545BE3" w:rsidRPr="00D16DA5">
        <w:rPr>
          <w:rStyle w:val="csa16174ba11"/>
          <w:lang w:val="ru-RU"/>
        </w:rPr>
        <w:t xml:space="preserve"> </w:t>
      </w:r>
      <w:proofErr w:type="spellStart"/>
      <w:r w:rsidR="00545BE3" w:rsidRPr="00D16DA5">
        <w:rPr>
          <w:rStyle w:val="csa16174ba11"/>
          <w:lang w:val="ru-RU"/>
        </w:rPr>
        <w:t>інженерії</w:t>
      </w:r>
      <w:proofErr w:type="spellEnd"/>
      <w:r w:rsidR="00545BE3" w:rsidRPr="00D16DA5">
        <w:rPr>
          <w:rStyle w:val="csa16174ba11"/>
          <w:lang w:val="ru-RU"/>
        </w:rPr>
        <w:t xml:space="preserve"> </w:t>
      </w:r>
      <w:proofErr w:type="spellStart"/>
      <w:r w:rsidR="00545BE3" w:rsidRPr="00D16DA5">
        <w:rPr>
          <w:rStyle w:val="csa16174ba11"/>
          <w:lang w:val="ru-RU"/>
        </w:rPr>
        <w:t>алогенними</w:t>
      </w:r>
      <w:proofErr w:type="spellEnd"/>
      <w:r w:rsidR="00545BE3" w:rsidRPr="00D16DA5">
        <w:rPr>
          <w:rStyle w:val="csa16174ba11"/>
          <w:lang w:val="ru-RU"/>
        </w:rPr>
        <w:t xml:space="preserve"> гамма-дельта (</w:t>
      </w:r>
      <w:proofErr w:type="spellStart"/>
      <w:r w:rsidR="00545BE3" w:rsidRPr="00D16DA5">
        <w:rPr>
          <w:rStyle w:val="csa16174ba11"/>
        </w:rPr>
        <w:t>γδ</w:t>
      </w:r>
      <w:proofErr w:type="spellEnd"/>
      <w:r w:rsidR="00545BE3" w:rsidRPr="00D16DA5">
        <w:rPr>
          <w:rStyle w:val="csa16174ba11"/>
          <w:lang w:val="ru-RU"/>
        </w:rPr>
        <w:t xml:space="preserve">) </w:t>
      </w:r>
      <w:r w:rsidR="00545BE3" w:rsidRPr="00D16DA5">
        <w:rPr>
          <w:rStyle w:val="csa16174ba11"/>
        </w:rPr>
        <w:t>CAR</w:t>
      </w:r>
      <w:r w:rsidR="00545BE3" w:rsidRPr="00D16DA5">
        <w:rPr>
          <w:rStyle w:val="csa16174ba11"/>
          <w:lang w:val="ru-RU"/>
        </w:rPr>
        <w:t>-Т-</w:t>
      </w:r>
      <w:proofErr w:type="spellStart"/>
      <w:r w:rsidR="00545BE3" w:rsidRPr="00D16DA5">
        <w:rPr>
          <w:rStyle w:val="csa16174ba11"/>
          <w:lang w:val="ru-RU"/>
        </w:rPr>
        <w:t>клітинами</w:t>
      </w:r>
      <w:proofErr w:type="spellEnd"/>
      <w:r w:rsidR="00545BE3" w:rsidRPr="00D16DA5">
        <w:rPr>
          <w:rStyle w:val="csa16174ba11"/>
          <w:lang w:val="ru-RU"/>
        </w:rPr>
        <w:t xml:space="preserve">, </w:t>
      </w:r>
      <w:proofErr w:type="spellStart"/>
      <w:r w:rsidR="00545BE3" w:rsidRPr="00D16DA5">
        <w:rPr>
          <w:rStyle w:val="csa16174ba11"/>
          <w:lang w:val="ru-RU"/>
        </w:rPr>
        <w:t>спрямованими</w:t>
      </w:r>
      <w:proofErr w:type="spellEnd"/>
      <w:r w:rsidR="00545BE3" w:rsidRPr="00D16DA5">
        <w:rPr>
          <w:rStyle w:val="csa16174ba11"/>
          <w:lang w:val="ru-RU"/>
        </w:rPr>
        <w:t xml:space="preserve"> </w:t>
      </w:r>
      <w:proofErr w:type="spellStart"/>
      <w:r w:rsidR="00545BE3" w:rsidRPr="00D16DA5">
        <w:rPr>
          <w:rStyle w:val="csa16174ba11"/>
          <w:lang w:val="ru-RU"/>
        </w:rPr>
        <w:t>проти</w:t>
      </w:r>
      <w:proofErr w:type="spellEnd"/>
      <w:r w:rsidR="00545BE3" w:rsidRPr="00D16DA5">
        <w:rPr>
          <w:rStyle w:val="csa16174ba11"/>
          <w:lang w:val="ru-RU"/>
        </w:rPr>
        <w:t xml:space="preserve"> </w:t>
      </w:r>
      <w:r w:rsidR="00545BE3" w:rsidRPr="00D16DA5">
        <w:rPr>
          <w:rStyle w:val="csa16174ba11"/>
        </w:rPr>
        <w:t>CD</w:t>
      </w:r>
      <w:r w:rsidR="00545BE3" w:rsidRPr="00D16DA5">
        <w:rPr>
          <w:rStyle w:val="csa16174ba11"/>
          <w:lang w:val="ru-RU"/>
        </w:rPr>
        <w:t xml:space="preserve">20, у </w:t>
      </w:r>
      <w:proofErr w:type="spellStart"/>
      <w:r w:rsidR="00545BE3" w:rsidRPr="00D16DA5">
        <w:rPr>
          <w:rStyle w:val="csa16174ba11"/>
          <w:lang w:val="ru-RU"/>
        </w:rPr>
        <w:t>дорослих</w:t>
      </w:r>
      <w:proofErr w:type="spellEnd"/>
      <w:r w:rsidR="00545BE3" w:rsidRPr="00D16DA5">
        <w:rPr>
          <w:rStyle w:val="csa16174ba11"/>
          <w:lang w:val="ru-RU"/>
        </w:rPr>
        <w:t xml:space="preserve"> людей </w:t>
      </w:r>
      <w:proofErr w:type="spellStart"/>
      <w:r w:rsidR="00545BE3" w:rsidRPr="00D16DA5">
        <w:rPr>
          <w:rStyle w:val="csa16174ba11"/>
          <w:lang w:val="ru-RU"/>
        </w:rPr>
        <w:t>із</w:t>
      </w:r>
      <w:proofErr w:type="spellEnd"/>
      <w:r w:rsidR="00545BE3" w:rsidRPr="00D16DA5">
        <w:rPr>
          <w:rStyle w:val="csa16174ba11"/>
          <w:lang w:val="ru-RU"/>
        </w:rPr>
        <w:t xml:space="preserve"> </w:t>
      </w:r>
      <w:proofErr w:type="spellStart"/>
      <w:r w:rsidR="00545BE3" w:rsidRPr="00D16DA5">
        <w:rPr>
          <w:rStyle w:val="csa16174ba11"/>
          <w:lang w:val="ru-RU"/>
        </w:rPr>
        <w:t>ідіопатичними</w:t>
      </w:r>
      <w:proofErr w:type="spellEnd"/>
      <w:r w:rsidR="00545BE3" w:rsidRPr="00D16DA5">
        <w:rPr>
          <w:rStyle w:val="csa16174ba11"/>
          <w:lang w:val="ru-RU"/>
        </w:rPr>
        <w:t xml:space="preserve"> </w:t>
      </w:r>
      <w:proofErr w:type="spellStart"/>
      <w:r w:rsidR="00545BE3" w:rsidRPr="00D16DA5">
        <w:rPr>
          <w:rStyle w:val="csa16174ba11"/>
          <w:lang w:val="ru-RU"/>
        </w:rPr>
        <w:t>запальними</w:t>
      </w:r>
      <w:proofErr w:type="spellEnd"/>
      <w:r w:rsidR="00545BE3" w:rsidRPr="00D16DA5">
        <w:rPr>
          <w:rStyle w:val="csa16174ba11"/>
          <w:lang w:val="ru-RU"/>
        </w:rPr>
        <w:t xml:space="preserve"> </w:t>
      </w:r>
      <w:proofErr w:type="spellStart"/>
      <w:r w:rsidR="00545BE3" w:rsidRPr="00D16DA5">
        <w:rPr>
          <w:rStyle w:val="csa16174ba11"/>
          <w:lang w:val="ru-RU"/>
        </w:rPr>
        <w:t>міопатіями</w:t>
      </w:r>
      <w:proofErr w:type="spellEnd"/>
      <w:r w:rsidR="00545BE3" w:rsidRPr="00D16DA5">
        <w:rPr>
          <w:rStyle w:val="csa16174ba11"/>
          <w:lang w:val="ru-RU"/>
        </w:rPr>
        <w:t xml:space="preserve">», код </w:t>
      </w:r>
      <w:proofErr w:type="spellStart"/>
      <w:r w:rsidR="00545BE3" w:rsidRPr="00D16DA5">
        <w:rPr>
          <w:rStyle w:val="csa16174ba11"/>
          <w:lang w:val="ru-RU"/>
        </w:rPr>
        <w:t>дослідження</w:t>
      </w:r>
      <w:proofErr w:type="spellEnd"/>
      <w:r w:rsidR="00545BE3" w:rsidRPr="00D16DA5">
        <w:rPr>
          <w:rStyle w:val="csa16174ba11"/>
          <w:lang w:val="ru-RU"/>
        </w:rPr>
        <w:t xml:space="preserve"> </w:t>
      </w:r>
      <w:r w:rsidR="00545BE3" w:rsidRPr="00D16DA5">
        <w:rPr>
          <w:rStyle w:val="cs5e98e93011"/>
        </w:rPr>
        <w:t>ADI</w:t>
      </w:r>
      <w:r w:rsidR="00545BE3" w:rsidRPr="00D16DA5">
        <w:rPr>
          <w:rStyle w:val="cs5e98e93011"/>
          <w:lang w:val="ru-RU"/>
        </w:rPr>
        <w:t>-001-105</w:t>
      </w:r>
      <w:r w:rsidR="00545BE3" w:rsidRPr="00D16DA5">
        <w:rPr>
          <w:rStyle w:val="csa16174ba11"/>
          <w:lang w:val="ru-RU"/>
        </w:rPr>
        <w:t xml:space="preserve">, версія 1.0 </w:t>
      </w:r>
      <w:proofErr w:type="spellStart"/>
      <w:r w:rsidR="00545BE3" w:rsidRPr="00D16DA5">
        <w:rPr>
          <w:rStyle w:val="csa16174ba11"/>
          <w:lang w:val="ru-RU"/>
        </w:rPr>
        <w:t>від</w:t>
      </w:r>
      <w:proofErr w:type="spellEnd"/>
      <w:r w:rsidR="00545BE3" w:rsidRPr="00D16DA5">
        <w:rPr>
          <w:rStyle w:val="csa16174ba11"/>
          <w:lang w:val="ru-RU"/>
        </w:rPr>
        <w:t xml:space="preserve"> 06 листопада 2024; спонсор - </w:t>
      </w:r>
      <w:proofErr w:type="spellStart"/>
      <w:r w:rsidR="00545BE3" w:rsidRPr="00D16DA5">
        <w:rPr>
          <w:rStyle w:val="csa16174ba11"/>
        </w:rPr>
        <w:t>Adicet</w:t>
      </w:r>
      <w:proofErr w:type="spellEnd"/>
      <w:r w:rsidR="00545BE3" w:rsidRPr="00D16DA5">
        <w:rPr>
          <w:rStyle w:val="csa16174ba11"/>
          <w:lang w:val="ru-RU"/>
        </w:rPr>
        <w:t xml:space="preserve"> </w:t>
      </w:r>
      <w:r w:rsidR="00545BE3" w:rsidRPr="00D16DA5">
        <w:rPr>
          <w:rStyle w:val="csa16174ba11"/>
        </w:rPr>
        <w:t>Therapeutics</w:t>
      </w:r>
      <w:r w:rsidR="00545BE3" w:rsidRPr="00D16DA5">
        <w:rPr>
          <w:rStyle w:val="csa16174ba11"/>
          <w:lang w:val="ru-RU"/>
        </w:rPr>
        <w:t xml:space="preserve">, </w:t>
      </w:r>
      <w:proofErr w:type="spellStart"/>
      <w:r w:rsidR="00545BE3" w:rsidRPr="00D16DA5">
        <w:rPr>
          <w:rStyle w:val="csa16174ba11"/>
        </w:rPr>
        <w:t>Inc</w:t>
      </w:r>
      <w:proofErr w:type="spellEnd"/>
      <w:r w:rsidR="00545BE3" w:rsidRPr="00D16DA5">
        <w:rPr>
          <w:rStyle w:val="csa16174ba11"/>
          <w:lang w:val="ru-RU"/>
        </w:rPr>
        <w:t xml:space="preserve">., </w:t>
      </w:r>
      <w:r w:rsidR="00545BE3" w:rsidRPr="00D16DA5">
        <w:rPr>
          <w:rStyle w:val="csa16174ba11"/>
        </w:rPr>
        <w:t>USA</w:t>
      </w:r>
      <w:r w:rsidR="00545BE3" w:rsidRPr="00D16DA5">
        <w:rPr>
          <w:rStyle w:val="csa16174ba11"/>
          <w:lang w:val="ru-RU"/>
        </w:rPr>
        <w:t xml:space="preserve"> «</w:t>
      </w:r>
      <w:proofErr w:type="spellStart"/>
      <w:r w:rsidR="00545BE3" w:rsidRPr="00D16DA5">
        <w:rPr>
          <w:rStyle w:val="csa16174ba11"/>
          <w:lang w:val="ru-RU"/>
        </w:rPr>
        <w:t>Адісет</w:t>
      </w:r>
      <w:proofErr w:type="spellEnd"/>
      <w:r w:rsidR="00545BE3" w:rsidRPr="00D16DA5">
        <w:rPr>
          <w:rStyle w:val="csa16174ba11"/>
          <w:lang w:val="ru-RU"/>
        </w:rPr>
        <w:t xml:space="preserve"> </w:t>
      </w:r>
      <w:proofErr w:type="spellStart"/>
      <w:r w:rsidR="00545BE3" w:rsidRPr="00D16DA5">
        <w:rPr>
          <w:rStyle w:val="csa16174ba11"/>
          <w:lang w:val="ru-RU"/>
        </w:rPr>
        <w:t>Терапьютікс</w:t>
      </w:r>
      <w:proofErr w:type="spellEnd"/>
      <w:r w:rsidR="00545BE3" w:rsidRPr="00D16DA5">
        <w:rPr>
          <w:rStyle w:val="csa16174ba11"/>
          <w:lang w:val="ru-RU"/>
        </w:rPr>
        <w:t xml:space="preserve">, </w:t>
      </w:r>
      <w:proofErr w:type="spellStart"/>
      <w:r w:rsidR="00545BE3" w:rsidRPr="00D16DA5">
        <w:rPr>
          <w:rStyle w:val="csa16174ba11"/>
          <w:lang w:val="ru-RU"/>
        </w:rPr>
        <w:t>Інк</w:t>
      </w:r>
      <w:proofErr w:type="spellEnd"/>
      <w:r w:rsidR="00545BE3" w:rsidRPr="00D16DA5">
        <w:rPr>
          <w:rStyle w:val="csa16174ba11"/>
          <w:lang w:val="ru-RU"/>
        </w:rPr>
        <w:t xml:space="preserve">.», </w:t>
      </w:r>
      <w:proofErr w:type="spellStart"/>
      <w:r w:rsidR="00545BE3" w:rsidRPr="00D16DA5">
        <w:rPr>
          <w:rStyle w:val="csa16174ba11"/>
          <w:lang w:val="ru-RU"/>
        </w:rPr>
        <w:t>Сполучені</w:t>
      </w:r>
      <w:proofErr w:type="spellEnd"/>
      <w:r w:rsidR="00545BE3" w:rsidRPr="00D16DA5">
        <w:rPr>
          <w:rStyle w:val="csa16174ba11"/>
          <w:lang w:val="ru-RU"/>
        </w:rPr>
        <w:t xml:space="preserve"> </w:t>
      </w:r>
      <w:proofErr w:type="spellStart"/>
      <w:r w:rsidR="00545BE3" w:rsidRPr="00D16DA5">
        <w:rPr>
          <w:rStyle w:val="csa16174ba11"/>
          <w:lang w:val="ru-RU"/>
        </w:rPr>
        <w:t>штати</w:t>
      </w:r>
      <w:proofErr w:type="spellEnd"/>
      <w:r w:rsidR="00545BE3" w:rsidRPr="00D16DA5">
        <w:rPr>
          <w:rStyle w:val="csa16174ba11"/>
          <w:lang w:val="ru-RU"/>
        </w:rPr>
        <w:t xml:space="preserve"> Америки</w:t>
      </w:r>
      <w:r w:rsidR="00545BE3" w:rsidRPr="00D16DA5">
        <w:rPr>
          <w:rFonts w:ascii="Arial" w:hAnsi="Arial" w:cs="Arial"/>
          <w:sz w:val="20"/>
          <w:szCs w:val="20"/>
          <w:lang w:val="ru-RU"/>
        </w:rPr>
        <w:cr/>
      </w:r>
      <w:proofErr w:type="spellStart"/>
      <w:r w:rsidR="00545BE3" w:rsidRPr="00D16DA5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="00545BE3" w:rsidRPr="00D16DA5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="00545BE3" w:rsidRPr="00D16DA5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="00545BE3" w:rsidRPr="00D16DA5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="00545BE3" w:rsidRPr="00D16DA5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="00545BE3" w:rsidRPr="00D16DA5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="00545BE3" w:rsidRPr="00D16DA5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="00545BE3" w:rsidRPr="00D16DA5">
        <w:rPr>
          <w:rFonts w:ascii="Arial" w:hAnsi="Arial" w:cs="Arial"/>
          <w:sz w:val="20"/>
          <w:szCs w:val="20"/>
          <w:lang w:val="ru-RU"/>
        </w:rPr>
        <w:t xml:space="preserve"> «ПВР УКРАЇНА» </w:t>
      </w:r>
    </w:p>
    <w:p w:rsidR="0011743B" w:rsidRPr="00D16DA5" w:rsidRDefault="0011743B" w:rsidP="00D16DA5">
      <w:pPr>
        <w:spacing w:after="0" w:line="240" w:lineRule="auto"/>
        <w:rPr>
          <w:rFonts w:ascii="Arial" w:hAnsi="Arial" w:cs="Arial"/>
          <w:sz w:val="20"/>
          <w:lang w:val="ru-RU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4999"/>
        <w:gridCol w:w="4110"/>
      </w:tblGrid>
      <w:tr w:rsidR="0011743B" w:rsidRPr="00D16DA5" w:rsidTr="00F056CA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2e86d3a6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№ п/п</w:t>
            </w:r>
          </w:p>
        </w:tc>
        <w:tc>
          <w:tcPr>
            <w:tcW w:w="49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202b20ac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П.І.Б. відповідального дослідника</w:t>
            </w:r>
          </w:p>
          <w:p w:rsidR="0011743B" w:rsidRPr="00D16DA5" w:rsidRDefault="0011743B" w:rsidP="00D16DA5">
            <w:pPr>
              <w:pStyle w:val="cs2e86d3a6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Назва місця проведення клінічного випробування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2e86d3a6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 xml:space="preserve">Примітки </w:t>
            </w:r>
          </w:p>
        </w:tc>
      </w:tr>
      <w:tr w:rsidR="0011743B" w:rsidRPr="00D16DA5" w:rsidTr="00F056CA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2e86d3a6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1.</w:t>
            </w:r>
          </w:p>
        </w:tc>
        <w:tc>
          <w:tcPr>
            <w:tcW w:w="49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D16DA5">
              <w:rPr>
                <w:rStyle w:val="csa16174ba11"/>
              </w:rPr>
              <w:t>к.м.н</w:t>
            </w:r>
            <w:proofErr w:type="spellEnd"/>
            <w:r w:rsidRPr="00D16DA5">
              <w:rPr>
                <w:rStyle w:val="csa16174ba11"/>
              </w:rPr>
              <w:t xml:space="preserve">. </w:t>
            </w:r>
            <w:proofErr w:type="spellStart"/>
            <w:r w:rsidRPr="00D16DA5">
              <w:rPr>
                <w:rStyle w:val="csa16174ba11"/>
              </w:rPr>
              <w:t>Качковська</w:t>
            </w:r>
            <w:proofErr w:type="spellEnd"/>
            <w:r w:rsidRPr="00D16DA5">
              <w:rPr>
                <w:rStyle w:val="csa16174ba11"/>
              </w:rPr>
              <w:t xml:space="preserve"> В.В.</w:t>
            </w:r>
          </w:p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Комунальне некомерційне підприємство Сумської обласної ради «Сумська обласна клінічна лікарня», ревматологічне відділення, Сумський державний університет, кафедра внутрішньої та сімейної медицини медичного інституту, м. Суми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 xml:space="preserve">Не рекомендовано до затвердження, оскільки для проведення неврологічного обстеження до команди дослідників залучено </w:t>
            </w:r>
            <w:proofErr w:type="spellStart"/>
            <w:r w:rsidRPr="00D16DA5">
              <w:rPr>
                <w:rStyle w:val="csa16174ba11"/>
              </w:rPr>
              <w:t>Сотнікова</w:t>
            </w:r>
            <w:proofErr w:type="spellEnd"/>
            <w:r w:rsidRPr="00D16DA5">
              <w:rPr>
                <w:rStyle w:val="csa16174ba11"/>
              </w:rPr>
              <w:t xml:space="preserve"> Д.Д., який відповідно до наданого СV працює асистентом кафедри нейрохірургії та неврології Сумського державного університету необхідно було надати «Погодження керівника закладу охорони здоров'я на надання допомоги пацієнту науково-педагогічними працівниками» (відповідно наказу МОЗ України від 15.02.2021 року №253);</w:t>
            </w:r>
          </w:p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 xml:space="preserve">- не зазначено, де будуть проводитися спірометрія та визначення дифузної здатності легень для </w:t>
            </w:r>
            <w:proofErr w:type="spellStart"/>
            <w:r w:rsidRPr="00D16DA5">
              <w:rPr>
                <w:rStyle w:val="csa16174ba11"/>
              </w:rPr>
              <w:t>монооксиду</w:t>
            </w:r>
            <w:proofErr w:type="spellEnd"/>
            <w:r w:rsidRPr="00D16DA5">
              <w:rPr>
                <w:rStyle w:val="csa16174ba11"/>
              </w:rPr>
              <w:t xml:space="preserve"> вуглецю (далі-DLCO), які передбачені умовами протоколу та відсутні дані про наявність обладнання для проведення цих обстежень в Інформації про ЛПЗ та місце проведення клінічного випробування (розділ 5 «Лабораторно-інструментальне забезпечення»). </w:t>
            </w:r>
          </w:p>
        </w:tc>
      </w:tr>
      <w:tr w:rsidR="0011743B" w:rsidRPr="00D16DA5" w:rsidTr="00F056CA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2e86d3a6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2.</w:t>
            </w:r>
          </w:p>
        </w:tc>
        <w:tc>
          <w:tcPr>
            <w:tcW w:w="49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D16DA5">
              <w:rPr>
                <w:rStyle w:val="csa16174ba11"/>
              </w:rPr>
              <w:t>к.м.н</w:t>
            </w:r>
            <w:proofErr w:type="spellEnd"/>
            <w:r w:rsidRPr="00D16DA5">
              <w:rPr>
                <w:rStyle w:val="csa16174ba11"/>
              </w:rPr>
              <w:t>. Ярош В.В.</w:t>
            </w:r>
          </w:p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Комунальне некомерційне підприємство «Міська клінічна лікарня №8» Харківської міської ради, ревматологічне відділення, м. Харків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 xml:space="preserve">Не рекомендовано до затвердження, оскільки не надана інформація щодо того, хто з дослідників буде проводити </w:t>
            </w:r>
            <w:proofErr w:type="spellStart"/>
            <w:r w:rsidRPr="00D16DA5">
              <w:rPr>
                <w:rStyle w:val="csa16174ba11"/>
              </w:rPr>
              <w:t>лімфодеплецію</w:t>
            </w:r>
            <w:proofErr w:type="spellEnd"/>
            <w:r w:rsidRPr="00D16DA5">
              <w:rPr>
                <w:rStyle w:val="csa16174ba11"/>
              </w:rPr>
              <w:t>, згідно умов протоколу клінічного випробування;</w:t>
            </w:r>
          </w:p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- не зазначено, де будуть проводитися ЕСНО/MUGA, КТВР3, МРТ/ЕМГ обстеження пацієнтів та DLCO, які передбачені умовами протоколу та відсутні дані про наявність обладнання для проведення цих обстежень в Інформації про ЛПЗ та місце проведення клінічного випробування (розділ 5 «Лабораторно-інструментальне забезпечення»).</w:t>
            </w:r>
          </w:p>
        </w:tc>
      </w:tr>
      <w:tr w:rsidR="0011743B" w:rsidRPr="00D16DA5" w:rsidTr="00F056CA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2e86d3a6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3.</w:t>
            </w:r>
          </w:p>
        </w:tc>
        <w:tc>
          <w:tcPr>
            <w:tcW w:w="49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f06cd379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лікар Гончар О.В.</w:t>
            </w:r>
          </w:p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Комунальне некомерційне медичне підприємство «Лікарня інтенсивного лікування «Кременчуцька»», терапевтичне відділення з ліжками для учасників ЛНА на ЧАЕС, м. Кременчук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Не рекомендовано до затвердження, оскільки у відповідь на зауваження надана не датована оновлена Інформація про ЛПЗ та місце проведення клінічного випробування;</w:t>
            </w:r>
          </w:p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 xml:space="preserve">- не зазначено, де буде проводитися DLCO, яке передбачено умовами протоколу та відсутні дані про наявність обладнання для проведення цього </w:t>
            </w:r>
            <w:r w:rsidRPr="00D16DA5">
              <w:rPr>
                <w:rStyle w:val="csa16174ba11"/>
              </w:rPr>
              <w:lastRenderedPageBreak/>
              <w:t xml:space="preserve">обстеження в Інформації про ЛПЗ та місце проведення клінічного випробування (розділ 5 «Лабораторно-інструментальне забезпечення»). </w:t>
            </w:r>
          </w:p>
        </w:tc>
      </w:tr>
      <w:tr w:rsidR="0011743B" w:rsidRPr="00D16DA5" w:rsidTr="00F056CA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2e86d3a6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lastRenderedPageBreak/>
              <w:t>4.</w:t>
            </w:r>
          </w:p>
        </w:tc>
        <w:tc>
          <w:tcPr>
            <w:tcW w:w="49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D16DA5">
              <w:rPr>
                <w:rStyle w:val="csa16174ba11"/>
              </w:rPr>
              <w:t>д.м.н</w:t>
            </w:r>
            <w:proofErr w:type="spellEnd"/>
            <w:r w:rsidRPr="00D16DA5">
              <w:rPr>
                <w:rStyle w:val="csa16174ba11"/>
              </w:rPr>
              <w:t>., проф. Мартинюк Л.П.</w:t>
            </w:r>
          </w:p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 xml:space="preserve">Комунальне некомерційне підприємство «Тернопільська обласна клінічна лікарня» Тернопільської обласної ради, відділення нефрології, </w:t>
            </w:r>
            <w:proofErr w:type="spellStart"/>
            <w:r w:rsidRPr="00D16DA5">
              <w:rPr>
                <w:rStyle w:val="csa16174ba11"/>
              </w:rPr>
              <w:t>Тернопiльський</w:t>
            </w:r>
            <w:proofErr w:type="spellEnd"/>
            <w:r w:rsidRPr="00D16DA5">
              <w:rPr>
                <w:rStyle w:val="csa16174ba11"/>
              </w:rPr>
              <w:t xml:space="preserve"> національний медичний університет </w:t>
            </w:r>
            <w:proofErr w:type="spellStart"/>
            <w:r w:rsidRPr="00D16DA5">
              <w:rPr>
                <w:rStyle w:val="csa16174ba11"/>
              </w:rPr>
              <w:t>iменi</w:t>
            </w:r>
            <w:proofErr w:type="spellEnd"/>
            <w:r w:rsidRPr="00D16DA5">
              <w:rPr>
                <w:rStyle w:val="csa16174ba11"/>
              </w:rPr>
              <w:t xml:space="preserve"> I.Я. </w:t>
            </w:r>
            <w:proofErr w:type="spellStart"/>
            <w:r w:rsidRPr="00D16DA5">
              <w:rPr>
                <w:rStyle w:val="csa16174ba11"/>
              </w:rPr>
              <w:t>Горбачeвського</w:t>
            </w:r>
            <w:proofErr w:type="spellEnd"/>
            <w:r w:rsidRPr="00D16DA5">
              <w:rPr>
                <w:rStyle w:val="csa16174ba11"/>
              </w:rPr>
              <w:t xml:space="preserve"> Міністерства охорони здоров'я України, кафедра внутрішньої медицини №3, м. Тернопіль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Знято з розгляду за рішенням спонсора</w:t>
            </w:r>
          </w:p>
        </w:tc>
      </w:tr>
      <w:tr w:rsidR="0011743B" w:rsidRPr="00D16DA5" w:rsidTr="00F056CA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2e86d3a6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5.</w:t>
            </w:r>
          </w:p>
        </w:tc>
        <w:tc>
          <w:tcPr>
            <w:tcW w:w="49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D16DA5">
              <w:rPr>
                <w:rStyle w:val="csa16174ba11"/>
              </w:rPr>
              <w:t>д.м.н</w:t>
            </w:r>
            <w:proofErr w:type="spellEnd"/>
            <w:r w:rsidRPr="00D16DA5">
              <w:rPr>
                <w:rStyle w:val="csa16174ba11"/>
              </w:rPr>
              <w:t xml:space="preserve">., проф. </w:t>
            </w:r>
            <w:proofErr w:type="spellStart"/>
            <w:r w:rsidRPr="00D16DA5">
              <w:rPr>
                <w:rStyle w:val="csa16174ba11"/>
              </w:rPr>
              <w:t>Рекалов</w:t>
            </w:r>
            <w:proofErr w:type="spellEnd"/>
            <w:r w:rsidRPr="00D16DA5">
              <w:rPr>
                <w:rStyle w:val="csa16174ba11"/>
              </w:rPr>
              <w:t xml:space="preserve"> Д.Г.</w:t>
            </w:r>
          </w:p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Товариство з обмеженою відповідальністю «Центральна клініка», м. Дніпро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Знято з розгляду за рішенням спонсора</w:t>
            </w:r>
          </w:p>
        </w:tc>
      </w:tr>
      <w:tr w:rsidR="0011743B" w:rsidRPr="00D16DA5" w:rsidTr="00F056CA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2e86d3a6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6.</w:t>
            </w:r>
          </w:p>
        </w:tc>
        <w:tc>
          <w:tcPr>
            <w:tcW w:w="49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f06cd379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 xml:space="preserve">лікар </w:t>
            </w:r>
            <w:proofErr w:type="spellStart"/>
            <w:r w:rsidRPr="00D16DA5">
              <w:rPr>
                <w:rStyle w:val="csa16174ba11"/>
              </w:rPr>
              <w:t>Василець</w:t>
            </w:r>
            <w:proofErr w:type="spellEnd"/>
            <w:r w:rsidRPr="00D16DA5">
              <w:rPr>
                <w:rStyle w:val="csa16174ba11"/>
              </w:rPr>
              <w:t xml:space="preserve"> В.В.</w:t>
            </w:r>
          </w:p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Товариство з обмеженою відповідальністю «Дім Медицини», соматичне відділення стаціонару,                     м. Одеса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 xml:space="preserve">Не рекомендовано до затвердження, оскільки з наданої відповіді не зрозуміло, яким чином дослідник </w:t>
            </w:r>
            <w:proofErr w:type="spellStart"/>
            <w:r w:rsidRPr="00D16DA5">
              <w:rPr>
                <w:rStyle w:val="csa16174ba11"/>
              </w:rPr>
              <w:t>Тіхончук</w:t>
            </w:r>
            <w:proofErr w:type="spellEnd"/>
            <w:r w:rsidRPr="00D16DA5">
              <w:rPr>
                <w:rStyle w:val="csa16174ba11"/>
              </w:rPr>
              <w:t xml:space="preserve"> Н.С. буде проводити неврологічне обстеження пацієнтів згідно умов протоколу, тому що вона працює лікарем-ревматологом і немає спеціалізації з неврології;</w:t>
            </w:r>
          </w:p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- не зазначено, де буде проводитися DLCO, яке передбачено умовами протоколу та відсутні дані про наявність обладнання для проведення цього обстеження в Інформації про ЛПЗ та місце проведення клінічного випробування (розділ 5 «Лабораторно-інструментальне забезпечення»).</w:t>
            </w:r>
          </w:p>
        </w:tc>
      </w:tr>
      <w:tr w:rsidR="0011743B" w:rsidRPr="00D16DA5" w:rsidTr="00F056CA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2e86d3a6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7.</w:t>
            </w:r>
          </w:p>
        </w:tc>
        <w:tc>
          <w:tcPr>
            <w:tcW w:w="49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f06cd379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лікар Московко Г.С.</w:t>
            </w:r>
          </w:p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Товариство з обмеженою відповідальністю «Медичний центр «</w:t>
            </w:r>
            <w:proofErr w:type="spellStart"/>
            <w:r w:rsidRPr="00D16DA5">
              <w:rPr>
                <w:rStyle w:val="csa16174ba11"/>
              </w:rPr>
              <w:t>Салютем</w:t>
            </w:r>
            <w:proofErr w:type="spellEnd"/>
            <w:r w:rsidRPr="00D16DA5">
              <w:rPr>
                <w:rStyle w:val="csa16174ba11"/>
              </w:rPr>
              <w:t>», лікувально-діагностичний відділ медичного центру, м. Вінниця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Не рекомендовано до затвердження, оскільки відповідно до наданої структури МПВ, у Медичному центрі товариства з обмеженою відповідальністю «Медичний центр «</w:t>
            </w:r>
            <w:proofErr w:type="spellStart"/>
            <w:r w:rsidRPr="00D16DA5">
              <w:rPr>
                <w:rStyle w:val="csa16174ba11"/>
              </w:rPr>
              <w:t>Салютем</w:t>
            </w:r>
            <w:proofErr w:type="spellEnd"/>
            <w:r w:rsidRPr="00D16DA5">
              <w:rPr>
                <w:rStyle w:val="csa16174ba11"/>
              </w:rPr>
              <w:t>» відсутня можливість стаціонарного лікування (госпіталізації) досліджуваних на період не менше 7 діб, що передбачено умовами протоколу КВ;</w:t>
            </w:r>
            <w:r w:rsidRPr="00D16DA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16DA5">
              <w:rPr>
                <w:rStyle w:val="csa16174ba11"/>
              </w:rPr>
              <w:t>- не надано підтвердження щодо достатньої професійної підготовки (сертифікат лікаря-спеціаліста за фахом ревматологія) відповідальному досліднику Московко Г.С., відповідно до вимог п. 5.1 розділу V Порядку, з огляду на основні планові обов'язки під час КВ та ревматологічний профіль пацієнтів;</w:t>
            </w:r>
          </w:p>
          <w:p w:rsidR="0011743B" w:rsidRPr="00D16DA5" w:rsidRDefault="0011743B" w:rsidP="00D16DA5">
            <w:pPr>
              <w:pStyle w:val="cs80d9435b"/>
              <w:rPr>
                <w:rFonts w:ascii="Arial" w:hAnsi="Arial" w:cs="Arial"/>
                <w:sz w:val="20"/>
              </w:rPr>
            </w:pPr>
            <w:r w:rsidRPr="00D16DA5">
              <w:rPr>
                <w:rStyle w:val="csa16174ba11"/>
              </w:rPr>
              <w:t>- не зазначено, де буде проводитися DLCO, яке передбачено умовами протоколу та відсутні дані про наявність обладнання для проведення цього обстеження в Інформації про ЛПЗ та місце проведення клінічного випробування (розділ 5 «Лабораторно-інструментальне забезпечення»).</w:t>
            </w:r>
          </w:p>
        </w:tc>
      </w:tr>
    </w:tbl>
    <w:p w:rsidR="006C2F45" w:rsidRPr="00D16DA5" w:rsidRDefault="006C2F45" w:rsidP="00D16DA5">
      <w:pPr>
        <w:spacing w:after="0" w:line="240" w:lineRule="auto"/>
        <w:rPr>
          <w:rFonts w:ascii="Arial" w:hAnsi="Arial" w:cs="Arial"/>
          <w:sz w:val="20"/>
          <w:lang w:val="uk-UA"/>
        </w:rPr>
      </w:pPr>
    </w:p>
    <w:sectPr w:rsidR="006C2F45" w:rsidRPr="00D16D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A03D1">
      <w:pPr>
        <w:spacing w:after="0" w:line="240" w:lineRule="auto"/>
      </w:pPr>
      <w:r>
        <w:separator/>
      </w:r>
    </w:p>
  </w:endnote>
  <w:endnote w:type="continuationSeparator" w:id="0">
    <w:p w:rsidR="00000000" w:rsidRDefault="009A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25" w:rsidRDefault="009A03D1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25" w:rsidRDefault="00545BE3">
    <w:pPr>
      <w:pStyle w:val="a5"/>
      <w:tabs>
        <w:tab w:val="center" w:pos="4677"/>
        <w:tab w:val="right" w:pos="9355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9A03D1" w:rsidRPr="009A03D1">
      <w:rPr>
        <w:noProof/>
        <w:sz w:val="20"/>
        <w:szCs w:val="20"/>
        <w:lang w:val="ru-RU"/>
      </w:rPr>
      <w:t>2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25" w:rsidRDefault="009A03D1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A03D1">
      <w:pPr>
        <w:spacing w:after="0" w:line="240" w:lineRule="auto"/>
      </w:pPr>
      <w:r>
        <w:separator/>
      </w:r>
    </w:p>
  </w:footnote>
  <w:footnote w:type="continuationSeparator" w:id="0">
    <w:p w:rsidR="00000000" w:rsidRDefault="009A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25" w:rsidRDefault="009A03D1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25" w:rsidRDefault="009A03D1">
    <w:pPr>
      <w:pStyle w:val="a3"/>
      <w:tabs>
        <w:tab w:val="center" w:pos="4677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25" w:rsidRDefault="009A03D1">
    <w:pPr>
      <w:pStyle w:val="a3"/>
      <w:tabs>
        <w:tab w:val="center" w:pos="4677"/>
        <w:tab w:val="right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E3"/>
    <w:rsid w:val="0011743B"/>
    <w:rsid w:val="00545BE3"/>
    <w:rsid w:val="006C2F45"/>
    <w:rsid w:val="009A03D1"/>
    <w:rsid w:val="00C67EB8"/>
    <w:rsid w:val="00D1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DDC1"/>
  <w15:chartTrackingRefBased/>
  <w15:docId w15:val="{2DA9AE1D-039F-444D-8D53-2F46C46C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nhideWhenUsed/>
    <w:rsid w:val="00545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Верхний колонтитул Знак"/>
    <w:basedOn w:val="a0"/>
    <w:uiPriority w:val="99"/>
    <w:semiHidden/>
    <w:rsid w:val="00545BE3"/>
  </w:style>
  <w:style w:type="character" w:customStyle="1" w:styleId="1">
    <w:name w:val="Верхний колонтитул Знак1"/>
    <w:basedOn w:val="a0"/>
    <w:link w:val="a3"/>
    <w:locked/>
    <w:rsid w:val="00545BE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10"/>
    <w:uiPriority w:val="99"/>
    <w:unhideWhenUsed/>
    <w:rsid w:val="00545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Нижний колонтитул Знак"/>
    <w:basedOn w:val="a0"/>
    <w:uiPriority w:val="99"/>
    <w:semiHidden/>
    <w:rsid w:val="00545BE3"/>
  </w:style>
  <w:style w:type="character" w:customStyle="1" w:styleId="10">
    <w:name w:val="Нижний колонтитул Знак1"/>
    <w:basedOn w:val="a0"/>
    <w:link w:val="a5"/>
    <w:uiPriority w:val="99"/>
    <w:locked/>
    <w:rsid w:val="00545BE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ody Text"/>
    <w:basedOn w:val="a"/>
    <w:link w:val="11"/>
    <w:semiHidden/>
    <w:unhideWhenUsed/>
    <w:rsid w:val="00545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сновной текст Знак"/>
    <w:basedOn w:val="a0"/>
    <w:uiPriority w:val="99"/>
    <w:semiHidden/>
    <w:rsid w:val="00545BE3"/>
  </w:style>
  <w:style w:type="character" w:customStyle="1" w:styleId="11">
    <w:name w:val="Основной текст Знак1"/>
    <w:basedOn w:val="a0"/>
    <w:link w:val="a7"/>
    <w:semiHidden/>
    <w:locked/>
    <w:rsid w:val="00545BE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2">
    <w:name w:val="Обычная таблица1"/>
    <w:uiPriority w:val="99"/>
    <w:semiHidden/>
    <w:rsid w:val="00545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545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545BE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customStyle="1" w:styleId="cs2e86d3a6">
    <w:name w:val="cs2e86d3a6"/>
    <w:basedOn w:val="a"/>
    <w:rsid w:val="00545BE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customStyle="1" w:styleId="cs202b20ac">
    <w:name w:val="cs202b20ac"/>
    <w:basedOn w:val="a"/>
    <w:rsid w:val="00545BE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customStyle="1" w:styleId="csf06cd379">
    <w:name w:val="csf06cd379"/>
    <w:basedOn w:val="a"/>
    <w:rsid w:val="00545BE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cs80d9435b11">
    <w:name w:val="cs80d9435b11"/>
    <w:basedOn w:val="a0"/>
    <w:rsid w:val="00545BE3"/>
  </w:style>
  <w:style w:type="character" w:customStyle="1" w:styleId="cs5e98e93011">
    <w:name w:val="cs5e98e93011"/>
    <w:basedOn w:val="a0"/>
    <w:rsid w:val="00545BE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545BE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sid w:val="00545BE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9">
    <w:name w:val="List Paragraph"/>
    <w:basedOn w:val="a"/>
    <w:uiPriority w:val="34"/>
    <w:qFormat/>
    <w:rsid w:val="00D16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Шура Ірина Михайлівна</dc:creator>
  <cp:keywords/>
  <dc:description/>
  <cp:lastModifiedBy>Шура Ірина Михайлівна</cp:lastModifiedBy>
  <cp:revision>3</cp:revision>
  <dcterms:created xsi:type="dcterms:W3CDTF">2025-07-17T13:01:00Z</dcterms:created>
  <dcterms:modified xsi:type="dcterms:W3CDTF">2025-07-17T13:05:00Z</dcterms:modified>
</cp:coreProperties>
</file>