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251BB9" w:rsidRPr="00763358" w:rsidRDefault="00251BB9">
            <w:pPr>
              <w:spacing w:after="0" w:line="240" w:lineRule="auto"/>
              <w:jc w:val="both"/>
              <w:rPr>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6E5F6B" w:rsidRPr="006E5F6B">
              <w:rPr>
                <w:b/>
                <w:bCs/>
                <w:color w:val="000000" w:themeColor="text1"/>
                <w:sz w:val="24"/>
                <w:szCs w:val="24"/>
                <w:lang w:val="ru-RU"/>
              </w:rPr>
              <w:t>Програмне</w:t>
            </w:r>
            <w:proofErr w:type="spellEnd"/>
            <w:r w:rsidR="006E5F6B" w:rsidRPr="006E5F6B">
              <w:rPr>
                <w:b/>
                <w:bCs/>
                <w:color w:val="000000" w:themeColor="text1"/>
                <w:sz w:val="24"/>
                <w:szCs w:val="24"/>
                <w:lang w:val="ru-RU"/>
              </w:rPr>
              <w:t xml:space="preserve"> </w:t>
            </w:r>
            <w:proofErr w:type="spellStart"/>
            <w:r w:rsidR="006E5F6B" w:rsidRPr="006E5F6B">
              <w:rPr>
                <w:b/>
                <w:bCs/>
                <w:color w:val="000000" w:themeColor="text1"/>
                <w:sz w:val="24"/>
                <w:szCs w:val="24"/>
                <w:lang w:val="ru-RU"/>
              </w:rPr>
              <w:t>забезпечення</w:t>
            </w:r>
            <w:proofErr w:type="spellEnd"/>
          </w:p>
          <w:p w:rsidR="00251BB9" w:rsidRPr="003C4DE1" w:rsidRDefault="00251BB9" w:rsidP="00A918D0">
            <w:pPr>
              <w:spacing w:after="0" w:line="240" w:lineRule="auto"/>
              <w:jc w:val="both"/>
              <w:rPr>
                <w:b/>
                <w:bCs/>
                <w:color w:val="000000" w:themeColor="text1"/>
                <w:sz w:val="24"/>
                <w:szCs w:val="24"/>
              </w:rPr>
            </w:pPr>
            <w:r w:rsidRPr="003C4DE1">
              <w:rPr>
                <w:bCs/>
                <w:color w:val="000000" w:themeColor="text1"/>
                <w:sz w:val="24"/>
                <w:szCs w:val="24"/>
              </w:rPr>
              <w:t>Класифікатор та його відповідний код:</w:t>
            </w:r>
            <w:r w:rsidRPr="003C4DE1">
              <w:rPr>
                <w:sz w:val="24"/>
                <w:szCs w:val="24"/>
              </w:rPr>
              <w:t xml:space="preserve"> </w:t>
            </w:r>
            <w:r w:rsidR="006E5F6B" w:rsidRPr="006E5F6B">
              <w:rPr>
                <w:b/>
                <w:bCs/>
                <w:color w:val="000000" w:themeColor="text1"/>
                <w:sz w:val="24"/>
                <w:szCs w:val="24"/>
              </w:rPr>
              <w:t>48730000-4 — Пакети програмного забезпечення для забезпечення безпеки</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6E5F6B" w:rsidRPr="006E5F6B">
              <w:rPr>
                <w:b/>
                <w:color w:val="000000" w:themeColor="text1"/>
                <w:sz w:val="24"/>
                <w:szCs w:val="24"/>
                <w:lang w:val="ru-UA"/>
              </w:rPr>
              <w:t>1 090 054,69</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3B46D0">
              <w:rPr>
                <w:b/>
                <w:color w:val="000000" w:themeColor="text1"/>
                <w:sz w:val="24"/>
                <w:szCs w:val="24"/>
                <w:lang w:val="ru-UA"/>
              </w:rPr>
              <w:t>03</w:t>
            </w:r>
            <w:r w:rsidRPr="00AC2344">
              <w:rPr>
                <w:b/>
                <w:color w:val="000000" w:themeColor="text1"/>
                <w:sz w:val="24"/>
                <w:szCs w:val="24"/>
                <w:lang w:val="ru-RU"/>
              </w:rPr>
              <w:t xml:space="preserve"> </w:t>
            </w:r>
            <w:r w:rsidR="00B324D2">
              <w:rPr>
                <w:b/>
                <w:color w:val="000000" w:themeColor="text1"/>
                <w:sz w:val="24"/>
                <w:szCs w:val="24"/>
                <w:lang w:val="ru-UA"/>
              </w:rPr>
              <w:t>жовт</w:t>
            </w:r>
            <w:r w:rsidR="00AC2344">
              <w:rPr>
                <w:b/>
                <w:color w:val="000000" w:themeColor="text1"/>
                <w:sz w:val="24"/>
                <w:szCs w:val="24"/>
                <w:lang w:val="ru-UA"/>
              </w:rPr>
              <w:t>ня</w:t>
            </w:r>
            <w:r w:rsidRPr="00304DEC">
              <w:rPr>
                <w:b/>
                <w:color w:val="000000" w:themeColor="text1"/>
                <w:sz w:val="24"/>
                <w:szCs w:val="24"/>
                <w:lang w:val="ru-RU"/>
              </w:rPr>
              <w:t xml:space="preserve"> 2025 року</w:t>
            </w:r>
          </w:p>
          <w:p w:rsidR="00E13D98" w:rsidRDefault="00251BB9" w:rsidP="00B324D2">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E13D98">
              <w:rPr>
                <w:color w:val="000000" w:themeColor="text1"/>
                <w:sz w:val="24"/>
                <w:szCs w:val="24"/>
                <w:lang w:val="ru-RU"/>
              </w:rPr>
              <w:t>:</w:t>
            </w:r>
            <w:r w:rsidRPr="00E13D98">
              <w:rPr>
                <w:sz w:val="24"/>
                <w:szCs w:val="24"/>
                <w:lang w:val="ru-RU"/>
              </w:rPr>
              <w:t xml:space="preserve"> </w:t>
            </w:r>
            <w:hyperlink r:id="rId5" w:history="1">
              <w:r w:rsidR="006E5F6B" w:rsidRPr="006E5F6B">
                <w:rPr>
                  <w:rStyle w:val="a6"/>
                  <w:sz w:val="24"/>
                  <w:szCs w:val="24"/>
                </w:rPr>
                <w:t>https://prozorro.gov.ua/uk/tender/UA-2025-10-03-010176-a</w:t>
              </w:r>
            </w:hyperlink>
          </w:p>
          <w:p w:rsidR="00B324D2" w:rsidRPr="00304DEC" w:rsidRDefault="00B324D2" w:rsidP="00B324D2">
            <w:pPr>
              <w:spacing w:after="0" w:line="240" w:lineRule="auto"/>
              <w:rPr>
                <w:sz w:val="24"/>
                <w:szCs w:val="24"/>
                <w:lang w:val="ru-RU"/>
              </w:rPr>
            </w:pPr>
          </w:p>
        </w:tc>
      </w:tr>
    </w:tbl>
    <w:p w:rsidR="00AC2344" w:rsidRPr="00E13D98" w:rsidRDefault="00AC2344" w:rsidP="00E13D98">
      <w:pPr>
        <w:spacing w:after="0" w:line="240" w:lineRule="auto"/>
        <w:ind w:left="291" w:right="-23"/>
        <w:jc w:val="center"/>
        <w:rPr>
          <w:rFonts w:eastAsia="Arial"/>
          <w:b/>
          <w:bCs/>
          <w:sz w:val="24"/>
          <w:szCs w:val="24"/>
        </w:rPr>
      </w:pPr>
    </w:p>
    <w:p w:rsidR="006E5F6B" w:rsidRPr="006E5F6B" w:rsidRDefault="006E5F6B" w:rsidP="006E5F6B">
      <w:pPr>
        <w:tabs>
          <w:tab w:val="left" w:pos="708"/>
        </w:tabs>
        <w:spacing w:after="0" w:line="240" w:lineRule="auto"/>
        <w:jc w:val="center"/>
        <w:rPr>
          <w:b/>
          <w:sz w:val="24"/>
          <w:szCs w:val="24"/>
        </w:rPr>
      </w:pPr>
      <w:bookmarkStart w:id="0" w:name="_Hlk127364339"/>
      <w:r w:rsidRPr="006E5F6B">
        <w:rPr>
          <w:b/>
          <w:sz w:val="24"/>
          <w:szCs w:val="24"/>
        </w:rPr>
        <w:t>ІНФОРМАЦІЯ ПРО ТЕХНІЧНІ, ЯКІСНІ ТА КІЛЬКІСНІ</w:t>
      </w:r>
    </w:p>
    <w:p w:rsidR="006E5F6B" w:rsidRPr="006E5F6B" w:rsidRDefault="006E5F6B" w:rsidP="006E5F6B">
      <w:pPr>
        <w:tabs>
          <w:tab w:val="left" w:pos="708"/>
        </w:tabs>
        <w:spacing w:after="0" w:line="240" w:lineRule="auto"/>
        <w:jc w:val="center"/>
        <w:rPr>
          <w:b/>
          <w:sz w:val="24"/>
          <w:szCs w:val="24"/>
        </w:rPr>
      </w:pPr>
      <w:r w:rsidRPr="006E5F6B">
        <w:rPr>
          <w:b/>
          <w:sz w:val="24"/>
          <w:szCs w:val="24"/>
        </w:rPr>
        <w:t>ХАРАКТЕРИСТИКИ ПРЕДМЕТА ЗАКУПІВЛІ</w:t>
      </w:r>
    </w:p>
    <w:p w:rsidR="006E5F6B" w:rsidRPr="006E5F6B" w:rsidRDefault="006E5F6B" w:rsidP="006E5F6B">
      <w:pPr>
        <w:tabs>
          <w:tab w:val="left" w:pos="708"/>
        </w:tabs>
        <w:spacing w:after="0" w:line="240" w:lineRule="auto"/>
        <w:jc w:val="center"/>
        <w:rPr>
          <w:b/>
          <w:sz w:val="24"/>
          <w:szCs w:val="24"/>
        </w:rPr>
      </w:pPr>
    </w:p>
    <w:p w:rsidR="006E5F6B" w:rsidRPr="006E5F6B" w:rsidRDefault="006E5F6B" w:rsidP="006E5F6B">
      <w:pPr>
        <w:spacing w:after="0" w:line="240" w:lineRule="auto"/>
        <w:ind w:firstLine="709"/>
        <w:jc w:val="both"/>
        <w:rPr>
          <w:sz w:val="24"/>
          <w:szCs w:val="24"/>
        </w:rPr>
      </w:pPr>
      <w:r w:rsidRPr="006E5F6B">
        <w:rPr>
          <w:sz w:val="24"/>
          <w:szCs w:val="24"/>
        </w:rPr>
        <w:t xml:space="preserve">Вимоги необхідні до обладнання технічні (якісні), кількісні характеристики </w:t>
      </w:r>
    </w:p>
    <w:p w:rsidR="006E5F6B" w:rsidRPr="006E5F6B" w:rsidRDefault="006E5F6B" w:rsidP="006E5F6B">
      <w:pPr>
        <w:spacing w:after="0" w:line="240" w:lineRule="auto"/>
        <w:ind w:firstLine="709"/>
        <w:jc w:val="both"/>
        <w:rPr>
          <w:sz w:val="24"/>
          <w:szCs w:val="24"/>
          <w:lang w:eastAsia="uk-UA"/>
        </w:rPr>
      </w:pPr>
      <w:r w:rsidRPr="006E5F6B">
        <w:rPr>
          <w:sz w:val="24"/>
          <w:szCs w:val="24"/>
        </w:rPr>
        <w:t>1.</w:t>
      </w:r>
      <w:r w:rsidRPr="006E5F6B">
        <w:rPr>
          <w:sz w:val="24"/>
          <w:szCs w:val="24"/>
        </w:rPr>
        <w:tab/>
      </w:r>
      <w:r w:rsidRPr="006E5F6B">
        <w:rPr>
          <w:sz w:val="24"/>
          <w:szCs w:val="24"/>
          <w:lang w:eastAsia="uk-UA"/>
        </w:rPr>
        <w:t>Учасники процедури закупівлі повинні надати в складі тендерних пропозицій документ/копію документу від виробника/офіційного представника виробника програмного забезпечення (сертифікат/</w:t>
      </w:r>
      <w:proofErr w:type="spellStart"/>
      <w:r w:rsidRPr="006E5F6B">
        <w:rPr>
          <w:sz w:val="24"/>
          <w:szCs w:val="24"/>
          <w:lang w:eastAsia="uk-UA"/>
        </w:rPr>
        <w:t>авторизаційний</w:t>
      </w:r>
      <w:proofErr w:type="spellEnd"/>
      <w:r w:rsidRPr="006E5F6B">
        <w:rPr>
          <w:sz w:val="24"/>
          <w:szCs w:val="24"/>
          <w:lang w:eastAsia="uk-UA"/>
        </w:rPr>
        <w:t xml:space="preserve"> лист/ інший документ) про надання учаснику процедури закупівлі відповідного статусу (дилер/партнер/інший статус) та повноважень на постачання/продаж програмного забезпечення із зазначенням номеру закупівлі у системі </w:t>
      </w:r>
      <w:proofErr w:type="spellStart"/>
      <w:r w:rsidRPr="006E5F6B">
        <w:rPr>
          <w:sz w:val="24"/>
          <w:szCs w:val="24"/>
          <w:lang w:eastAsia="uk-UA"/>
        </w:rPr>
        <w:t>Prozorro</w:t>
      </w:r>
      <w:proofErr w:type="spellEnd"/>
      <w:r w:rsidRPr="006E5F6B">
        <w:rPr>
          <w:sz w:val="24"/>
          <w:szCs w:val="24"/>
          <w:lang w:eastAsia="uk-UA"/>
        </w:rPr>
        <w:t xml:space="preserve"> та найменування Замовника. </w:t>
      </w:r>
    </w:p>
    <w:bookmarkEnd w:id="0"/>
    <w:p w:rsidR="006E5F6B" w:rsidRPr="006E5F6B" w:rsidRDefault="006E5F6B" w:rsidP="006E5F6B">
      <w:pPr>
        <w:spacing w:after="0" w:line="240" w:lineRule="auto"/>
        <w:contextualSpacing/>
        <w:rPr>
          <w:sz w:val="24"/>
          <w:szCs w:val="24"/>
        </w:rPr>
      </w:pPr>
    </w:p>
    <w:p w:rsidR="006E5F6B" w:rsidRPr="006E5F6B" w:rsidRDefault="006E5F6B" w:rsidP="006E5F6B">
      <w:pPr>
        <w:spacing w:after="0" w:line="240" w:lineRule="auto"/>
        <w:ind w:left="426"/>
        <w:contextualSpacing/>
        <w:rPr>
          <w:rFonts w:eastAsia="Arial Narrow"/>
          <w:b/>
          <w:sz w:val="24"/>
          <w:szCs w:val="24"/>
        </w:rPr>
      </w:pPr>
      <w:r w:rsidRPr="006E5F6B">
        <w:rPr>
          <w:rFonts w:eastAsia="Arial Narrow"/>
          <w:b/>
          <w:sz w:val="24"/>
          <w:szCs w:val="24"/>
        </w:rPr>
        <w:t>Інформація про кількісні та якісні характеристики предмета закупівлі:</w:t>
      </w:r>
    </w:p>
    <w:p w:rsidR="006E5F6B" w:rsidRPr="006E5F6B" w:rsidRDefault="006E5F6B" w:rsidP="006E5F6B">
      <w:pPr>
        <w:spacing w:after="0" w:line="240" w:lineRule="auto"/>
        <w:ind w:left="426"/>
        <w:contextualSpacing/>
        <w:rPr>
          <w:rFonts w:eastAsia="Arial Narrow"/>
          <w:b/>
          <w:sz w:val="24"/>
          <w:szCs w:val="24"/>
          <w:lang w:val="ru-RU"/>
        </w:rPr>
      </w:pPr>
    </w:p>
    <w:p w:rsidR="006E5F6B" w:rsidRPr="006E5F6B" w:rsidRDefault="006E5F6B" w:rsidP="006E5F6B">
      <w:pPr>
        <w:spacing w:after="0" w:line="240" w:lineRule="auto"/>
        <w:rPr>
          <w:b/>
          <w:bCs/>
          <w:sz w:val="24"/>
          <w:szCs w:val="24"/>
        </w:rPr>
      </w:pPr>
      <w:r w:rsidRPr="006E5F6B">
        <w:rPr>
          <w:b/>
          <w:bCs/>
          <w:sz w:val="24"/>
          <w:szCs w:val="24"/>
        </w:rPr>
        <w:t>Система безпечної автентифікації:</w:t>
      </w:r>
    </w:p>
    <w:p w:rsidR="006E5F6B" w:rsidRPr="006E5F6B" w:rsidRDefault="006E5F6B" w:rsidP="006E5F6B">
      <w:pPr>
        <w:spacing w:after="0" w:line="240" w:lineRule="auto"/>
        <w:rPr>
          <w:b/>
          <w:sz w:val="24"/>
          <w:szCs w:val="24"/>
        </w:rPr>
      </w:pPr>
    </w:p>
    <w:tbl>
      <w:tblPr>
        <w:tblW w:w="46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4"/>
        <w:gridCol w:w="2055"/>
      </w:tblGrid>
      <w:tr w:rsidR="006E5F6B" w:rsidRPr="006E5F6B" w:rsidTr="00615DA9">
        <w:trPr>
          <w:trHeight w:val="487"/>
        </w:trPr>
        <w:tc>
          <w:tcPr>
            <w:tcW w:w="3917" w:type="pct"/>
            <w:tcBorders>
              <w:top w:val="single" w:sz="4" w:space="0" w:color="auto"/>
              <w:left w:val="single" w:sz="4" w:space="0" w:color="auto"/>
              <w:bottom w:val="single" w:sz="4" w:space="0" w:color="auto"/>
              <w:right w:val="single" w:sz="4" w:space="0" w:color="auto"/>
            </w:tcBorders>
            <w:vAlign w:val="center"/>
            <w:hideMark/>
          </w:tcPr>
          <w:p w:rsidR="006E5F6B" w:rsidRPr="006E5F6B" w:rsidRDefault="006E5F6B" w:rsidP="006E5F6B">
            <w:pPr>
              <w:spacing w:after="0" w:line="240" w:lineRule="auto"/>
              <w:rPr>
                <w:b/>
                <w:bCs/>
                <w:sz w:val="24"/>
                <w:szCs w:val="24"/>
              </w:rPr>
            </w:pPr>
            <w:r w:rsidRPr="006E5F6B">
              <w:rPr>
                <w:b/>
                <w:bCs/>
                <w:sz w:val="24"/>
                <w:szCs w:val="24"/>
              </w:rPr>
              <w:t>Найменування та опис</w:t>
            </w:r>
          </w:p>
        </w:tc>
        <w:tc>
          <w:tcPr>
            <w:tcW w:w="1083" w:type="pct"/>
            <w:tcBorders>
              <w:top w:val="single" w:sz="4" w:space="0" w:color="auto"/>
              <w:left w:val="single" w:sz="4" w:space="0" w:color="auto"/>
              <w:bottom w:val="single" w:sz="4" w:space="0" w:color="auto"/>
              <w:right w:val="single" w:sz="4" w:space="0" w:color="auto"/>
            </w:tcBorders>
            <w:vAlign w:val="center"/>
            <w:hideMark/>
          </w:tcPr>
          <w:p w:rsidR="006E5F6B" w:rsidRPr="006E5F6B" w:rsidRDefault="006E5F6B" w:rsidP="006E5F6B">
            <w:pPr>
              <w:spacing w:after="0" w:line="240" w:lineRule="auto"/>
              <w:rPr>
                <w:b/>
                <w:bCs/>
                <w:sz w:val="24"/>
                <w:szCs w:val="24"/>
              </w:rPr>
            </w:pPr>
            <w:r w:rsidRPr="006E5F6B">
              <w:rPr>
                <w:b/>
                <w:bCs/>
                <w:sz w:val="24"/>
                <w:szCs w:val="24"/>
              </w:rPr>
              <w:t>Кількість (од.)</w:t>
            </w:r>
          </w:p>
        </w:tc>
      </w:tr>
      <w:tr w:rsidR="006E5F6B" w:rsidRPr="006E5F6B" w:rsidTr="00615DA9">
        <w:trPr>
          <w:trHeight w:val="603"/>
        </w:trPr>
        <w:tc>
          <w:tcPr>
            <w:tcW w:w="3917" w:type="pct"/>
            <w:tcBorders>
              <w:top w:val="single" w:sz="4" w:space="0" w:color="auto"/>
              <w:left w:val="single" w:sz="4" w:space="0" w:color="auto"/>
              <w:bottom w:val="single" w:sz="4" w:space="0" w:color="auto"/>
              <w:right w:val="single" w:sz="4" w:space="0" w:color="auto"/>
            </w:tcBorders>
            <w:vAlign w:val="center"/>
            <w:hideMark/>
          </w:tcPr>
          <w:p w:rsidR="006E5F6B" w:rsidRPr="006E5F6B" w:rsidRDefault="006E5F6B" w:rsidP="006E5F6B">
            <w:pPr>
              <w:pStyle w:val="a8"/>
              <w:suppressAutoHyphens/>
              <w:ind w:left="0"/>
              <w:contextualSpacing/>
              <w:rPr>
                <w:rFonts w:eastAsia="Times New Roman"/>
                <w:lang w:eastAsia="ru-RU"/>
              </w:rPr>
            </w:pPr>
            <w:r w:rsidRPr="006E5F6B">
              <w:rPr>
                <w:rFonts w:eastAsia="Times New Roman"/>
                <w:lang w:eastAsia="ru-RU"/>
              </w:rPr>
              <w:t xml:space="preserve">Система безпечної автентифікації (на 100 користувачів) з необхідним набором ліцензій та  сервісною технічною підтримкою (24*7, 1 рік). </w:t>
            </w:r>
          </w:p>
        </w:tc>
        <w:tc>
          <w:tcPr>
            <w:tcW w:w="1083" w:type="pct"/>
            <w:tcBorders>
              <w:top w:val="single" w:sz="4" w:space="0" w:color="auto"/>
              <w:left w:val="single" w:sz="4" w:space="0" w:color="auto"/>
              <w:bottom w:val="single" w:sz="4" w:space="0" w:color="auto"/>
              <w:right w:val="single" w:sz="4" w:space="0" w:color="auto"/>
            </w:tcBorders>
            <w:vAlign w:val="center"/>
            <w:hideMark/>
          </w:tcPr>
          <w:p w:rsidR="006E5F6B" w:rsidRPr="006E5F6B" w:rsidRDefault="006E5F6B" w:rsidP="006E5F6B">
            <w:pPr>
              <w:suppressLineNumbers/>
              <w:spacing w:after="0" w:line="240" w:lineRule="auto"/>
              <w:jc w:val="center"/>
              <w:rPr>
                <w:sz w:val="24"/>
                <w:szCs w:val="24"/>
              </w:rPr>
            </w:pPr>
            <w:r w:rsidRPr="006E5F6B">
              <w:rPr>
                <w:sz w:val="24"/>
                <w:szCs w:val="24"/>
              </w:rPr>
              <w:t>1</w:t>
            </w:r>
          </w:p>
        </w:tc>
      </w:tr>
    </w:tbl>
    <w:p w:rsidR="006E5F6B" w:rsidRPr="006E5F6B" w:rsidRDefault="006E5F6B" w:rsidP="006E5F6B">
      <w:pPr>
        <w:spacing w:after="0" w:line="240" w:lineRule="auto"/>
        <w:ind w:firstLine="708"/>
        <w:jc w:val="both"/>
        <w:rPr>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7502"/>
      </w:tblGrid>
      <w:tr w:rsidR="006E5F6B" w:rsidRPr="006E5F6B" w:rsidTr="00615DA9">
        <w:trPr>
          <w:trHeight w:val="150"/>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br w:type="page"/>
              <w:t>Найменування</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t>Вимоги до 1 одиниці</w:t>
            </w:r>
          </w:p>
        </w:tc>
      </w:tr>
      <w:tr w:rsidR="006E5F6B" w:rsidRPr="006E5F6B" w:rsidTr="00615DA9">
        <w:trPr>
          <w:trHeight w:val="150"/>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rPr>
                <w:b/>
                <w:bCs/>
                <w:sz w:val="24"/>
                <w:szCs w:val="24"/>
              </w:rPr>
            </w:pPr>
            <w:r w:rsidRPr="006E5F6B">
              <w:rPr>
                <w:b/>
                <w:bCs/>
                <w:sz w:val="24"/>
                <w:szCs w:val="24"/>
              </w:rPr>
              <w:t>Загальні вимоги</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Якщо відповідно до функціональності пристроїв/систем або згідно архітектурного підходу реалізація технічних вимог потребує додаткових пристроїв/систем або ліцензій, то все це має бути закладено в комплект поставки з урахуванням вимог до строку та функціональності технічної підтримки</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Всі необхідні ліцензії для забезпечення зазначеного в цих вимогах функціоналу та кількісних показників продуктивності мають бути у комплекті запропонованого рішення  </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Для системи не має бути анонсів </w:t>
            </w:r>
            <w:proofErr w:type="spellStart"/>
            <w:r w:rsidRPr="006E5F6B">
              <w:rPr>
                <w:rFonts w:eastAsia="Times New Roman"/>
                <w:lang w:eastAsia="ru-RU"/>
              </w:rPr>
              <w:t>end-of-sale</w:t>
            </w:r>
            <w:proofErr w:type="spellEnd"/>
            <w:r w:rsidRPr="006E5F6B">
              <w:rPr>
                <w:rFonts w:eastAsia="Times New Roman"/>
                <w:lang w:eastAsia="ru-RU"/>
              </w:rPr>
              <w:t xml:space="preserve"> та </w:t>
            </w:r>
            <w:proofErr w:type="spellStart"/>
            <w:r w:rsidRPr="006E5F6B">
              <w:rPr>
                <w:rFonts w:eastAsia="Times New Roman"/>
                <w:lang w:eastAsia="ru-RU"/>
              </w:rPr>
              <w:t>end-of</w:t>
            </w:r>
            <w:proofErr w:type="spellEnd"/>
            <w:r w:rsidRPr="006E5F6B">
              <w:rPr>
                <w:rFonts w:eastAsia="Times New Roman"/>
                <w:lang w:eastAsia="ru-RU"/>
              </w:rPr>
              <w:t xml:space="preserve"> </w:t>
            </w:r>
            <w:proofErr w:type="spellStart"/>
            <w:r w:rsidRPr="006E5F6B">
              <w:rPr>
                <w:rFonts w:eastAsia="Times New Roman"/>
                <w:lang w:eastAsia="ru-RU"/>
              </w:rPr>
              <w:t>life</w:t>
            </w:r>
            <w:proofErr w:type="spellEnd"/>
            <w:r w:rsidRPr="006E5F6B">
              <w:rPr>
                <w:rFonts w:eastAsia="Times New Roman"/>
                <w:lang w:eastAsia="ru-RU"/>
              </w:rPr>
              <w:t xml:space="preserve"> (EOS/EOL) від виробника</w:t>
            </w:r>
          </w:p>
        </w:tc>
      </w:tr>
      <w:tr w:rsidR="006E5F6B" w:rsidRPr="006E5F6B" w:rsidTr="00615DA9">
        <w:trPr>
          <w:trHeight w:val="174"/>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rPr>
                <w:b/>
                <w:bCs/>
                <w:sz w:val="24"/>
                <w:szCs w:val="24"/>
              </w:rPr>
            </w:pPr>
            <w:r w:rsidRPr="006E5F6B">
              <w:rPr>
                <w:b/>
                <w:bCs/>
                <w:sz w:val="24"/>
                <w:szCs w:val="24"/>
              </w:rPr>
              <w:t>Архітектура та форм-фактор</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Система має бути у вигляді </w:t>
            </w:r>
            <w:proofErr w:type="spellStart"/>
            <w:r w:rsidRPr="006E5F6B">
              <w:rPr>
                <w:rFonts w:eastAsia="Times New Roman"/>
                <w:lang w:eastAsia="ru-RU"/>
              </w:rPr>
              <w:t>віртуалізованого</w:t>
            </w:r>
            <w:proofErr w:type="spellEnd"/>
            <w:r w:rsidRPr="006E5F6B">
              <w:rPr>
                <w:rFonts w:eastAsia="Times New Roman"/>
                <w:lang w:eastAsia="ru-RU"/>
              </w:rPr>
              <w:t xml:space="preserve"> рішення та розміщена на сайті замовника</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Система буде встановлюватися на відповідний сервер з системою віртуалізації, що надаються замовником</w:t>
            </w:r>
          </w:p>
        </w:tc>
      </w:tr>
      <w:tr w:rsidR="006E5F6B" w:rsidRPr="006E5F6B" w:rsidTr="00615DA9">
        <w:trPr>
          <w:trHeight w:val="174"/>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rPr>
                <w:b/>
                <w:bCs/>
                <w:sz w:val="24"/>
                <w:szCs w:val="24"/>
              </w:rPr>
            </w:pPr>
            <w:r w:rsidRPr="006E5F6B">
              <w:rPr>
                <w:b/>
                <w:bCs/>
                <w:sz w:val="24"/>
                <w:szCs w:val="24"/>
              </w:rPr>
              <w:t xml:space="preserve">Ліцензування </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Ліцензії, не включаючи технічну підтримку, мають бути безстроковими</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Ліцензії мають забезпечувати повнофункціональну роботу системи для не менше чим для 100 користувачів</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Ліцензії не мають обмежувати використання CPU та RAM на віртуальній машині аж до наступних максимальних значень включно:</w:t>
            </w:r>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CPU - 64</w:t>
            </w:r>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RAM - 1 TB</w:t>
            </w:r>
          </w:p>
        </w:tc>
      </w:tr>
      <w:tr w:rsidR="006E5F6B" w:rsidRPr="006E5F6B" w:rsidTr="00615DA9">
        <w:trPr>
          <w:trHeight w:val="174"/>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rPr>
                <w:b/>
                <w:bCs/>
                <w:sz w:val="24"/>
                <w:szCs w:val="24"/>
              </w:rPr>
            </w:pPr>
            <w:r w:rsidRPr="006E5F6B">
              <w:rPr>
                <w:b/>
                <w:bCs/>
                <w:sz w:val="24"/>
                <w:szCs w:val="24"/>
              </w:rPr>
              <w:t>Автентифікація користувачів</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Автентифікації користувачів на основі:</w:t>
            </w:r>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 xml:space="preserve">Вбудованого серверу RADIUS </w:t>
            </w:r>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Вбудованого серверу LDAP</w:t>
            </w:r>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Зовнішнього серверу RADIUS</w:t>
            </w:r>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Зовнішнього серверу LDAP</w:t>
            </w:r>
          </w:p>
          <w:p w:rsidR="006E5F6B" w:rsidRPr="006E5F6B" w:rsidRDefault="006E5F6B" w:rsidP="006E5F6B">
            <w:pPr>
              <w:pStyle w:val="a8"/>
              <w:numPr>
                <w:ilvl w:val="0"/>
                <w:numId w:val="24"/>
              </w:numPr>
              <w:suppressAutoHyphens/>
              <w:ind w:left="319" w:hanging="319"/>
              <w:contextualSpacing/>
              <w:rPr>
                <w:rFonts w:eastAsia="Times New Roman"/>
                <w:lang w:eastAsia="ru-RU"/>
              </w:rPr>
            </w:pPr>
            <w:proofErr w:type="spellStart"/>
            <w:r w:rsidRPr="006E5F6B">
              <w:rPr>
                <w:rFonts w:eastAsia="Times New Roman"/>
                <w:lang w:eastAsia="ru-RU"/>
              </w:rPr>
              <w:t>Single</w:t>
            </w:r>
            <w:proofErr w:type="spellEnd"/>
            <w:r w:rsidRPr="006E5F6B">
              <w:rPr>
                <w:rFonts w:eastAsia="Times New Roman"/>
                <w:lang w:eastAsia="ru-RU"/>
              </w:rPr>
              <w:t xml:space="preserve"> </w:t>
            </w:r>
            <w:proofErr w:type="spellStart"/>
            <w:r w:rsidRPr="006E5F6B">
              <w:rPr>
                <w:rFonts w:eastAsia="Times New Roman"/>
                <w:lang w:eastAsia="ru-RU"/>
              </w:rPr>
              <w:t>Sign-On</w:t>
            </w:r>
            <w:proofErr w:type="spellEnd"/>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Портал автентифікації</w:t>
            </w:r>
          </w:p>
        </w:tc>
      </w:tr>
      <w:tr w:rsidR="006E5F6B" w:rsidRPr="006E5F6B" w:rsidTr="00615DA9">
        <w:trPr>
          <w:trHeight w:val="174"/>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rPr>
                <w:b/>
                <w:bCs/>
                <w:sz w:val="24"/>
                <w:szCs w:val="24"/>
              </w:rPr>
            </w:pPr>
            <w:r w:rsidRPr="006E5F6B">
              <w:rPr>
                <w:b/>
                <w:bCs/>
                <w:sz w:val="24"/>
                <w:szCs w:val="24"/>
              </w:rPr>
              <w:t>Автентифікація пристроїв</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Автентифікація пристроїв на основі IEEE 802.1X EAP методів: EAP-TTLS, EAP-TLS, EAP-GTC, PEAP (MS-CHAPv2)</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MAC </w:t>
            </w:r>
            <w:proofErr w:type="spellStart"/>
            <w:r w:rsidRPr="006E5F6B">
              <w:rPr>
                <w:rFonts w:eastAsia="Times New Roman"/>
                <w:lang w:eastAsia="ru-RU"/>
              </w:rPr>
              <w:t>Authentication</w:t>
            </w:r>
            <w:proofErr w:type="spellEnd"/>
            <w:r w:rsidRPr="006E5F6B">
              <w:rPr>
                <w:rFonts w:eastAsia="Times New Roman"/>
                <w:lang w:eastAsia="ru-RU"/>
              </w:rPr>
              <w:t xml:space="preserve"> </w:t>
            </w:r>
            <w:proofErr w:type="spellStart"/>
            <w:r w:rsidRPr="006E5F6B">
              <w:rPr>
                <w:rFonts w:eastAsia="Times New Roman"/>
                <w:lang w:eastAsia="ru-RU"/>
              </w:rPr>
              <w:t>Bypass</w:t>
            </w:r>
            <w:proofErr w:type="spellEnd"/>
            <w:r w:rsidRPr="006E5F6B">
              <w:rPr>
                <w:rFonts w:eastAsia="Times New Roman"/>
                <w:lang w:eastAsia="ru-RU"/>
              </w:rPr>
              <w:t xml:space="preserve"> (MAB)</w:t>
            </w:r>
          </w:p>
        </w:tc>
      </w:tr>
      <w:tr w:rsidR="006E5F6B" w:rsidRPr="006E5F6B" w:rsidTr="00615DA9">
        <w:trPr>
          <w:trHeight w:val="174"/>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rPr>
                <w:b/>
                <w:bCs/>
                <w:sz w:val="24"/>
                <w:szCs w:val="24"/>
              </w:rPr>
            </w:pPr>
            <w:r w:rsidRPr="006E5F6B">
              <w:rPr>
                <w:b/>
                <w:bCs/>
                <w:sz w:val="24"/>
                <w:szCs w:val="24"/>
              </w:rPr>
              <w:t>Управління сертифікатами X.509</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Виконання ролі локального (</w:t>
            </w:r>
            <w:proofErr w:type="spellStart"/>
            <w:r w:rsidRPr="006E5F6B">
              <w:rPr>
                <w:rFonts w:eastAsia="Times New Roman"/>
                <w:lang w:eastAsia="ru-RU"/>
              </w:rPr>
              <w:t>self-signed</w:t>
            </w:r>
            <w:proofErr w:type="spellEnd"/>
            <w:r w:rsidRPr="006E5F6B">
              <w:rPr>
                <w:rFonts w:eastAsia="Times New Roman"/>
                <w:lang w:eastAsia="ru-RU"/>
              </w:rPr>
              <w:t xml:space="preserve"> </w:t>
            </w:r>
            <w:proofErr w:type="spellStart"/>
            <w:r w:rsidRPr="006E5F6B">
              <w:rPr>
                <w:rFonts w:eastAsia="Times New Roman"/>
                <w:lang w:eastAsia="ru-RU"/>
              </w:rPr>
              <w:t>root</w:t>
            </w:r>
            <w:proofErr w:type="spellEnd"/>
            <w:r w:rsidRPr="006E5F6B">
              <w:rPr>
                <w:rFonts w:eastAsia="Times New Roman"/>
                <w:lang w:eastAsia="ru-RU"/>
              </w:rPr>
              <w:t>) органу сертифікації (CA) для створення, підписання, відкликання та розповсюдження цифрових сертифікатів X.509</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Підтримка </w:t>
            </w:r>
            <w:proofErr w:type="spellStart"/>
            <w:r w:rsidRPr="006E5F6B">
              <w:rPr>
                <w:rFonts w:eastAsia="Times New Roman"/>
                <w:lang w:eastAsia="ru-RU"/>
              </w:rPr>
              <w:t>Simple</w:t>
            </w:r>
            <w:proofErr w:type="spellEnd"/>
            <w:r w:rsidRPr="006E5F6B">
              <w:rPr>
                <w:rFonts w:eastAsia="Times New Roman"/>
                <w:lang w:eastAsia="ru-RU"/>
              </w:rPr>
              <w:t xml:space="preserve"> </w:t>
            </w:r>
            <w:proofErr w:type="spellStart"/>
            <w:r w:rsidRPr="006E5F6B">
              <w:rPr>
                <w:rFonts w:eastAsia="Times New Roman"/>
                <w:lang w:eastAsia="ru-RU"/>
              </w:rPr>
              <w:t>Certificate</w:t>
            </w:r>
            <w:proofErr w:type="spellEnd"/>
            <w:r w:rsidRPr="006E5F6B">
              <w:rPr>
                <w:rFonts w:eastAsia="Times New Roman"/>
                <w:lang w:eastAsia="ru-RU"/>
              </w:rPr>
              <w:t xml:space="preserve"> </w:t>
            </w:r>
            <w:proofErr w:type="spellStart"/>
            <w:r w:rsidRPr="006E5F6B">
              <w:rPr>
                <w:rFonts w:eastAsia="Times New Roman"/>
                <w:lang w:eastAsia="ru-RU"/>
              </w:rPr>
              <w:t>Enrolment</w:t>
            </w:r>
            <w:proofErr w:type="spellEnd"/>
            <w:r w:rsidRPr="006E5F6B">
              <w:rPr>
                <w:rFonts w:eastAsia="Times New Roman"/>
                <w:lang w:eastAsia="ru-RU"/>
              </w:rPr>
              <w:t xml:space="preserve"> </w:t>
            </w:r>
            <w:proofErr w:type="spellStart"/>
            <w:r w:rsidRPr="006E5F6B">
              <w:rPr>
                <w:rFonts w:eastAsia="Times New Roman"/>
                <w:lang w:eastAsia="ru-RU"/>
              </w:rPr>
              <w:t>Protocol</w:t>
            </w:r>
            <w:proofErr w:type="spellEnd"/>
            <w:r w:rsidRPr="006E5F6B">
              <w:rPr>
                <w:rFonts w:eastAsia="Times New Roman"/>
                <w:lang w:eastAsia="ru-RU"/>
              </w:rPr>
              <w:t xml:space="preserve"> (SCEP) серверу</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Виконання ролі </w:t>
            </w:r>
            <w:proofErr w:type="spellStart"/>
            <w:r w:rsidRPr="006E5F6B">
              <w:rPr>
                <w:rFonts w:eastAsia="Times New Roman"/>
                <w:lang w:eastAsia="ru-RU"/>
              </w:rPr>
              <w:t>intermediate</w:t>
            </w:r>
            <w:proofErr w:type="spellEnd"/>
            <w:r w:rsidRPr="006E5F6B">
              <w:rPr>
                <w:rFonts w:eastAsia="Times New Roman"/>
                <w:lang w:eastAsia="ru-RU"/>
              </w:rPr>
              <w:t xml:space="preserve"> CA</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Імпорт </w:t>
            </w:r>
            <w:proofErr w:type="spellStart"/>
            <w:r w:rsidRPr="006E5F6B">
              <w:rPr>
                <w:rFonts w:eastAsia="Times New Roman"/>
                <w:lang w:eastAsia="ru-RU"/>
              </w:rPr>
              <w:t>trusted</w:t>
            </w:r>
            <w:proofErr w:type="spellEnd"/>
            <w:r w:rsidRPr="006E5F6B">
              <w:rPr>
                <w:rFonts w:eastAsia="Times New Roman"/>
                <w:lang w:eastAsia="ru-RU"/>
              </w:rPr>
              <w:t xml:space="preserve"> CA сертифікатів для перевірки сертифікатів, що підписані зовнішніми CA</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Підтримка списків відкликаних сертифікатів (CRL) – локальних та імпортованих</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Підтримка </w:t>
            </w:r>
            <w:proofErr w:type="spellStart"/>
            <w:r w:rsidRPr="006E5F6B">
              <w:rPr>
                <w:rFonts w:eastAsia="Times New Roman"/>
                <w:lang w:eastAsia="ru-RU"/>
              </w:rPr>
              <w:t>Online</w:t>
            </w:r>
            <w:proofErr w:type="spellEnd"/>
            <w:r w:rsidRPr="006E5F6B">
              <w:rPr>
                <w:rFonts w:eastAsia="Times New Roman"/>
                <w:lang w:eastAsia="ru-RU"/>
              </w:rPr>
              <w:t xml:space="preserve"> </w:t>
            </w:r>
            <w:proofErr w:type="spellStart"/>
            <w:r w:rsidRPr="006E5F6B">
              <w:rPr>
                <w:rFonts w:eastAsia="Times New Roman"/>
                <w:lang w:eastAsia="ru-RU"/>
              </w:rPr>
              <w:t>Certificate</w:t>
            </w:r>
            <w:proofErr w:type="spellEnd"/>
            <w:r w:rsidRPr="006E5F6B">
              <w:rPr>
                <w:rFonts w:eastAsia="Times New Roman"/>
                <w:lang w:eastAsia="ru-RU"/>
              </w:rPr>
              <w:t xml:space="preserve"> </w:t>
            </w:r>
            <w:proofErr w:type="spellStart"/>
            <w:r w:rsidRPr="006E5F6B">
              <w:rPr>
                <w:rFonts w:eastAsia="Times New Roman"/>
                <w:lang w:eastAsia="ru-RU"/>
              </w:rPr>
              <w:t>Status</w:t>
            </w:r>
            <w:proofErr w:type="spellEnd"/>
            <w:r w:rsidRPr="006E5F6B">
              <w:rPr>
                <w:rFonts w:eastAsia="Times New Roman"/>
                <w:lang w:eastAsia="ru-RU"/>
              </w:rPr>
              <w:t xml:space="preserve"> </w:t>
            </w:r>
            <w:proofErr w:type="spellStart"/>
            <w:r w:rsidRPr="006E5F6B">
              <w:rPr>
                <w:rFonts w:eastAsia="Times New Roman"/>
                <w:lang w:eastAsia="ru-RU"/>
              </w:rPr>
              <w:t>Protocol</w:t>
            </w:r>
            <w:proofErr w:type="spellEnd"/>
            <w:r w:rsidRPr="006E5F6B">
              <w:rPr>
                <w:rFonts w:eastAsia="Times New Roman"/>
                <w:lang w:eastAsia="ru-RU"/>
              </w:rPr>
              <w:t xml:space="preserve"> (OCSP) для визначення статусу відклику сертифікатів</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Інтеграція з </w:t>
            </w:r>
            <w:proofErr w:type="spellStart"/>
            <w:r w:rsidRPr="006E5F6B">
              <w:rPr>
                <w:rFonts w:eastAsia="Times New Roman"/>
                <w:lang w:eastAsia="ru-RU"/>
              </w:rPr>
              <w:t>Network</w:t>
            </w:r>
            <w:proofErr w:type="spellEnd"/>
            <w:r w:rsidRPr="006E5F6B">
              <w:rPr>
                <w:rFonts w:eastAsia="Times New Roman"/>
                <w:lang w:eastAsia="ru-RU"/>
              </w:rPr>
              <w:t xml:space="preserve"> HSM для зберігання приватних ключів </w:t>
            </w:r>
            <w:proofErr w:type="spellStart"/>
            <w:r w:rsidRPr="006E5F6B">
              <w:rPr>
                <w:rFonts w:eastAsia="Times New Roman"/>
                <w:lang w:eastAsia="ru-RU"/>
              </w:rPr>
              <w:t>local</w:t>
            </w:r>
            <w:proofErr w:type="spellEnd"/>
            <w:r w:rsidRPr="006E5F6B">
              <w:rPr>
                <w:rFonts w:eastAsia="Times New Roman"/>
                <w:lang w:eastAsia="ru-RU"/>
              </w:rPr>
              <w:t xml:space="preserve"> CA</w:t>
            </w:r>
          </w:p>
        </w:tc>
      </w:tr>
      <w:tr w:rsidR="006E5F6B" w:rsidRPr="006E5F6B" w:rsidTr="00615DA9">
        <w:trPr>
          <w:trHeight w:val="226"/>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rPr>
                <w:b/>
                <w:bCs/>
                <w:sz w:val="24"/>
                <w:szCs w:val="24"/>
              </w:rPr>
            </w:pPr>
            <w:proofErr w:type="spellStart"/>
            <w:r w:rsidRPr="006E5F6B">
              <w:rPr>
                <w:b/>
                <w:bCs/>
                <w:sz w:val="24"/>
                <w:szCs w:val="24"/>
              </w:rPr>
              <w:t>Двофакторна</w:t>
            </w:r>
            <w:proofErr w:type="spellEnd"/>
            <w:r w:rsidRPr="006E5F6B">
              <w:rPr>
                <w:b/>
                <w:bCs/>
                <w:sz w:val="24"/>
                <w:szCs w:val="24"/>
              </w:rPr>
              <w:t xml:space="preserve"> автентифікація</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Централізована система керування носіями </w:t>
            </w:r>
            <w:proofErr w:type="spellStart"/>
            <w:r w:rsidRPr="006E5F6B">
              <w:rPr>
                <w:rFonts w:eastAsia="Times New Roman"/>
                <w:lang w:eastAsia="ru-RU"/>
              </w:rPr>
              <w:t>двофакторної</w:t>
            </w:r>
            <w:proofErr w:type="spellEnd"/>
            <w:r w:rsidRPr="006E5F6B">
              <w:rPr>
                <w:rFonts w:eastAsia="Times New Roman"/>
                <w:lang w:eastAsia="ru-RU"/>
              </w:rPr>
              <w:t xml:space="preserve"> автентифікації (апаратними та програмними)</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Сервер </w:t>
            </w:r>
            <w:proofErr w:type="spellStart"/>
            <w:r w:rsidRPr="006E5F6B">
              <w:rPr>
                <w:rFonts w:eastAsia="Times New Roman"/>
                <w:lang w:eastAsia="ru-RU"/>
              </w:rPr>
              <w:t>двофакторної</w:t>
            </w:r>
            <w:proofErr w:type="spellEnd"/>
            <w:r w:rsidRPr="006E5F6B">
              <w:rPr>
                <w:rFonts w:eastAsia="Times New Roman"/>
                <w:lang w:eastAsia="ru-RU"/>
              </w:rPr>
              <w:t xml:space="preserve"> автентифікації з підтримкою: </w:t>
            </w:r>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 xml:space="preserve">Апаратних  </w:t>
            </w:r>
            <w:bookmarkStart w:id="1" w:name="_GoBack"/>
            <w:bookmarkEnd w:id="1"/>
            <w:proofErr w:type="spellStart"/>
            <w:r w:rsidRPr="006E5F6B">
              <w:rPr>
                <w:rFonts w:eastAsia="Times New Roman"/>
                <w:lang w:eastAsia="ru-RU"/>
              </w:rPr>
              <w:t>Time-based</w:t>
            </w:r>
            <w:proofErr w:type="spellEnd"/>
            <w:r w:rsidRPr="006E5F6B">
              <w:rPr>
                <w:rFonts w:eastAsia="Times New Roman"/>
                <w:lang w:eastAsia="ru-RU"/>
              </w:rPr>
              <w:t xml:space="preserve"> (TOTP) </w:t>
            </w:r>
            <w:proofErr w:type="spellStart"/>
            <w:r w:rsidRPr="006E5F6B">
              <w:rPr>
                <w:rFonts w:eastAsia="Times New Roman"/>
                <w:lang w:eastAsia="ru-RU"/>
              </w:rPr>
              <w:t>токенів</w:t>
            </w:r>
            <w:proofErr w:type="spellEnd"/>
            <w:r w:rsidRPr="006E5F6B">
              <w:rPr>
                <w:rFonts w:eastAsia="Times New Roman"/>
                <w:lang w:eastAsia="ru-RU"/>
              </w:rPr>
              <w:t xml:space="preserve"> – RFC </w:t>
            </w:r>
            <w:hyperlink r:id="rId6" w:tgtFrame="_blank" w:history="1">
              <w:r w:rsidRPr="006E5F6B">
                <w:rPr>
                  <w:rStyle w:val="a6"/>
                  <w:lang w:val="en-US" w:eastAsia="ru-RU"/>
                </w:rPr>
                <w:t>6238</w:t>
              </w:r>
            </w:hyperlink>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Апаратних HMAC-</w:t>
            </w:r>
            <w:proofErr w:type="spellStart"/>
            <w:r w:rsidRPr="006E5F6B">
              <w:rPr>
                <w:rFonts w:eastAsia="Times New Roman"/>
                <w:lang w:eastAsia="ru-RU"/>
              </w:rPr>
              <w:t>based</w:t>
            </w:r>
            <w:proofErr w:type="spellEnd"/>
            <w:r w:rsidRPr="006E5F6B">
              <w:rPr>
                <w:rFonts w:eastAsia="Times New Roman"/>
                <w:lang w:eastAsia="ru-RU"/>
              </w:rPr>
              <w:t xml:space="preserve"> (HOTP) </w:t>
            </w:r>
            <w:proofErr w:type="spellStart"/>
            <w:r w:rsidRPr="006E5F6B">
              <w:rPr>
                <w:rFonts w:eastAsia="Times New Roman"/>
                <w:lang w:eastAsia="ru-RU"/>
              </w:rPr>
              <w:t>токенів</w:t>
            </w:r>
            <w:proofErr w:type="spellEnd"/>
            <w:r w:rsidRPr="006E5F6B">
              <w:rPr>
                <w:rFonts w:eastAsia="Times New Roman"/>
                <w:lang w:eastAsia="ru-RU"/>
              </w:rPr>
              <w:t xml:space="preserve"> – RFC 4226</w:t>
            </w:r>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 xml:space="preserve">Програмних </w:t>
            </w:r>
            <w:proofErr w:type="spellStart"/>
            <w:r w:rsidRPr="006E5F6B">
              <w:rPr>
                <w:rFonts w:eastAsia="Times New Roman"/>
                <w:lang w:eastAsia="ru-RU"/>
              </w:rPr>
              <w:t>токенів</w:t>
            </w:r>
            <w:proofErr w:type="spellEnd"/>
          </w:p>
          <w:p w:rsidR="006E5F6B" w:rsidRPr="006E5F6B" w:rsidRDefault="006E5F6B" w:rsidP="006E5F6B">
            <w:pPr>
              <w:pStyle w:val="a8"/>
              <w:numPr>
                <w:ilvl w:val="0"/>
                <w:numId w:val="25"/>
              </w:numPr>
              <w:suppressAutoHyphens/>
              <w:contextualSpacing/>
              <w:rPr>
                <w:rFonts w:eastAsia="Times New Roman"/>
                <w:lang w:eastAsia="ru-RU"/>
              </w:rPr>
            </w:pPr>
            <w:r w:rsidRPr="006E5F6B">
              <w:rPr>
                <w:rFonts w:eastAsia="Times New Roman"/>
                <w:lang w:eastAsia="ru-RU"/>
              </w:rPr>
              <w:t>Сертифікатів</w:t>
            </w:r>
          </w:p>
          <w:p w:rsidR="006E5F6B" w:rsidRPr="006E5F6B" w:rsidRDefault="006E5F6B" w:rsidP="006E5F6B">
            <w:pPr>
              <w:pStyle w:val="a8"/>
              <w:numPr>
                <w:ilvl w:val="0"/>
                <w:numId w:val="25"/>
              </w:numPr>
              <w:suppressAutoHyphens/>
              <w:contextualSpacing/>
              <w:rPr>
                <w:rFonts w:eastAsia="Times New Roman"/>
                <w:lang w:eastAsia="ru-RU"/>
              </w:rPr>
            </w:pPr>
            <w:proofErr w:type="spellStart"/>
            <w:r w:rsidRPr="006E5F6B">
              <w:rPr>
                <w:rFonts w:eastAsia="Times New Roman"/>
                <w:lang w:eastAsia="ru-RU"/>
              </w:rPr>
              <w:t>Short</w:t>
            </w:r>
            <w:proofErr w:type="spellEnd"/>
            <w:r w:rsidRPr="006E5F6B">
              <w:rPr>
                <w:rFonts w:eastAsia="Times New Roman"/>
                <w:lang w:eastAsia="ru-RU"/>
              </w:rPr>
              <w:t xml:space="preserve"> </w:t>
            </w:r>
            <w:proofErr w:type="spellStart"/>
            <w:r w:rsidRPr="006E5F6B">
              <w:rPr>
                <w:rFonts w:eastAsia="Times New Roman"/>
                <w:lang w:eastAsia="ru-RU"/>
              </w:rPr>
              <w:t>Message</w:t>
            </w:r>
            <w:proofErr w:type="spellEnd"/>
            <w:r w:rsidRPr="006E5F6B">
              <w:rPr>
                <w:rFonts w:eastAsia="Times New Roman"/>
                <w:lang w:eastAsia="ru-RU"/>
              </w:rPr>
              <w:t xml:space="preserve"> </w:t>
            </w:r>
            <w:proofErr w:type="spellStart"/>
            <w:r w:rsidRPr="006E5F6B">
              <w:rPr>
                <w:rFonts w:eastAsia="Times New Roman"/>
                <w:lang w:eastAsia="ru-RU"/>
              </w:rPr>
              <w:t>Service</w:t>
            </w:r>
            <w:proofErr w:type="spellEnd"/>
            <w:r w:rsidRPr="006E5F6B">
              <w:rPr>
                <w:rFonts w:eastAsia="Times New Roman"/>
                <w:lang w:eastAsia="ru-RU"/>
              </w:rPr>
              <w:t xml:space="preserve"> (SMS)</w:t>
            </w:r>
          </w:p>
          <w:p w:rsidR="006E5F6B" w:rsidRPr="006E5F6B" w:rsidRDefault="006E5F6B" w:rsidP="006E5F6B">
            <w:pPr>
              <w:pStyle w:val="a8"/>
              <w:numPr>
                <w:ilvl w:val="0"/>
                <w:numId w:val="25"/>
              </w:numPr>
              <w:suppressAutoHyphens/>
              <w:contextualSpacing/>
              <w:rPr>
                <w:rFonts w:eastAsia="Times New Roman"/>
                <w:lang w:eastAsia="ru-RU"/>
              </w:rPr>
            </w:pPr>
            <w:proofErr w:type="spellStart"/>
            <w:r w:rsidRPr="006E5F6B">
              <w:rPr>
                <w:rFonts w:eastAsia="Times New Roman"/>
                <w:lang w:eastAsia="ru-RU"/>
              </w:rPr>
              <w:t>Email</w:t>
            </w:r>
            <w:proofErr w:type="spellEnd"/>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Система повинна підтримувати </w:t>
            </w:r>
            <w:proofErr w:type="spellStart"/>
            <w:r w:rsidRPr="006E5F6B">
              <w:rPr>
                <w:rFonts w:eastAsia="Times New Roman"/>
                <w:lang w:eastAsia="ru-RU"/>
              </w:rPr>
              <w:t>push</w:t>
            </w:r>
            <w:proofErr w:type="spellEnd"/>
            <w:r w:rsidRPr="006E5F6B">
              <w:rPr>
                <w:rFonts w:eastAsia="Times New Roman"/>
                <w:lang w:eastAsia="ru-RU"/>
              </w:rPr>
              <w:t xml:space="preserve">-сповіщення OTP або FTMv4. </w:t>
            </w:r>
            <w:proofErr w:type="spellStart"/>
            <w:r w:rsidRPr="006E5F6B">
              <w:rPr>
                <w:rFonts w:eastAsia="Times New Roman"/>
                <w:lang w:eastAsia="ru-RU"/>
              </w:rPr>
              <w:t>Push</w:t>
            </w:r>
            <w:proofErr w:type="spellEnd"/>
            <w:r w:rsidRPr="006E5F6B">
              <w:rPr>
                <w:rFonts w:eastAsia="Times New Roman"/>
                <w:lang w:eastAsia="ru-RU"/>
              </w:rPr>
              <w:t>-повідомлення має показувати деталі на мобільному пристрої, щоб підтвердити або відхилити одним дотиком</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Ліцензії мають забезпечувати </w:t>
            </w:r>
            <w:proofErr w:type="spellStart"/>
            <w:r w:rsidRPr="006E5F6B">
              <w:rPr>
                <w:rFonts w:eastAsia="Times New Roman"/>
                <w:lang w:eastAsia="ru-RU"/>
              </w:rPr>
              <w:t>двохфакторну</w:t>
            </w:r>
            <w:proofErr w:type="spellEnd"/>
            <w:r w:rsidRPr="006E5F6B">
              <w:rPr>
                <w:rFonts w:eastAsia="Times New Roman"/>
                <w:lang w:eastAsia="ru-RU"/>
              </w:rPr>
              <w:t xml:space="preserve"> автентифікацію програмними </w:t>
            </w:r>
            <w:proofErr w:type="spellStart"/>
            <w:r w:rsidRPr="006E5F6B">
              <w:rPr>
                <w:rFonts w:eastAsia="Times New Roman"/>
                <w:lang w:eastAsia="ru-RU"/>
              </w:rPr>
              <w:t>токенами</w:t>
            </w:r>
            <w:proofErr w:type="spellEnd"/>
            <w:r w:rsidRPr="006E5F6B">
              <w:rPr>
                <w:rFonts w:eastAsia="Times New Roman"/>
                <w:lang w:eastAsia="ru-RU"/>
              </w:rPr>
              <w:t xml:space="preserve"> для не менше чим 20 користувачів</w:t>
            </w:r>
          </w:p>
        </w:tc>
      </w:tr>
      <w:tr w:rsidR="006E5F6B" w:rsidRPr="006E5F6B" w:rsidTr="00615DA9">
        <w:trPr>
          <w:trHeight w:val="226"/>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rPr>
                <w:b/>
                <w:bCs/>
                <w:sz w:val="24"/>
                <w:szCs w:val="24"/>
              </w:rPr>
            </w:pPr>
            <w:r w:rsidRPr="006E5F6B">
              <w:rPr>
                <w:b/>
                <w:bCs/>
                <w:sz w:val="24"/>
                <w:szCs w:val="24"/>
              </w:rPr>
              <w:t>Висока доступність (</w:t>
            </w:r>
            <w:proofErr w:type="spellStart"/>
            <w:r w:rsidRPr="006E5F6B">
              <w:rPr>
                <w:b/>
                <w:bCs/>
                <w:sz w:val="24"/>
                <w:szCs w:val="24"/>
              </w:rPr>
              <w:t>high</w:t>
            </w:r>
            <w:proofErr w:type="spellEnd"/>
            <w:r w:rsidRPr="006E5F6B">
              <w:rPr>
                <w:b/>
                <w:bCs/>
                <w:sz w:val="24"/>
                <w:szCs w:val="24"/>
              </w:rPr>
              <w:t xml:space="preserve"> </w:t>
            </w:r>
            <w:proofErr w:type="spellStart"/>
            <w:r w:rsidRPr="006E5F6B">
              <w:rPr>
                <w:b/>
                <w:bCs/>
                <w:sz w:val="24"/>
                <w:szCs w:val="24"/>
              </w:rPr>
              <w:t>availability</w:t>
            </w:r>
            <w:proofErr w:type="spellEnd"/>
            <w:r w:rsidRPr="006E5F6B">
              <w:rPr>
                <w:b/>
                <w:bCs/>
                <w:sz w:val="24"/>
                <w:szCs w:val="24"/>
              </w:rPr>
              <w:t>)</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Можливість забезпечення режимів високої доступності :</w:t>
            </w:r>
          </w:p>
          <w:p w:rsidR="006E5F6B" w:rsidRPr="006E5F6B" w:rsidRDefault="006E5F6B" w:rsidP="006E5F6B">
            <w:pPr>
              <w:pStyle w:val="a8"/>
              <w:numPr>
                <w:ilvl w:val="0"/>
                <w:numId w:val="25"/>
              </w:numPr>
              <w:suppressAutoHyphens/>
              <w:contextualSpacing/>
              <w:rPr>
                <w:rFonts w:eastAsia="Times New Roman"/>
                <w:lang w:eastAsia="ru-RU"/>
              </w:rPr>
            </w:pPr>
            <w:proofErr w:type="spellStart"/>
            <w:r w:rsidRPr="006E5F6B">
              <w:rPr>
                <w:rFonts w:eastAsia="Times New Roman"/>
                <w:lang w:eastAsia="ru-RU"/>
              </w:rPr>
              <w:t>Active</w:t>
            </w:r>
            <w:proofErr w:type="spellEnd"/>
            <w:r w:rsidRPr="006E5F6B">
              <w:rPr>
                <w:rFonts w:eastAsia="Times New Roman"/>
                <w:lang w:eastAsia="ru-RU"/>
              </w:rPr>
              <w:t xml:space="preserve"> - </w:t>
            </w:r>
            <w:proofErr w:type="spellStart"/>
            <w:r w:rsidRPr="006E5F6B">
              <w:rPr>
                <w:rFonts w:eastAsia="Times New Roman"/>
                <w:lang w:eastAsia="ru-RU"/>
              </w:rPr>
              <w:t>Passive</w:t>
            </w:r>
            <w:proofErr w:type="spellEnd"/>
          </w:p>
          <w:p w:rsidR="006E5F6B" w:rsidRPr="006E5F6B" w:rsidRDefault="006E5F6B" w:rsidP="006E5F6B">
            <w:pPr>
              <w:pStyle w:val="a8"/>
              <w:numPr>
                <w:ilvl w:val="0"/>
                <w:numId w:val="25"/>
              </w:numPr>
              <w:suppressAutoHyphens/>
              <w:contextualSpacing/>
              <w:rPr>
                <w:rFonts w:eastAsia="Times New Roman"/>
                <w:lang w:eastAsia="ru-RU"/>
              </w:rPr>
            </w:pPr>
            <w:proofErr w:type="spellStart"/>
            <w:r w:rsidRPr="006E5F6B">
              <w:rPr>
                <w:rFonts w:eastAsia="Times New Roman"/>
                <w:lang w:eastAsia="ru-RU"/>
              </w:rPr>
              <w:t>Active</w:t>
            </w:r>
            <w:proofErr w:type="spellEnd"/>
            <w:r w:rsidRPr="006E5F6B">
              <w:rPr>
                <w:rFonts w:eastAsia="Times New Roman"/>
                <w:lang w:eastAsia="ru-RU"/>
              </w:rPr>
              <w:t xml:space="preserve"> - </w:t>
            </w:r>
            <w:proofErr w:type="spellStart"/>
            <w:r w:rsidRPr="006E5F6B">
              <w:rPr>
                <w:rFonts w:eastAsia="Times New Roman"/>
                <w:lang w:eastAsia="ru-RU"/>
              </w:rPr>
              <w:t>Active</w:t>
            </w:r>
            <w:proofErr w:type="spellEnd"/>
          </w:p>
        </w:tc>
      </w:tr>
      <w:tr w:rsidR="006E5F6B" w:rsidRPr="006E5F6B" w:rsidTr="00615DA9">
        <w:trPr>
          <w:trHeight w:val="226"/>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uppressAutoHyphens/>
              <w:spacing w:after="0" w:line="240" w:lineRule="auto"/>
              <w:rPr>
                <w:b/>
                <w:bCs/>
                <w:sz w:val="24"/>
                <w:szCs w:val="24"/>
              </w:rPr>
            </w:pPr>
            <w:r w:rsidRPr="006E5F6B">
              <w:rPr>
                <w:b/>
                <w:bCs/>
                <w:sz w:val="24"/>
                <w:szCs w:val="24"/>
              </w:rPr>
              <w:t>Керування, звітність, інтеграція</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Графічний веб-інтерфейс (</w:t>
            </w:r>
            <w:proofErr w:type="spellStart"/>
            <w:r w:rsidRPr="006E5F6B">
              <w:rPr>
                <w:rFonts w:eastAsia="Times New Roman"/>
                <w:lang w:eastAsia="ru-RU"/>
              </w:rPr>
              <w:t>Web</w:t>
            </w:r>
            <w:proofErr w:type="spellEnd"/>
            <w:r w:rsidRPr="006E5F6B">
              <w:rPr>
                <w:rFonts w:eastAsia="Times New Roman"/>
                <w:lang w:eastAsia="ru-RU"/>
              </w:rPr>
              <w:t xml:space="preserve"> GUI)</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Інтерфейс командного рядка (CLI)</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Ролевий доступ адміністраторів (RBAC)</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Підтримка REST API</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Вбудований SMTP-сервер для здійснення оповіщення адміністраторів шляхом відправки </w:t>
            </w:r>
            <w:proofErr w:type="spellStart"/>
            <w:r w:rsidRPr="006E5F6B">
              <w:rPr>
                <w:rFonts w:eastAsia="Times New Roman"/>
                <w:lang w:eastAsia="ru-RU"/>
              </w:rPr>
              <w:t>email</w:t>
            </w:r>
            <w:proofErr w:type="spellEnd"/>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Ведення журналів подій (</w:t>
            </w:r>
            <w:proofErr w:type="spellStart"/>
            <w:r w:rsidRPr="006E5F6B">
              <w:rPr>
                <w:rFonts w:eastAsia="Times New Roman"/>
                <w:lang w:eastAsia="ru-RU"/>
              </w:rPr>
              <w:t>logging</w:t>
            </w:r>
            <w:proofErr w:type="spellEnd"/>
            <w:r w:rsidRPr="006E5F6B">
              <w:rPr>
                <w:rFonts w:eastAsia="Times New Roman"/>
                <w:lang w:eastAsia="ru-RU"/>
              </w:rPr>
              <w:t>)</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Функціонал запису пакетів з мережевих інтерфейсів для подальшого їх аналізу (</w:t>
            </w:r>
            <w:proofErr w:type="spellStart"/>
            <w:r w:rsidRPr="006E5F6B">
              <w:rPr>
                <w:rFonts w:eastAsia="Times New Roman"/>
                <w:lang w:eastAsia="ru-RU"/>
              </w:rPr>
              <w:t>packet</w:t>
            </w:r>
            <w:proofErr w:type="spellEnd"/>
            <w:r w:rsidRPr="006E5F6B">
              <w:rPr>
                <w:rFonts w:eastAsia="Times New Roman"/>
                <w:lang w:eastAsia="ru-RU"/>
              </w:rPr>
              <w:t xml:space="preserve"> </w:t>
            </w:r>
            <w:proofErr w:type="spellStart"/>
            <w:r w:rsidRPr="006E5F6B">
              <w:rPr>
                <w:rFonts w:eastAsia="Times New Roman"/>
                <w:lang w:eastAsia="ru-RU"/>
              </w:rPr>
              <w:t>capture</w:t>
            </w:r>
            <w:proofErr w:type="spellEnd"/>
            <w:r w:rsidRPr="006E5F6B">
              <w:rPr>
                <w:rFonts w:eastAsia="Times New Roman"/>
                <w:lang w:eastAsia="ru-RU"/>
              </w:rPr>
              <w:t>)</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Функціонал резервного копіювання та відновлення файлів конфігурації </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SNMP v1, v2c, v3 </w:t>
            </w:r>
          </w:p>
          <w:p w:rsidR="006E5F6B" w:rsidRPr="006E5F6B" w:rsidRDefault="006E5F6B" w:rsidP="006E5F6B">
            <w:pPr>
              <w:pStyle w:val="a8"/>
              <w:numPr>
                <w:ilvl w:val="0"/>
                <w:numId w:val="24"/>
              </w:numPr>
              <w:suppressAutoHyphens/>
              <w:ind w:left="319" w:hanging="319"/>
              <w:contextualSpacing/>
              <w:rPr>
                <w:rFonts w:eastAsia="Times New Roman"/>
                <w:lang w:eastAsia="ru-RU"/>
              </w:rPr>
            </w:pPr>
            <w:proofErr w:type="spellStart"/>
            <w:r w:rsidRPr="006E5F6B">
              <w:rPr>
                <w:rFonts w:eastAsia="Times New Roman"/>
                <w:lang w:eastAsia="ru-RU"/>
              </w:rPr>
              <w:t>Syslog</w:t>
            </w:r>
            <w:proofErr w:type="spellEnd"/>
          </w:p>
        </w:tc>
      </w:tr>
      <w:tr w:rsidR="006E5F6B" w:rsidRPr="006E5F6B" w:rsidTr="00615DA9">
        <w:trPr>
          <w:trHeight w:val="174"/>
        </w:trPr>
        <w:tc>
          <w:tcPr>
            <w:tcW w:w="2705"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uppressAutoHyphens/>
              <w:spacing w:after="0" w:line="240" w:lineRule="auto"/>
              <w:rPr>
                <w:b/>
                <w:bCs/>
                <w:sz w:val="24"/>
                <w:szCs w:val="24"/>
              </w:rPr>
            </w:pPr>
            <w:r w:rsidRPr="006E5F6B">
              <w:rPr>
                <w:b/>
                <w:bCs/>
                <w:sz w:val="24"/>
                <w:szCs w:val="24"/>
              </w:rPr>
              <w:t>Технічна сервісна підтримка</w:t>
            </w:r>
          </w:p>
        </w:tc>
        <w:tc>
          <w:tcPr>
            <w:tcW w:w="750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Система повинна забезпечуватись технічною сервісною підтримкою строком не менше ніж 12 місяців у режимі 24*7</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Постійний доступ (24*7) до центру технічної підтримки виробника через сайт, електронною поштою та за телефоном для реєстрації сервісних випадків та відкриття звернень</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Постійний авторизований доступ (24*7) до сайту виробника </w:t>
            </w:r>
          </w:p>
          <w:p w:rsidR="006E5F6B" w:rsidRPr="006E5F6B" w:rsidRDefault="006E5F6B" w:rsidP="006E5F6B">
            <w:pPr>
              <w:pStyle w:val="a8"/>
              <w:numPr>
                <w:ilvl w:val="0"/>
                <w:numId w:val="24"/>
              </w:numPr>
              <w:suppressAutoHyphens/>
              <w:ind w:left="319" w:hanging="319"/>
              <w:contextualSpacing/>
              <w:rPr>
                <w:rFonts w:eastAsia="Times New Roman"/>
                <w:lang w:eastAsia="ru-RU"/>
              </w:rPr>
            </w:pPr>
            <w:r w:rsidRPr="006E5F6B">
              <w:rPr>
                <w:rFonts w:eastAsia="Times New Roman"/>
                <w:lang w:eastAsia="ru-RU"/>
              </w:rPr>
              <w:t xml:space="preserve">Отримання основних та проміжних релізів програмного забезпечення через сайт, підтримка програмних кодів у актуальному стані відповідно до рекомендацій виробника на протязі дії технічної сервісної підтримки </w:t>
            </w:r>
          </w:p>
        </w:tc>
      </w:tr>
    </w:tbl>
    <w:p w:rsidR="006E5F6B" w:rsidRPr="006E5F6B" w:rsidRDefault="006E5F6B" w:rsidP="006E5F6B">
      <w:pPr>
        <w:spacing w:after="0" w:line="240" w:lineRule="auto"/>
        <w:rPr>
          <w:b/>
          <w:bCs/>
          <w:sz w:val="24"/>
          <w:szCs w:val="24"/>
        </w:rPr>
      </w:pPr>
    </w:p>
    <w:p w:rsidR="006E5F6B" w:rsidRPr="006E5F6B" w:rsidRDefault="006E5F6B" w:rsidP="006E5F6B">
      <w:pPr>
        <w:spacing w:after="0" w:line="240" w:lineRule="auto"/>
        <w:ind w:left="-142"/>
        <w:rPr>
          <w:b/>
          <w:bCs/>
          <w:sz w:val="24"/>
          <w:szCs w:val="24"/>
        </w:rPr>
      </w:pPr>
    </w:p>
    <w:p w:rsidR="006E5F6B" w:rsidRPr="006E5F6B" w:rsidRDefault="006E5F6B" w:rsidP="006E5F6B">
      <w:pPr>
        <w:spacing w:after="0" w:line="240" w:lineRule="auto"/>
        <w:rPr>
          <w:b/>
          <w:bCs/>
          <w:sz w:val="24"/>
          <w:szCs w:val="24"/>
        </w:rPr>
      </w:pPr>
      <w:proofErr w:type="spellStart"/>
      <w:r w:rsidRPr="006E5F6B">
        <w:rPr>
          <w:b/>
          <w:bCs/>
          <w:sz w:val="24"/>
          <w:szCs w:val="24"/>
          <w:lang w:val="ru-RU"/>
        </w:rPr>
        <w:t>Вимоги</w:t>
      </w:r>
      <w:proofErr w:type="spellEnd"/>
      <w:r w:rsidRPr="006E5F6B">
        <w:rPr>
          <w:b/>
          <w:bCs/>
          <w:sz w:val="24"/>
          <w:szCs w:val="24"/>
          <w:lang w:val="ru-RU"/>
        </w:rPr>
        <w:t xml:space="preserve"> до </w:t>
      </w:r>
      <w:proofErr w:type="spellStart"/>
      <w:r w:rsidRPr="006E5F6B">
        <w:rPr>
          <w:b/>
          <w:bCs/>
          <w:sz w:val="24"/>
          <w:szCs w:val="24"/>
          <w:lang w:val="ru-RU"/>
        </w:rPr>
        <w:t>продовження</w:t>
      </w:r>
      <w:proofErr w:type="spellEnd"/>
      <w:r w:rsidRPr="006E5F6B">
        <w:rPr>
          <w:b/>
          <w:bCs/>
          <w:sz w:val="24"/>
          <w:szCs w:val="24"/>
          <w:lang w:val="ru-RU"/>
        </w:rPr>
        <w:t xml:space="preserve"> л</w:t>
      </w:r>
      <w:proofErr w:type="spellStart"/>
      <w:r w:rsidRPr="006E5F6B">
        <w:rPr>
          <w:b/>
          <w:bCs/>
          <w:sz w:val="24"/>
          <w:szCs w:val="24"/>
        </w:rPr>
        <w:t>іцензій</w:t>
      </w:r>
      <w:proofErr w:type="spellEnd"/>
      <w:r w:rsidRPr="006E5F6B">
        <w:rPr>
          <w:b/>
          <w:bCs/>
          <w:sz w:val="24"/>
          <w:szCs w:val="24"/>
        </w:rPr>
        <w:t xml:space="preserve">: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9"/>
        <w:gridCol w:w="6171"/>
        <w:gridCol w:w="853"/>
      </w:tblGrid>
      <w:tr w:rsidR="006E5F6B" w:rsidRPr="006E5F6B" w:rsidTr="00615DA9">
        <w:trPr>
          <w:trHeight w:val="461"/>
          <w:jc w:val="center"/>
        </w:trPr>
        <w:tc>
          <w:tcPr>
            <w:tcW w:w="3149"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rPr>
                <w:b/>
                <w:bCs/>
                <w:sz w:val="24"/>
                <w:szCs w:val="24"/>
              </w:rPr>
            </w:pPr>
            <w:r w:rsidRPr="006E5F6B">
              <w:rPr>
                <w:b/>
                <w:bCs/>
                <w:sz w:val="24"/>
                <w:szCs w:val="24"/>
              </w:rPr>
              <w:br w:type="page"/>
              <w:t>Найменування</w:t>
            </w:r>
          </w:p>
        </w:tc>
        <w:tc>
          <w:tcPr>
            <w:tcW w:w="6171"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t>Вимоги до 1 комплекту</w:t>
            </w:r>
          </w:p>
        </w:tc>
        <w:tc>
          <w:tcPr>
            <w:tcW w:w="853"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t>Кількість</w:t>
            </w:r>
          </w:p>
        </w:tc>
      </w:tr>
      <w:tr w:rsidR="006E5F6B" w:rsidRPr="006E5F6B" w:rsidTr="00615DA9">
        <w:trPr>
          <w:trHeight w:val="461"/>
          <w:jc w:val="center"/>
        </w:trPr>
        <w:tc>
          <w:tcPr>
            <w:tcW w:w="3149" w:type="dxa"/>
            <w:tcBorders>
              <w:top w:val="single" w:sz="4" w:space="0" w:color="auto"/>
              <w:left w:val="single" w:sz="4" w:space="0" w:color="auto"/>
              <w:bottom w:val="single" w:sz="4" w:space="0" w:color="auto"/>
              <w:right w:val="single" w:sz="4" w:space="0" w:color="auto"/>
            </w:tcBorders>
          </w:tcPr>
          <w:p w:rsidR="006E5F6B" w:rsidRPr="006E5F6B" w:rsidRDefault="006E5F6B" w:rsidP="006E5F6B">
            <w:pPr>
              <w:spacing w:after="0" w:line="240" w:lineRule="auto"/>
              <w:rPr>
                <w:b/>
                <w:bCs/>
                <w:sz w:val="24"/>
                <w:szCs w:val="24"/>
              </w:rPr>
            </w:pPr>
            <w:r w:rsidRPr="006E5F6B">
              <w:rPr>
                <w:b/>
                <w:bCs/>
                <w:sz w:val="24"/>
                <w:szCs w:val="24"/>
              </w:rPr>
              <w:t xml:space="preserve">Продовження ліцензії (підписка на оновлення сигнатур та сервісної підтримки) для </w:t>
            </w:r>
            <w:proofErr w:type="spellStart"/>
            <w:r w:rsidRPr="006E5F6B">
              <w:rPr>
                <w:b/>
                <w:bCs/>
                <w:sz w:val="24"/>
                <w:szCs w:val="24"/>
              </w:rPr>
              <w:t>FortiGate</w:t>
            </w:r>
            <w:proofErr w:type="spellEnd"/>
            <w:r w:rsidRPr="006E5F6B">
              <w:rPr>
                <w:b/>
                <w:bCs/>
                <w:sz w:val="24"/>
                <w:szCs w:val="24"/>
              </w:rPr>
              <w:t xml:space="preserve"> 400F</w:t>
            </w:r>
          </w:p>
          <w:p w:rsidR="006E5F6B" w:rsidRPr="006E5F6B" w:rsidRDefault="006E5F6B" w:rsidP="006E5F6B">
            <w:pPr>
              <w:spacing w:after="0" w:line="240" w:lineRule="auto"/>
              <w:rPr>
                <w:b/>
                <w:bCs/>
                <w:sz w:val="24"/>
                <w:szCs w:val="24"/>
              </w:rPr>
            </w:pPr>
          </w:p>
          <w:p w:rsidR="006E5F6B" w:rsidRPr="006E5F6B" w:rsidRDefault="006E5F6B" w:rsidP="006E5F6B">
            <w:pPr>
              <w:spacing w:after="0" w:line="240" w:lineRule="auto"/>
              <w:rPr>
                <w:sz w:val="24"/>
                <w:szCs w:val="24"/>
              </w:rPr>
            </w:pPr>
            <w:r w:rsidRPr="006E5F6B">
              <w:rPr>
                <w:b/>
                <w:bCs/>
                <w:sz w:val="24"/>
                <w:szCs w:val="24"/>
              </w:rPr>
              <w:t xml:space="preserve">FortiGate-400F 1 </w:t>
            </w:r>
            <w:proofErr w:type="spellStart"/>
            <w:r w:rsidRPr="006E5F6B">
              <w:rPr>
                <w:b/>
                <w:bCs/>
                <w:sz w:val="24"/>
                <w:szCs w:val="24"/>
              </w:rPr>
              <w:t>Year</w:t>
            </w:r>
            <w:proofErr w:type="spellEnd"/>
            <w:r w:rsidRPr="006E5F6B">
              <w:rPr>
                <w:b/>
                <w:bCs/>
                <w:sz w:val="24"/>
                <w:szCs w:val="24"/>
              </w:rPr>
              <w:t xml:space="preserve"> </w:t>
            </w:r>
            <w:proofErr w:type="spellStart"/>
            <w:r w:rsidRPr="006E5F6B">
              <w:rPr>
                <w:b/>
                <w:bCs/>
                <w:sz w:val="24"/>
                <w:szCs w:val="24"/>
              </w:rPr>
              <w:t>Unified</w:t>
            </w:r>
            <w:proofErr w:type="spellEnd"/>
            <w:r w:rsidRPr="006E5F6B">
              <w:rPr>
                <w:b/>
                <w:bCs/>
                <w:sz w:val="24"/>
                <w:szCs w:val="24"/>
              </w:rPr>
              <w:t xml:space="preserve"> </w:t>
            </w:r>
            <w:proofErr w:type="spellStart"/>
            <w:r w:rsidRPr="006E5F6B">
              <w:rPr>
                <w:b/>
                <w:bCs/>
                <w:sz w:val="24"/>
                <w:szCs w:val="24"/>
              </w:rPr>
              <w:t>Threat</w:t>
            </w:r>
            <w:proofErr w:type="spellEnd"/>
            <w:r w:rsidRPr="006E5F6B">
              <w:rPr>
                <w:b/>
                <w:bCs/>
                <w:sz w:val="24"/>
                <w:szCs w:val="24"/>
              </w:rPr>
              <w:t xml:space="preserve"> </w:t>
            </w:r>
            <w:proofErr w:type="spellStart"/>
            <w:r w:rsidRPr="006E5F6B">
              <w:rPr>
                <w:b/>
                <w:bCs/>
                <w:sz w:val="24"/>
                <w:szCs w:val="24"/>
              </w:rPr>
              <w:t>Protection</w:t>
            </w:r>
            <w:proofErr w:type="spellEnd"/>
            <w:r w:rsidRPr="006E5F6B">
              <w:rPr>
                <w:b/>
                <w:bCs/>
                <w:sz w:val="24"/>
                <w:szCs w:val="24"/>
              </w:rPr>
              <w:t xml:space="preserve"> (UTP) </w:t>
            </w:r>
          </w:p>
          <w:p w:rsidR="006E5F6B" w:rsidRPr="006E5F6B" w:rsidRDefault="006E5F6B" w:rsidP="006E5F6B">
            <w:pPr>
              <w:keepNext/>
              <w:suppressAutoHyphens/>
              <w:spacing w:after="0" w:line="240" w:lineRule="auto"/>
              <w:rPr>
                <w:sz w:val="24"/>
                <w:szCs w:val="24"/>
              </w:rPr>
            </w:pPr>
          </w:p>
        </w:tc>
        <w:tc>
          <w:tcPr>
            <w:tcW w:w="6171" w:type="dxa"/>
            <w:tcBorders>
              <w:top w:val="single" w:sz="4" w:space="0" w:color="auto"/>
              <w:left w:val="single" w:sz="4" w:space="0" w:color="auto"/>
              <w:bottom w:val="single" w:sz="4" w:space="0" w:color="auto"/>
              <w:right w:val="single" w:sz="4" w:space="0" w:color="auto"/>
            </w:tcBorders>
          </w:tcPr>
          <w:p w:rsidR="006E5F6B" w:rsidRPr="006E5F6B" w:rsidRDefault="006E5F6B" w:rsidP="006E5F6B">
            <w:pPr>
              <w:spacing w:after="0" w:line="240" w:lineRule="auto"/>
              <w:rPr>
                <w:sz w:val="24"/>
                <w:szCs w:val="24"/>
              </w:rPr>
            </w:pPr>
            <w:r w:rsidRPr="006E5F6B">
              <w:rPr>
                <w:sz w:val="24"/>
                <w:szCs w:val="24"/>
              </w:rPr>
              <w:t xml:space="preserve">Продовження не менше ніж на 1 рік (12 місяців) сервісної підтримки від виробника щодо реєстрації сервісних випадків в режимі 24 год/7 днів на тиждень /365 днів на рік та оновлення системи і версій встановленого програмного забезпечення в рамках сервісної підтримки </w:t>
            </w:r>
            <w:proofErr w:type="spellStart"/>
            <w:r w:rsidRPr="006E5F6B">
              <w:rPr>
                <w:sz w:val="24"/>
                <w:szCs w:val="24"/>
              </w:rPr>
              <w:t>FortiGate</w:t>
            </w:r>
            <w:proofErr w:type="spellEnd"/>
            <w:r w:rsidRPr="006E5F6B">
              <w:rPr>
                <w:sz w:val="24"/>
                <w:szCs w:val="24"/>
              </w:rPr>
              <w:t xml:space="preserve"> 400F з можливістю:</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Отримання всіх необхідних оновлень.</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Отримання основних та проміжних релізів програмного забезпечення через сайт, підтримка програмних кодів у актуальному стані відповідно до рекомендацій виробника, в тому числі </w:t>
            </w:r>
            <w:proofErr w:type="spellStart"/>
            <w:r w:rsidRPr="006E5F6B">
              <w:rPr>
                <w:sz w:val="24"/>
                <w:szCs w:val="24"/>
              </w:rPr>
              <w:t>мікрокодів</w:t>
            </w:r>
            <w:proofErr w:type="spellEnd"/>
            <w:r w:rsidRPr="006E5F6B">
              <w:rPr>
                <w:sz w:val="24"/>
                <w:szCs w:val="24"/>
              </w:rPr>
              <w:t xml:space="preserve"> пристроїв;</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Постійний (24/7) авторизований доступ до сайту виробника.</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Можливість реєстрації сервісних випадків в режимі 24*7*365, доставку і заміну запасних частин у режимі </w:t>
            </w:r>
            <w:proofErr w:type="spellStart"/>
            <w:r w:rsidRPr="006E5F6B">
              <w:rPr>
                <w:sz w:val="24"/>
                <w:szCs w:val="24"/>
              </w:rPr>
              <w:t>Next</w:t>
            </w:r>
            <w:proofErr w:type="spellEnd"/>
            <w:r w:rsidRPr="006E5F6B">
              <w:rPr>
                <w:sz w:val="24"/>
                <w:szCs w:val="24"/>
              </w:rPr>
              <w:t xml:space="preserve"> </w:t>
            </w:r>
            <w:proofErr w:type="spellStart"/>
            <w:r w:rsidRPr="006E5F6B">
              <w:rPr>
                <w:sz w:val="24"/>
                <w:szCs w:val="24"/>
              </w:rPr>
              <w:t>Business</w:t>
            </w:r>
            <w:proofErr w:type="spellEnd"/>
            <w:r w:rsidRPr="006E5F6B">
              <w:rPr>
                <w:sz w:val="24"/>
                <w:szCs w:val="24"/>
              </w:rPr>
              <w:t xml:space="preserve"> </w:t>
            </w:r>
            <w:proofErr w:type="spellStart"/>
            <w:r w:rsidRPr="006E5F6B">
              <w:rPr>
                <w:sz w:val="24"/>
                <w:szCs w:val="24"/>
              </w:rPr>
              <w:t>Day</w:t>
            </w:r>
            <w:proofErr w:type="spellEnd"/>
            <w:r w:rsidRPr="006E5F6B">
              <w:rPr>
                <w:sz w:val="24"/>
                <w:szCs w:val="24"/>
              </w:rPr>
              <w:t xml:space="preserve"> в м. Київ (обладнання для заміни доставляється наступного дня після підтвердження заміни сервісом підтримки виробника)</w:t>
            </w:r>
          </w:p>
          <w:p w:rsidR="006E5F6B" w:rsidRPr="006E5F6B" w:rsidRDefault="006E5F6B" w:rsidP="006E5F6B">
            <w:pPr>
              <w:spacing w:after="0" w:line="240" w:lineRule="auto"/>
              <w:rPr>
                <w:sz w:val="24"/>
                <w:szCs w:val="24"/>
              </w:rPr>
            </w:pPr>
            <w:r w:rsidRPr="006E5F6B">
              <w:rPr>
                <w:sz w:val="24"/>
                <w:szCs w:val="24"/>
              </w:rPr>
              <w:t xml:space="preserve">Також продовження не менше ніж на 1 рік (12 місяців) сервісної підтримки на функціонал модулів захисту обладнання </w:t>
            </w:r>
            <w:proofErr w:type="spellStart"/>
            <w:r w:rsidRPr="006E5F6B">
              <w:rPr>
                <w:sz w:val="24"/>
                <w:szCs w:val="24"/>
              </w:rPr>
              <w:t>FortiGate</w:t>
            </w:r>
            <w:proofErr w:type="spellEnd"/>
            <w:r w:rsidRPr="006E5F6B">
              <w:rPr>
                <w:sz w:val="24"/>
                <w:szCs w:val="24"/>
              </w:rPr>
              <w:t xml:space="preserve"> 400F, що включає:</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Захист від загроз на основі сигнатурного аналізу (IPS)</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Антивірусний захист</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Ідентифікація та контроль застосувань (AC/ AVC)</w:t>
            </w:r>
          </w:p>
          <w:p w:rsidR="006E5F6B" w:rsidRPr="006E5F6B" w:rsidRDefault="006E5F6B" w:rsidP="006E5F6B">
            <w:pPr>
              <w:numPr>
                <w:ilvl w:val="0"/>
                <w:numId w:val="26"/>
              </w:numPr>
              <w:suppressAutoHyphens/>
              <w:spacing w:after="0" w:line="240" w:lineRule="auto"/>
              <w:contextualSpacing/>
              <w:rPr>
                <w:sz w:val="24"/>
                <w:szCs w:val="24"/>
              </w:rPr>
            </w:pPr>
            <w:proofErr w:type="spellStart"/>
            <w:r w:rsidRPr="006E5F6B">
              <w:rPr>
                <w:sz w:val="24"/>
                <w:szCs w:val="24"/>
              </w:rPr>
              <w:t>Антиспам</w:t>
            </w:r>
            <w:proofErr w:type="spellEnd"/>
            <w:r w:rsidRPr="006E5F6B">
              <w:rPr>
                <w:sz w:val="24"/>
                <w:szCs w:val="24"/>
              </w:rPr>
              <w:t xml:space="preserve"> захист</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Хмарний захист від невідомих загроз (0-day) </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URL/DNS/</w:t>
            </w:r>
            <w:proofErr w:type="spellStart"/>
            <w:r w:rsidRPr="006E5F6B">
              <w:rPr>
                <w:sz w:val="24"/>
                <w:szCs w:val="24"/>
              </w:rPr>
              <w:t>Video</w:t>
            </w:r>
            <w:proofErr w:type="spellEnd"/>
            <w:r w:rsidRPr="006E5F6B">
              <w:rPr>
                <w:sz w:val="24"/>
                <w:szCs w:val="24"/>
              </w:rPr>
              <w:t xml:space="preserve"> фільтрація</w:t>
            </w:r>
          </w:p>
          <w:p w:rsidR="006E5F6B" w:rsidRPr="006E5F6B" w:rsidRDefault="006E5F6B" w:rsidP="006E5F6B">
            <w:pPr>
              <w:suppressAutoHyphens/>
              <w:spacing w:after="0" w:line="240" w:lineRule="auto"/>
              <w:ind w:left="1004"/>
              <w:contextualSpacing/>
              <w:rPr>
                <w:sz w:val="24"/>
                <w:szCs w:val="24"/>
              </w:rPr>
            </w:pPr>
          </w:p>
        </w:tc>
        <w:tc>
          <w:tcPr>
            <w:tcW w:w="853"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jc w:val="center"/>
              <w:rPr>
                <w:sz w:val="24"/>
                <w:szCs w:val="24"/>
              </w:rPr>
            </w:pPr>
            <w:r w:rsidRPr="006E5F6B">
              <w:rPr>
                <w:sz w:val="24"/>
                <w:szCs w:val="24"/>
              </w:rPr>
              <w:t>1 од.</w:t>
            </w:r>
          </w:p>
        </w:tc>
      </w:tr>
    </w:tbl>
    <w:p w:rsidR="006E5F6B" w:rsidRPr="006E5F6B" w:rsidRDefault="006E5F6B" w:rsidP="006E5F6B">
      <w:pPr>
        <w:spacing w:after="0" w:line="240" w:lineRule="auto"/>
        <w:ind w:firstLine="709"/>
        <w:jc w:val="both"/>
        <w:rPr>
          <w:b/>
          <w:bCs/>
          <w:sz w:val="24"/>
          <w:szCs w:val="24"/>
        </w:rPr>
      </w:pPr>
    </w:p>
    <w:tbl>
      <w:tblPr>
        <w:tblW w:w="101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6098"/>
        <w:gridCol w:w="1243"/>
      </w:tblGrid>
      <w:tr w:rsidR="006E5F6B" w:rsidRPr="006E5F6B" w:rsidTr="00615DA9">
        <w:trPr>
          <w:trHeight w:val="454"/>
        </w:trPr>
        <w:tc>
          <w:tcPr>
            <w:tcW w:w="283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br w:type="page"/>
              <w:t>Найменування</w:t>
            </w:r>
          </w:p>
        </w:tc>
        <w:tc>
          <w:tcPr>
            <w:tcW w:w="6098"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t>Вимоги до 1 комплекту</w:t>
            </w:r>
          </w:p>
        </w:tc>
        <w:tc>
          <w:tcPr>
            <w:tcW w:w="1243"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t>Кількість</w:t>
            </w:r>
          </w:p>
        </w:tc>
      </w:tr>
      <w:tr w:rsidR="006E5F6B" w:rsidRPr="006E5F6B" w:rsidTr="00615DA9">
        <w:trPr>
          <w:trHeight w:val="454"/>
        </w:trPr>
        <w:tc>
          <w:tcPr>
            <w:tcW w:w="2832" w:type="dxa"/>
            <w:tcBorders>
              <w:top w:val="single" w:sz="4" w:space="0" w:color="auto"/>
              <w:left w:val="single" w:sz="4" w:space="0" w:color="auto"/>
              <w:bottom w:val="single" w:sz="4" w:space="0" w:color="auto"/>
              <w:right w:val="single" w:sz="4" w:space="0" w:color="auto"/>
            </w:tcBorders>
          </w:tcPr>
          <w:p w:rsidR="006E5F6B" w:rsidRPr="006E5F6B" w:rsidRDefault="006E5F6B" w:rsidP="006E5F6B">
            <w:pPr>
              <w:spacing w:after="0" w:line="240" w:lineRule="auto"/>
              <w:rPr>
                <w:b/>
                <w:bCs/>
                <w:sz w:val="24"/>
                <w:szCs w:val="24"/>
              </w:rPr>
            </w:pPr>
            <w:r w:rsidRPr="006E5F6B">
              <w:rPr>
                <w:b/>
                <w:bCs/>
                <w:sz w:val="24"/>
                <w:szCs w:val="24"/>
              </w:rPr>
              <w:t xml:space="preserve">Продовження ліцензії (підписка на оновлення сигнатур та сервісної підтримки) для </w:t>
            </w:r>
            <w:proofErr w:type="spellStart"/>
            <w:r w:rsidRPr="006E5F6B">
              <w:rPr>
                <w:b/>
                <w:bCs/>
                <w:sz w:val="24"/>
                <w:szCs w:val="24"/>
              </w:rPr>
              <w:t>FortiGate</w:t>
            </w:r>
            <w:proofErr w:type="spellEnd"/>
            <w:r w:rsidRPr="006E5F6B">
              <w:rPr>
                <w:b/>
                <w:bCs/>
                <w:sz w:val="24"/>
                <w:szCs w:val="24"/>
              </w:rPr>
              <w:t xml:space="preserve"> 100F</w:t>
            </w:r>
          </w:p>
          <w:p w:rsidR="006E5F6B" w:rsidRPr="006E5F6B" w:rsidRDefault="006E5F6B" w:rsidP="006E5F6B">
            <w:pPr>
              <w:spacing w:after="0" w:line="240" w:lineRule="auto"/>
              <w:rPr>
                <w:b/>
                <w:bCs/>
                <w:sz w:val="24"/>
                <w:szCs w:val="24"/>
              </w:rPr>
            </w:pPr>
          </w:p>
          <w:p w:rsidR="006E5F6B" w:rsidRPr="006E5F6B" w:rsidRDefault="006E5F6B" w:rsidP="006E5F6B">
            <w:pPr>
              <w:spacing w:after="0" w:line="240" w:lineRule="auto"/>
              <w:rPr>
                <w:b/>
                <w:bCs/>
                <w:sz w:val="24"/>
                <w:szCs w:val="24"/>
              </w:rPr>
            </w:pPr>
            <w:r w:rsidRPr="006E5F6B">
              <w:rPr>
                <w:b/>
                <w:bCs/>
                <w:sz w:val="24"/>
                <w:szCs w:val="24"/>
              </w:rPr>
              <w:t xml:space="preserve">FortiGate-100F 1 </w:t>
            </w:r>
            <w:proofErr w:type="spellStart"/>
            <w:r w:rsidRPr="006E5F6B">
              <w:rPr>
                <w:b/>
                <w:bCs/>
                <w:sz w:val="24"/>
                <w:szCs w:val="24"/>
              </w:rPr>
              <w:t>Year</w:t>
            </w:r>
            <w:proofErr w:type="spellEnd"/>
            <w:r w:rsidRPr="006E5F6B">
              <w:rPr>
                <w:b/>
                <w:bCs/>
                <w:sz w:val="24"/>
                <w:szCs w:val="24"/>
              </w:rPr>
              <w:t xml:space="preserve"> </w:t>
            </w:r>
            <w:proofErr w:type="spellStart"/>
            <w:r w:rsidRPr="006E5F6B">
              <w:rPr>
                <w:b/>
                <w:bCs/>
                <w:sz w:val="24"/>
                <w:szCs w:val="24"/>
              </w:rPr>
              <w:t>Unified</w:t>
            </w:r>
            <w:proofErr w:type="spellEnd"/>
            <w:r w:rsidRPr="006E5F6B">
              <w:rPr>
                <w:b/>
                <w:bCs/>
                <w:sz w:val="24"/>
                <w:szCs w:val="24"/>
              </w:rPr>
              <w:t xml:space="preserve"> </w:t>
            </w:r>
            <w:proofErr w:type="spellStart"/>
            <w:r w:rsidRPr="006E5F6B">
              <w:rPr>
                <w:b/>
                <w:bCs/>
                <w:sz w:val="24"/>
                <w:szCs w:val="24"/>
              </w:rPr>
              <w:t>Threat</w:t>
            </w:r>
            <w:proofErr w:type="spellEnd"/>
            <w:r w:rsidRPr="006E5F6B">
              <w:rPr>
                <w:b/>
                <w:bCs/>
                <w:sz w:val="24"/>
                <w:szCs w:val="24"/>
              </w:rPr>
              <w:t xml:space="preserve"> </w:t>
            </w:r>
            <w:proofErr w:type="spellStart"/>
            <w:r w:rsidRPr="006E5F6B">
              <w:rPr>
                <w:b/>
                <w:bCs/>
                <w:sz w:val="24"/>
                <w:szCs w:val="24"/>
              </w:rPr>
              <w:t>Protection</w:t>
            </w:r>
            <w:proofErr w:type="spellEnd"/>
            <w:r w:rsidRPr="006E5F6B">
              <w:rPr>
                <w:b/>
                <w:bCs/>
                <w:sz w:val="24"/>
                <w:szCs w:val="24"/>
              </w:rPr>
              <w:t xml:space="preserve"> (UTP) </w:t>
            </w:r>
          </w:p>
          <w:p w:rsidR="006E5F6B" w:rsidRPr="006E5F6B" w:rsidRDefault="006E5F6B" w:rsidP="006E5F6B">
            <w:pPr>
              <w:keepNext/>
              <w:suppressAutoHyphens/>
              <w:spacing w:after="0" w:line="240" w:lineRule="auto"/>
              <w:rPr>
                <w:b/>
                <w:bCs/>
                <w:sz w:val="24"/>
                <w:szCs w:val="24"/>
              </w:rPr>
            </w:pPr>
          </w:p>
        </w:tc>
        <w:tc>
          <w:tcPr>
            <w:tcW w:w="6098"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rPr>
                <w:sz w:val="24"/>
                <w:szCs w:val="24"/>
              </w:rPr>
            </w:pPr>
            <w:r w:rsidRPr="006E5F6B">
              <w:rPr>
                <w:sz w:val="24"/>
                <w:szCs w:val="24"/>
              </w:rPr>
              <w:t xml:space="preserve">Продовження не менше ніж на 1 рік (12 місяців) сервісної підтримки від виробника щодо реєстрації сервісних випадків в режимі 24 год/7 днів на тиждень /365 днів на рік та оновлення системи і версій встановленого програмного забезпечення в рамках сервісної підтримки </w:t>
            </w:r>
            <w:proofErr w:type="spellStart"/>
            <w:r w:rsidRPr="006E5F6B">
              <w:rPr>
                <w:sz w:val="24"/>
                <w:szCs w:val="24"/>
              </w:rPr>
              <w:t>FortiGate</w:t>
            </w:r>
            <w:proofErr w:type="spellEnd"/>
            <w:r w:rsidRPr="006E5F6B">
              <w:rPr>
                <w:sz w:val="24"/>
                <w:szCs w:val="24"/>
              </w:rPr>
              <w:t xml:space="preserve"> 100F з можливістю:</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Отримання всіх необхідних оновлень.</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Отримання основних та проміжних релізів програмного забезпечення через сайт, підтримка програмних кодів у актуальному стані відповідно до рекомендацій виробника, в тому числі </w:t>
            </w:r>
            <w:proofErr w:type="spellStart"/>
            <w:r w:rsidRPr="006E5F6B">
              <w:rPr>
                <w:sz w:val="24"/>
                <w:szCs w:val="24"/>
              </w:rPr>
              <w:t>мікрокодів</w:t>
            </w:r>
            <w:proofErr w:type="spellEnd"/>
            <w:r w:rsidRPr="006E5F6B">
              <w:rPr>
                <w:sz w:val="24"/>
                <w:szCs w:val="24"/>
              </w:rPr>
              <w:t xml:space="preserve"> пристроїв;</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Постійний (24/7) авторизований доступ до сайту виробника.</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Можливість реєстрації сервісних випадків в режимі 24*7*365, доставку і заміну запасних частин у режимі </w:t>
            </w:r>
            <w:proofErr w:type="spellStart"/>
            <w:r w:rsidRPr="006E5F6B">
              <w:rPr>
                <w:sz w:val="24"/>
                <w:szCs w:val="24"/>
              </w:rPr>
              <w:t>Next</w:t>
            </w:r>
            <w:proofErr w:type="spellEnd"/>
            <w:r w:rsidRPr="006E5F6B">
              <w:rPr>
                <w:sz w:val="24"/>
                <w:szCs w:val="24"/>
              </w:rPr>
              <w:t xml:space="preserve"> </w:t>
            </w:r>
            <w:proofErr w:type="spellStart"/>
            <w:r w:rsidRPr="006E5F6B">
              <w:rPr>
                <w:sz w:val="24"/>
                <w:szCs w:val="24"/>
              </w:rPr>
              <w:t>Business</w:t>
            </w:r>
            <w:proofErr w:type="spellEnd"/>
            <w:r w:rsidRPr="006E5F6B">
              <w:rPr>
                <w:sz w:val="24"/>
                <w:szCs w:val="24"/>
              </w:rPr>
              <w:t xml:space="preserve"> </w:t>
            </w:r>
            <w:proofErr w:type="spellStart"/>
            <w:r w:rsidRPr="006E5F6B">
              <w:rPr>
                <w:sz w:val="24"/>
                <w:szCs w:val="24"/>
              </w:rPr>
              <w:t>Day</w:t>
            </w:r>
            <w:proofErr w:type="spellEnd"/>
            <w:r w:rsidRPr="006E5F6B">
              <w:rPr>
                <w:sz w:val="24"/>
                <w:szCs w:val="24"/>
              </w:rPr>
              <w:t xml:space="preserve"> в м. Київ (обладнання для заміни доставляється наступного дня після підтвердження заміни сервісом підтримки виробника)</w:t>
            </w:r>
          </w:p>
          <w:p w:rsidR="006E5F6B" w:rsidRPr="006E5F6B" w:rsidRDefault="006E5F6B" w:rsidP="006E5F6B">
            <w:pPr>
              <w:spacing w:after="0" w:line="240" w:lineRule="auto"/>
              <w:rPr>
                <w:sz w:val="24"/>
                <w:szCs w:val="24"/>
              </w:rPr>
            </w:pPr>
            <w:r w:rsidRPr="006E5F6B">
              <w:rPr>
                <w:sz w:val="24"/>
                <w:szCs w:val="24"/>
              </w:rPr>
              <w:t xml:space="preserve">Також продовження не менше ніж на 1 рік (12 місяців) сервісної підтримки на функціонал модулів захисту обладнання </w:t>
            </w:r>
            <w:proofErr w:type="spellStart"/>
            <w:r w:rsidRPr="006E5F6B">
              <w:rPr>
                <w:sz w:val="24"/>
                <w:szCs w:val="24"/>
              </w:rPr>
              <w:t>FortiGate</w:t>
            </w:r>
            <w:proofErr w:type="spellEnd"/>
            <w:r w:rsidRPr="006E5F6B">
              <w:rPr>
                <w:sz w:val="24"/>
                <w:szCs w:val="24"/>
              </w:rPr>
              <w:t xml:space="preserve"> 100F, що включає:</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Захист від загроз на основі сигнатурного аналізу (IPS)</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Антивірусний захист</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Ідентифікація та контроль застосувань (AC/ AVC)</w:t>
            </w:r>
          </w:p>
          <w:p w:rsidR="006E5F6B" w:rsidRPr="006E5F6B" w:rsidRDefault="006E5F6B" w:rsidP="006E5F6B">
            <w:pPr>
              <w:numPr>
                <w:ilvl w:val="0"/>
                <w:numId w:val="26"/>
              </w:numPr>
              <w:suppressAutoHyphens/>
              <w:spacing w:after="0" w:line="240" w:lineRule="auto"/>
              <w:contextualSpacing/>
              <w:rPr>
                <w:sz w:val="24"/>
                <w:szCs w:val="24"/>
              </w:rPr>
            </w:pPr>
            <w:proofErr w:type="spellStart"/>
            <w:r w:rsidRPr="006E5F6B">
              <w:rPr>
                <w:sz w:val="24"/>
                <w:szCs w:val="24"/>
              </w:rPr>
              <w:t>Антиспам</w:t>
            </w:r>
            <w:proofErr w:type="spellEnd"/>
            <w:r w:rsidRPr="006E5F6B">
              <w:rPr>
                <w:sz w:val="24"/>
                <w:szCs w:val="24"/>
              </w:rPr>
              <w:t xml:space="preserve"> захист</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Хмарний захист від невідомих загроз (0-day) </w:t>
            </w:r>
          </w:p>
          <w:p w:rsidR="006E5F6B" w:rsidRPr="006E5F6B" w:rsidRDefault="006E5F6B" w:rsidP="006E5F6B">
            <w:pPr>
              <w:suppressAutoHyphens/>
              <w:spacing w:after="0" w:line="240" w:lineRule="auto"/>
              <w:ind w:left="1004"/>
              <w:contextualSpacing/>
              <w:rPr>
                <w:sz w:val="24"/>
                <w:szCs w:val="24"/>
              </w:rPr>
            </w:pPr>
            <w:r w:rsidRPr="006E5F6B">
              <w:rPr>
                <w:sz w:val="24"/>
                <w:szCs w:val="24"/>
              </w:rPr>
              <w:t>URL/DNS/</w:t>
            </w:r>
            <w:proofErr w:type="spellStart"/>
            <w:r w:rsidRPr="006E5F6B">
              <w:rPr>
                <w:sz w:val="24"/>
                <w:szCs w:val="24"/>
              </w:rPr>
              <w:t>Video</w:t>
            </w:r>
            <w:proofErr w:type="spellEnd"/>
            <w:r w:rsidRPr="006E5F6B">
              <w:rPr>
                <w:sz w:val="24"/>
                <w:szCs w:val="24"/>
              </w:rPr>
              <w:t xml:space="preserve"> фільтрація</w:t>
            </w:r>
          </w:p>
        </w:tc>
        <w:tc>
          <w:tcPr>
            <w:tcW w:w="1243"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jc w:val="center"/>
              <w:rPr>
                <w:sz w:val="24"/>
                <w:szCs w:val="24"/>
              </w:rPr>
            </w:pPr>
            <w:r w:rsidRPr="006E5F6B">
              <w:rPr>
                <w:sz w:val="24"/>
                <w:szCs w:val="24"/>
              </w:rPr>
              <w:t>1 од.</w:t>
            </w:r>
          </w:p>
        </w:tc>
      </w:tr>
    </w:tbl>
    <w:p w:rsidR="006E5F6B" w:rsidRPr="006E5F6B" w:rsidRDefault="006E5F6B" w:rsidP="006E5F6B">
      <w:pPr>
        <w:spacing w:after="0" w:line="240" w:lineRule="auto"/>
        <w:ind w:firstLine="709"/>
        <w:jc w:val="both"/>
        <w:rPr>
          <w:b/>
          <w:bCs/>
          <w:sz w:val="24"/>
          <w:szCs w:val="24"/>
        </w:rPr>
      </w:pPr>
    </w:p>
    <w:p w:rsidR="006E5F6B" w:rsidRPr="006E5F6B" w:rsidRDefault="006E5F6B" w:rsidP="006E5F6B">
      <w:pPr>
        <w:spacing w:after="0" w:line="240" w:lineRule="auto"/>
        <w:ind w:firstLine="709"/>
        <w:jc w:val="both"/>
        <w:rPr>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6098"/>
        <w:gridCol w:w="1243"/>
      </w:tblGrid>
      <w:tr w:rsidR="006E5F6B" w:rsidRPr="006E5F6B" w:rsidTr="00615DA9">
        <w:trPr>
          <w:trHeight w:val="214"/>
        </w:trPr>
        <w:tc>
          <w:tcPr>
            <w:tcW w:w="2832"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br w:type="page"/>
              <w:t>Найменування</w:t>
            </w:r>
          </w:p>
        </w:tc>
        <w:tc>
          <w:tcPr>
            <w:tcW w:w="6098"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t>Вимоги до 1 комплекту</w:t>
            </w:r>
          </w:p>
        </w:tc>
        <w:tc>
          <w:tcPr>
            <w:tcW w:w="1243"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keepNext/>
              <w:suppressAutoHyphens/>
              <w:spacing w:after="0" w:line="240" w:lineRule="auto"/>
              <w:jc w:val="center"/>
              <w:rPr>
                <w:b/>
                <w:bCs/>
                <w:sz w:val="24"/>
                <w:szCs w:val="24"/>
              </w:rPr>
            </w:pPr>
            <w:r w:rsidRPr="006E5F6B">
              <w:rPr>
                <w:b/>
                <w:bCs/>
                <w:sz w:val="24"/>
                <w:szCs w:val="24"/>
              </w:rPr>
              <w:t>Кількість</w:t>
            </w:r>
          </w:p>
        </w:tc>
      </w:tr>
      <w:tr w:rsidR="006E5F6B" w:rsidRPr="006E5F6B" w:rsidTr="00615DA9">
        <w:trPr>
          <w:trHeight w:val="214"/>
        </w:trPr>
        <w:tc>
          <w:tcPr>
            <w:tcW w:w="2832" w:type="dxa"/>
            <w:tcBorders>
              <w:top w:val="single" w:sz="4" w:space="0" w:color="auto"/>
              <w:left w:val="single" w:sz="4" w:space="0" w:color="auto"/>
              <w:bottom w:val="single" w:sz="4" w:space="0" w:color="auto"/>
              <w:right w:val="single" w:sz="4" w:space="0" w:color="auto"/>
            </w:tcBorders>
          </w:tcPr>
          <w:p w:rsidR="006E5F6B" w:rsidRPr="006E5F6B" w:rsidRDefault="006E5F6B" w:rsidP="006E5F6B">
            <w:pPr>
              <w:suppressAutoHyphens/>
              <w:spacing w:after="0" w:line="240" w:lineRule="auto"/>
              <w:contextualSpacing/>
              <w:rPr>
                <w:b/>
                <w:bCs/>
                <w:sz w:val="24"/>
                <w:szCs w:val="24"/>
              </w:rPr>
            </w:pPr>
            <w:r w:rsidRPr="006E5F6B">
              <w:rPr>
                <w:b/>
                <w:bCs/>
                <w:sz w:val="24"/>
                <w:szCs w:val="24"/>
              </w:rPr>
              <w:t xml:space="preserve">Продовження ліцензії (підписка на оновлення сигнатур та сервісної підтримки) для </w:t>
            </w:r>
            <w:proofErr w:type="spellStart"/>
            <w:r w:rsidRPr="006E5F6B">
              <w:rPr>
                <w:b/>
                <w:bCs/>
                <w:sz w:val="24"/>
                <w:szCs w:val="24"/>
              </w:rPr>
              <w:t>FortiGate</w:t>
            </w:r>
            <w:proofErr w:type="spellEnd"/>
            <w:r w:rsidRPr="006E5F6B">
              <w:rPr>
                <w:b/>
                <w:bCs/>
                <w:sz w:val="24"/>
                <w:szCs w:val="24"/>
              </w:rPr>
              <w:t xml:space="preserve"> 60F</w:t>
            </w:r>
          </w:p>
          <w:p w:rsidR="006E5F6B" w:rsidRPr="006E5F6B" w:rsidRDefault="006E5F6B" w:rsidP="006E5F6B">
            <w:pPr>
              <w:suppressAutoHyphens/>
              <w:spacing w:after="0" w:line="240" w:lineRule="auto"/>
              <w:ind w:left="644"/>
              <w:contextualSpacing/>
              <w:rPr>
                <w:b/>
                <w:bCs/>
                <w:sz w:val="24"/>
                <w:szCs w:val="24"/>
              </w:rPr>
            </w:pPr>
          </w:p>
          <w:p w:rsidR="006E5F6B" w:rsidRPr="006E5F6B" w:rsidRDefault="006E5F6B" w:rsidP="006E5F6B">
            <w:pPr>
              <w:suppressAutoHyphens/>
              <w:spacing w:after="0" w:line="240" w:lineRule="auto"/>
              <w:contextualSpacing/>
              <w:rPr>
                <w:sz w:val="24"/>
                <w:szCs w:val="24"/>
              </w:rPr>
            </w:pPr>
            <w:r w:rsidRPr="006E5F6B">
              <w:rPr>
                <w:b/>
                <w:bCs/>
                <w:sz w:val="24"/>
                <w:szCs w:val="24"/>
              </w:rPr>
              <w:t xml:space="preserve">FortiGate-60F 1 </w:t>
            </w:r>
            <w:proofErr w:type="spellStart"/>
            <w:r w:rsidRPr="006E5F6B">
              <w:rPr>
                <w:b/>
                <w:bCs/>
                <w:sz w:val="24"/>
                <w:szCs w:val="24"/>
              </w:rPr>
              <w:t>Year</w:t>
            </w:r>
            <w:proofErr w:type="spellEnd"/>
            <w:r w:rsidRPr="006E5F6B">
              <w:rPr>
                <w:b/>
                <w:bCs/>
                <w:sz w:val="24"/>
                <w:szCs w:val="24"/>
              </w:rPr>
              <w:t xml:space="preserve"> </w:t>
            </w:r>
            <w:proofErr w:type="spellStart"/>
            <w:r w:rsidRPr="006E5F6B">
              <w:rPr>
                <w:b/>
                <w:bCs/>
                <w:sz w:val="24"/>
                <w:szCs w:val="24"/>
              </w:rPr>
              <w:t>Unified</w:t>
            </w:r>
            <w:proofErr w:type="spellEnd"/>
            <w:r w:rsidRPr="006E5F6B">
              <w:rPr>
                <w:b/>
                <w:bCs/>
                <w:sz w:val="24"/>
                <w:szCs w:val="24"/>
              </w:rPr>
              <w:t xml:space="preserve"> </w:t>
            </w:r>
            <w:proofErr w:type="spellStart"/>
            <w:r w:rsidRPr="006E5F6B">
              <w:rPr>
                <w:b/>
                <w:bCs/>
                <w:sz w:val="24"/>
                <w:szCs w:val="24"/>
              </w:rPr>
              <w:t>Threat</w:t>
            </w:r>
            <w:proofErr w:type="spellEnd"/>
            <w:r w:rsidRPr="006E5F6B">
              <w:rPr>
                <w:b/>
                <w:bCs/>
                <w:sz w:val="24"/>
                <w:szCs w:val="24"/>
              </w:rPr>
              <w:t xml:space="preserve"> </w:t>
            </w:r>
            <w:proofErr w:type="spellStart"/>
            <w:r w:rsidRPr="006E5F6B">
              <w:rPr>
                <w:b/>
                <w:bCs/>
                <w:sz w:val="24"/>
                <w:szCs w:val="24"/>
              </w:rPr>
              <w:t>Protection</w:t>
            </w:r>
            <w:proofErr w:type="spellEnd"/>
            <w:r w:rsidRPr="006E5F6B">
              <w:rPr>
                <w:b/>
                <w:bCs/>
                <w:sz w:val="24"/>
                <w:szCs w:val="24"/>
              </w:rPr>
              <w:t xml:space="preserve"> (UTP) </w:t>
            </w:r>
          </w:p>
          <w:p w:rsidR="006E5F6B" w:rsidRPr="006E5F6B" w:rsidRDefault="006E5F6B" w:rsidP="006E5F6B">
            <w:pPr>
              <w:keepNext/>
              <w:suppressAutoHyphens/>
              <w:spacing w:after="0" w:line="240" w:lineRule="auto"/>
              <w:contextualSpacing/>
              <w:rPr>
                <w:sz w:val="24"/>
                <w:szCs w:val="24"/>
              </w:rPr>
            </w:pPr>
          </w:p>
        </w:tc>
        <w:tc>
          <w:tcPr>
            <w:tcW w:w="6098"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uppressAutoHyphens/>
              <w:spacing w:after="0" w:line="240" w:lineRule="auto"/>
              <w:contextualSpacing/>
              <w:rPr>
                <w:sz w:val="24"/>
                <w:szCs w:val="24"/>
              </w:rPr>
            </w:pPr>
            <w:r w:rsidRPr="006E5F6B">
              <w:rPr>
                <w:sz w:val="24"/>
                <w:szCs w:val="24"/>
              </w:rPr>
              <w:t xml:space="preserve">Продовження не менше ніж на 1 рік (12 місяців) сервісної підтримки від виробника щодо реєстрації сервісних випадків в режимі 24 год/7 днів на тиждень /365 днів на рік та оновлення системи і версій встановленого програмного забезпечення в рамках сервісної підтримки </w:t>
            </w:r>
            <w:proofErr w:type="spellStart"/>
            <w:r w:rsidRPr="006E5F6B">
              <w:rPr>
                <w:sz w:val="24"/>
                <w:szCs w:val="24"/>
              </w:rPr>
              <w:t>FortiGate</w:t>
            </w:r>
            <w:proofErr w:type="spellEnd"/>
            <w:r w:rsidRPr="006E5F6B">
              <w:rPr>
                <w:sz w:val="24"/>
                <w:szCs w:val="24"/>
              </w:rPr>
              <w:t xml:space="preserve"> 60F з можливістю:</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Отримання всіх необхідних оновлень.</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Отримання основних та проміжних релізів програмного забезпечення через сайт, підтримка програмних кодів у актуальному стані відповідно до рекомендацій виробника, в тому числі </w:t>
            </w:r>
            <w:proofErr w:type="spellStart"/>
            <w:r w:rsidRPr="006E5F6B">
              <w:rPr>
                <w:sz w:val="24"/>
                <w:szCs w:val="24"/>
              </w:rPr>
              <w:t>мікрокодів</w:t>
            </w:r>
            <w:proofErr w:type="spellEnd"/>
            <w:r w:rsidRPr="006E5F6B">
              <w:rPr>
                <w:sz w:val="24"/>
                <w:szCs w:val="24"/>
              </w:rPr>
              <w:t xml:space="preserve"> пристроїв;</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Постійний (24/7) авторизований доступ до сайту виробника.</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Можливість реєстрації сервісних випадків в режимі 24*7*365, доставку і заміну запасних частин у режимі </w:t>
            </w:r>
            <w:proofErr w:type="spellStart"/>
            <w:r w:rsidRPr="006E5F6B">
              <w:rPr>
                <w:sz w:val="24"/>
                <w:szCs w:val="24"/>
              </w:rPr>
              <w:t>Next</w:t>
            </w:r>
            <w:proofErr w:type="spellEnd"/>
            <w:r w:rsidRPr="006E5F6B">
              <w:rPr>
                <w:sz w:val="24"/>
                <w:szCs w:val="24"/>
              </w:rPr>
              <w:t xml:space="preserve"> </w:t>
            </w:r>
            <w:proofErr w:type="spellStart"/>
            <w:r w:rsidRPr="006E5F6B">
              <w:rPr>
                <w:sz w:val="24"/>
                <w:szCs w:val="24"/>
              </w:rPr>
              <w:t>Business</w:t>
            </w:r>
            <w:proofErr w:type="spellEnd"/>
            <w:r w:rsidRPr="006E5F6B">
              <w:rPr>
                <w:sz w:val="24"/>
                <w:szCs w:val="24"/>
              </w:rPr>
              <w:t xml:space="preserve"> </w:t>
            </w:r>
            <w:proofErr w:type="spellStart"/>
            <w:r w:rsidRPr="006E5F6B">
              <w:rPr>
                <w:sz w:val="24"/>
                <w:szCs w:val="24"/>
              </w:rPr>
              <w:t>Day</w:t>
            </w:r>
            <w:proofErr w:type="spellEnd"/>
            <w:r w:rsidRPr="006E5F6B">
              <w:rPr>
                <w:sz w:val="24"/>
                <w:szCs w:val="24"/>
              </w:rPr>
              <w:t xml:space="preserve"> в м. Київ (обладнання для заміни доставляється наступного дня після підтвердження заміни сервісом підтримки виробника)</w:t>
            </w:r>
          </w:p>
          <w:p w:rsidR="006E5F6B" w:rsidRPr="006E5F6B" w:rsidRDefault="006E5F6B" w:rsidP="006E5F6B">
            <w:pPr>
              <w:suppressAutoHyphens/>
              <w:spacing w:after="0" w:line="240" w:lineRule="auto"/>
              <w:contextualSpacing/>
              <w:rPr>
                <w:sz w:val="24"/>
                <w:szCs w:val="24"/>
              </w:rPr>
            </w:pPr>
            <w:r w:rsidRPr="006E5F6B">
              <w:rPr>
                <w:sz w:val="24"/>
                <w:szCs w:val="24"/>
              </w:rPr>
              <w:t xml:space="preserve">Також продовження не менше ніж на 1 рік (12 місяців) сервісної підтримки на функціонал модулів захисту обладнання </w:t>
            </w:r>
            <w:proofErr w:type="spellStart"/>
            <w:r w:rsidRPr="006E5F6B">
              <w:rPr>
                <w:sz w:val="24"/>
                <w:szCs w:val="24"/>
              </w:rPr>
              <w:t>FortiGate</w:t>
            </w:r>
            <w:proofErr w:type="spellEnd"/>
            <w:r w:rsidRPr="006E5F6B">
              <w:rPr>
                <w:sz w:val="24"/>
                <w:szCs w:val="24"/>
              </w:rPr>
              <w:t xml:space="preserve"> 60F, що включає:</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Захист від загроз на основі сигнатурного аналізу (IPS)</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Антивірусний захист</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Ідентифікація та контроль застосувань (AC/ AVC)</w:t>
            </w:r>
          </w:p>
          <w:p w:rsidR="006E5F6B" w:rsidRPr="006E5F6B" w:rsidRDefault="006E5F6B" w:rsidP="006E5F6B">
            <w:pPr>
              <w:numPr>
                <w:ilvl w:val="0"/>
                <w:numId w:val="26"/>
              </w:numPr>
              <w:suppressAutoHyphens/>
              <w:spacing w:after="0" w:line="240" w:lineRule="auto"/>
              <w:contextualSpacing/>
              <w:rPr>
                <w:sz w:val="24"/>
                <w:szCs w:val="24"/>
              </w:rPr>
            </w:pPr>
            <w:proofErr w:type="spellStart"/>
            <w:r w:rsidRPr="006E5F6B">
              <w:rPr>
                <w:sz w:val="24"/>
                <w:szCs w:val="24"/>
              </w:rPr>
              <w:t>Антиспам</w:t>
            </w:r>
            <w:proofErr w:type="spellEnd"/>
            <w:r w:rsidRPr="006E5F6B">
              <w:rPr>
                <w:sz w:val="24"/>
                <w:szCs w:val="24"/>
              </w:rPr>
              <w:t xml:space="preserve"> захист</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 xml:space="preserve">Хмарний захист від невідомих загроз (0-day) </w:t>
            </w:r>
          </w:p>
          <w:p w:rsidR="006E5F6B" w:rsidRPr="006E5F6B" w:rsidRDefault="006E5F6B" w:rsidP="006E5F6B">
            <w:pPr>
              <w:numPr>
                <w:ilvl w:val="0"/>
                <w:numId w:val="26"/>
              </w:numPr>
              <w:suppressAutoHyphens/>
              <w:spacing w:after="0" w:line="240" w:lineRule="auto"/>
              <w:contextualSpacing/>
              <w:rPr>
                <w:sz w:val="24"/>
                <w:szCs w:val="24"/>
              </w:rPr>
            </w:pPr>
            <w:r w:rsidRPr="006E5F6B">
              <w:rPr>
                <w:sz w:val="24"/>
                <w:szCs w:val="24"/>
              </w:rPr>
              <w:t>URL/DNS/</w:t>
            </w:r>
            <w:proofErr w:type="spellStart"/>
            <w:r w:rsidRPr="006E5F6B">
              <w:rPr>
                <w:sz w:val="24"/>
                <w:szCs w:val="24"/>
              </w:rPr>
              <w:t>Video</w:t>
            </w:r>
            <w:proofErr w:type="spellEnd"/>
            <w:r w:rsidRPr="006E5F6B">
              <w:rPr>
                <w:sz w:val="24"/>
                <w:szCs w:val="24"/>
              </w:rPr>
              <w:t xml:space="preserve"> фільтрація</w:t>
            </w:r>
          </w:p>
        </w:tc>
        <w:tc>
          <w:tcPr>
            <w:tcW w:w="1243" w:type="dxa"/>
            <w:tcBorders>
              <w:top w:val="single" w:sz="4" w:space="0" w:color="auto"/>
              <w:left w:val="single" w:sz="4" w:space="0" w:color="auto"/>
              <w:bottom w:val="single" w:sz="4" w:space="0" w:color="auto"/>
              <w:right w:val="single" w:sz="4" w:space="0" w:color="auto"/>
            </w:tcBorders>
            <w:hideMark/>
          </w:tcPr>
          <w:p w:rsidR="006E5F6B" w:rsidRPr="006E5F6B" w:rsidRDefault="006E5F6B" w:rsidP="006E5F6B">
            <w:pPr>
              <w:spacing w:after="0" w:line="240" w:lineRule="auto"/>
              <w:jc w:val="center"/>
              <w:rPr>
                <w:sz w:val="24"/>
                <w:szCs w:val="24"/>
              </w:rPr>
            </w:pPr>
            <w:r w:rsidRPr="006E5F6B">
              <w:rPr>
                <w:sz w:val="24"/>
                <w:szCs w:val="24"/>
              </w:rPr>
              <w:t>1 од.</w:t>
            </w:r>
          </w:p>
        </w:tc>
      </w:tr>
    </w:tbl>
    <w:p w:rsidR="006E5F6B" w:rsidRPr="006E5F6B" w:rsidRDefault="006E5F6B" w:rsidP="006E5F6B">
      <w:pPr>
        <w:spacing w:after="0" w:line="240" w:lineRule="auto"/>
        <w:ind w:firstLine="709"/>
        <w:jc w:val="both"/>
        <w:rPr>
          <w:b/>
          <w:bCs/>
          <w:sz w:val="24"/>
          <w:szCs w:val="24"/>
        </w:rPr>
      </w:pPr>
    </w:p>
    <w:p w:rsidR="00591F5C" w:rsidRPr="00AC2344" w:rsidRDefault="00591F5C" w:rsidP="003B46D0">
      <w:pPr>
        <w:tabs>
          <w:tab w:val="left" w:pos="708"/>
        </w:tabs>
        <w:spacing w:after="0" w:line="240" w:lineRule="auto"/>
        <w:jc w:val="center"/>
        <w:rPr>
          <w:sz w:val="24"/>
          <w:szCs w:val="24"/>
        </w:rPr>
      </w:pPr>
    </w:p>
    <w:sectPr w:rsidR="00591F5C" w:rsidRPr="00AC2344" w:rsidSect="00C25AD4">
      <w:pgSz w:w="11906" w:h="16838"/>
      <w:pgMar w:top="539" w:right="851" w:bottom="96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308"/>
    <w:multiLevelType w:val="hybridMultilevel"/>
    <w:tmpl w:val="9236BC82"/>
    <w:lvl w:ilvl="0" w:tplc="858E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56F69"/>
    <w:multiLevelType w:val="hybridMultilevel"/>
    <w:tmpl w:val="C776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4E11E80"/>
    <w:multiLevelType w:val="multilevel"/>
    <w:tmpl w:val="94EA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56DAA"/>
    <w:multiLevelType w:val="hybridMultilevel"/>
    <w:tmpl w:val="34A28C20"/>
    <w:lvl w:ilvl="0" w:tplc="2004B454">
      <w:start w:val="1"/>
      <w:numFmt w:val="decimal"/>
      <w:lvlText w:val="%1."/>
      <w:lvlJc w:val="left"/>
      <w:pPr>
        <w:tabs>
          <w:tab w:val="num" w:pos="360"/>
        </w:tabs>
        <w:ind w:left="360" w:hanging="360"/>
      </w:pPr>
      <w:rPr>
        <w:rFonts w:hint="default"/>
        <w:b w:val="0"/>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2BA87D9C"/>
    <w:multiLevelType w:val="hybridMultilevel"/>
    <w:tmpl w:val="19EA8B1C"/>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86DDA"/>
    <w:multiLevelType w:val="multilevel"/>
    <w:tmpl w:val="4CC8203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8" w15:restartNumberingAfterBreak="0">
    <w:nsid w:val="3F7B1D6E"/>
    <w:multiLevelType w:val="hybridMultilevel"/>
    <w:tmpl w:val="A5B6B57E"/>
    <w:lvl w:ilvl="0" w:tplc="3CCA9ED4">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8CF781F"/>
    <w:multiLevelType w:val="multilevel"/>
    <w:tmpl w:val="28303A62"/>
    <w:lvl w:ilvl="0">
      <w:start w:val="1"/>
      <w:numFmt w:val="decimal"/>
      <w:pStyle w:val="a0"/>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1"/>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583A008E"/>
    <w:multiLevelType w:val="hybridMultilevel"/>
    <w:tmpl w:val="D9D4287C"/>
    <w:lvl w:ilvl="0" w:tplc="0409000D">
      <w:start w:val="1"/>
      <w:numFmt w:val="bullet"/>
      <w:lvlText w:val=""/>
      <w:lvlJc w:val="left"/>
      <w:pPr>
        <w:ind w:left="1039" w:hanging="360"/>
      </w:pPr>
      <w:rPr>
        <w:rFonts w:ascii="Wingdings" w:hAnsi="Wingdings" w:hint="default"/>
      </w:rPr>
    </w:lvl>
    <w:lvl w:ilvl="1" w:tplc="04190003">
      <w:start w:val="1"/>
      <w:numFmt w:val="bullet"/>
      <w:lvlText w:val="o"/>
      <w:lvlJc w:val="left"/>
      <w:pPr>
        <w:ind w:left="1759" w:hanging="360"/>
      </w:pPr>
      <w:rPr>
        <w:rFonts w:ascii="Courier New" w:hAnsi="Courier New" w:cs="Courier New" w:hint="default"/>
      </w:rPr>
    </w:lvl>
    <w:lvl w:ilvl="2" w:tplc="04190005">
      <w:start w:val="1"/>
      <w:numFmt w:val="bullet"/>
      <w:lvlText w:val=""/>
      <w:lvlJc w:val="left"/>
      <w:pPr>
        <w:ind w:left="2479" w:hanging="360"/>
      </w:pPr>
      <w:rPr>
        <w:rFonts w:ascii="Wingdings" w:hAnsi="Wingdings" w:hint="default"/>
      </w:rPr>
    </w:lvl>
    <w:lvl w:ilvl="3" w:tplc="04190001">
      <w:start w:val="1"/>
      <w:numFmt w:val="bullet"/>
      <w:lvlText w:val=""/>
      <w:lvlJc w:val="left"/>
      <w:pPr>
        <w:ind w:left="3199" w:hanging="360"/>
      </w:pPr>
      <w:rPr>
        <w:rFonts w:ascii="Symbol" w:hAnsi="Symbol" w:hint="default"/>
      </w:rPr>
    </w:lvl>
    <w:lvl w:ilvl="4" w:tplc="04190003">
      <w:start w:val="1"/>
      <w:numFmt w:val="bullet"/>
      <w:lvlText w:val="o"/>
      <w:lvlJc w:val="left"/>
      <w:pPr>
        <w:ind w:left="3919" w:hanging="360"/>
      </w:pPr>
      <w:rPr>
        <w:rFonts w:ascii="Courier New" w:hAnsi="Courier New" w:cs="Courier New" w:hint="default"/>
      </w:rPr>
    </w:lvl>
    <w:lvl w:ilvl="5" w:tplc="04190005">
      <w:start w:val="1"/>
      <w:numFmt w:val="bullet"/>
      <w:lvlText w:val=""/>
      <w:lvlJc w:val="left"/>
      <w:pPr>
        <w:ind w:left="4639" w:hanging="360"/>
      </w:pPr>
      <w:rPr>
        <w:rFonts w:ascii="Wingdings" w:hAnsi="Wingdings" w:hint="default"/>
      </w:rPr>
    </w:lvl>
    <w:lvl w:ilvl="6" w:tplc="04190001">
      <w:start w:val="1"/>
      <w:numFmt w:val="bullet"/>
      <w:lvlText w:val=""/>
      <w:lvlJc w:val="left"/>
      <w:pPr>
        <w:ind w:left="5359" w:hanging="360"/>
      </w:pPr>
      <w:rPr>
        <w:rFonts w:ascii="Symbol" w:hAnsi="Symbol" w:hint="default"/>
      </w:rPr>
    </w:lvl>
    <w:lvl w:ilvl="7" w:tplc="04190003">
      <w:start w:val="1"/>
      <w:numFmt w:val="bullet"/>
      <w:lvlText w:val="o"/>
      <w:lvlJc w:val="left"/>
      <w:pPr>
        <w:ind w:left="6079" w:hanging="360"/>
      </w:pPr>
      <w:rPr>
        <w:rFonts w:ascii="Courier New" w:hAnsi="Courier New" w:cs="Courier New" w:hint="default"/>
      </w:rPr>
    </w:lvl>
    <w:lvl w:ilvl="8" w:tplc="04190005">
      <w:start w:val="1"/>
      <w:numFmt w:val="bullet"/>
      <w:lvlText w:val=""/>
      <w:lvlJc w:val="left"/>
      <w:pPr>
        <w:ind w:left="6799" w:hanging="360"/>
      </w:pPr>
      <w:rPr>
        <w:rFonts w:ascii="Wingdings" w:hAnsi="Wingdings" w:hint="default"/>
      </w:rPr>
    </w:lvl>
  </w:abstractNum>
  <w:abstractNum w:abstractNumId="14"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E763143"/>
    <w:multiLevelType w:val="multilevel"/>
    <w:tmpl w:val="2370FB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7"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3"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4"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7"/>
  </w:num>
  <w:num w:numId="5">
    <w:abstractNumId w:val="16"/>
  </w:num>
  <w:num w:numId="6">
    <w:abstractNumId w:val="11"/>
  </w:num>
  <w:num w:numId="7">
    <w:abstractNumId w:val="22"/>
  </w:num>
  <w:num w:numId="8">
    <w:abstractNumId w:val="2"/>
  </w:num>
  <w:num w:numId="9">
    <w:abstractNumId w:val="1"/>
  </w:num>
  <w:num w:numId="10">
    <w:abstractNumId w:val="15"/>
  </w:num>
  <w:num w:numId="11">
    <w:abstractNumId w:val="6"/>
  </w:num>
  <w:num w:numId="12">
    <w:abstractNumId w:val="17"/>
  </w:num>
  <w:num w:numId="13">
    <w:abstractNumId w:val="14"/>
  </w:num>
  <w:num w:numId="14">
    <w:abstractNumId w:val="18"/>
  </w:num>
  <w:num w:numId="15">
    <w:abstractNumId w:val="20"/>
  </w:num>
  <w:num w:numId="16">
    <w:abstractNumId w:val="3"/>
  </w:num>
  <w:num w:numId="17">
    <w:abstractNumId w:val="1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5"/>
  </w:num>
  <w:num w:numId="24">
    <w:abstractNumId w:val="24"/>
    <w:lvlOverride w:ilvl="0"/>
    <w:lvlOverride w:ilvl="1"/>
    <w:lvlOverride w:ilvl="2"/>
    <w:lvlOverride w:ilvl="3"/>
    <w:lvlOverride w:ilvl="4"/>
    <w:lvlOverride w:ilvl="5"/>
    <w:lvlOverride w:ilvl="6"/>
    <w:lvlOverride w:ilvl="7"/>
    <w:lvlOverride w:ilvl="8"/>
  </w:num>
  <w:num w:numId="25">
    <w:abstractNumId w:val="13"/>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C4A41"/>
    <w:rsid w:val="000F2FAA"/>
    <w:rsid w:val="001106C8"/>
    <w:rsid w:val="001C1CB9"/>
    <w:rsid w:val="001D0D29"/>
    <w:rsid w:val="00235A96"/>
    <w:rsid w:val="00251BB9"/>
    <w:rsid w:val="0026078A"/>
    <w:rsid w:val="00304DEC"/>
    <w:rsid w:val="00363AC9"/>
    <w:rsid w:val="00395743"/>
    <w:rsid w:val="003B46D0"/>
    <w:rsid w:val="003C1091"/>
    <w:rsid w:val="003C4DE1"/>
    <w:rsid w:val="004B0A16"/>
    <w:rsid w:val="0052592D"/>
    <w:rsid w:val="00573725"/>
    <w:rsid w:val="00591F5C"/>
    <w:rsid w:val="00610E3F"/>
    <w:rsid w:val="00617668"/>
    <w:rsid w:val="006E5F6B"/>
    <w:rsid w:val="006F0819"/>
    <w:rsid w:val="00763358"/>
    <w:rsid w:val="00873C51"/>
    <w:rsid w:val="00A325D0"/>
    <w:rsid w:val="00A918D0"/>
    <w:rsid w:val="00AC2344"/>
    <w:rsid w:val="00AF27C1"/>
    <w:rsid w:val="00B324D2"/>
    <w:rsid w:val="00B73D05"/>
    <w:rsid w:val="00BF7B07"/>
    <w:rsid w:val="00C2174A"/>
    <w:rsid w:val="00C24D83"/>
    <w:rsid w:val="00C25AD4"/>
    <w:rsid w:val="00C43F94"/>
    <w:rsid w:val="00C46AE5"/>
    <w:rsid w:val="00E13D98"/>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F0C7"/>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2"/>
    <w:next w:val="a2"/>
    <w:link w:val="12"/>
    <w:uiPriority w:val="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2"/>
    <w:next w:val="a2"/>
    <w:link w:val="20"/>
    <w:uiPriority w:val="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2"/>
    <w:next w:val="a2"/>
    <w:link w:val="31"/>
    <w:uiPriority w:val="9"/>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2"/>
    <w:next w:val="a2"/>
    <w:link w:val="40"/>
    <w:uiPriority w:val="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2"/>
    <w:next w:val="a2"/>
    <w:link w:val="50"/>
    <w:uiPriority w:val="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2"/>
    <w:next w:val="a2"/>
    <w:link w:val="60"/>
    <w:uiPriority w:val="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2"/>
    <w:next w:val="a2"/>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2"/>
    <w:next w:val="a2"/>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2"/>
    <w:next w:val="a2"/>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qFormat/>
    <w:rsid w:val="00AF27C1"/>
    <w:rPr>
      <w:color w:val="0563C1" w:themeColor="hyperlink"/>
      <w:u w:val="single"/>
    </w:rPr>
  </w:style>
  <w:style w:type="character" w:customStyle="1" w:styleId="a7">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AF27C1"/>
    <w:rPr>
      <w:rFonts w:ascii="Times New Roman" w:eastAsia="Calibri" w:hAnsi="Times New Roman" w:cs="Times New Roman"/>
      <w:sz w:val="24"/>
      <w:szCs w:val="24"/>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2"/>
    <w:link w:val="a7"/>
    <w:uiPriority w:val="34"/>
    <w:qFormat/>
    <w:rsid w:val="00AF27C1"/>
    <w:pPr>
      <w:spacing w:after="0" w:line="240" w:lineRule="auto"/>
      <w:ind w:left="720"/>
    </w:pPr>
    <w:rPr>
      <w:color w:val="auto"/>
      <w:sz w:val="24"/>
      <w:szCs w:val="24"/>
    </w:rPr>
  </w:style>
  <w:style w:type="character" w:customStyle="1" w:styleId="mend05rem">
    <w:name w:val="mend(0.5rem)"/>
    <w:basedOn w:val="a3"/>
    <w:rsid w:val="00304DEC"/>
  </w:style>
  <w:style w:type="paragraph" w:customStyle="1" w:styleId="a0">
    <w:name w:val="Маркированный текст"/>
    <w:basedOn w:val="a2"/>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2"/>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3"/>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2"/>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9">
    <w:name w:val="No Spacing"/>
    <w:aliases w:val="nado12,Bullet"/>
    <w:link w:val="aa"/>
    <w:uiPriority w:val="1"/>
    <w:qFormat/>
    <w:rsid w:val="00EA5531"/>
    <w:pPr>
      <w:spacing w:after="0" w:line="240" w:lineRule="auto"/>
    </w:pPr>
    <w:rPr>
      <w:rFonts w:ascii="Calibri" w:eastAsia="Calibri" w:hAnsi="Calibri" w:cs="Times New Roman"/>
      <w:lang w:val="ru-RU"/>
    </w:rPr>
  </w:style>
  <w:style w:type="character" w:customStyle="1" w:styleId="aa">
    <w:name w:val="Без интервала Знак"/>
    <w:aliases w:val="nado12 Знак,Bullet Знак"/>
    <w:link w:val="a9"/>
    <w:uiPriority w:val="1"/>
    <w:locked/>
    <w:rsid w:val="00EA5531"/>
    <w:rPr>
      <w:rFonts w:ascii="Calibri" w:eastAsia="Calibri" w:hAnsi="Calibri" w:cs="Times New Roman"/>
      <w:lang w:val="ru-RU"/>
    </w:rPr>
  </w:style>
  <w:style w:type="paragraph" w:customStyle="1" w:styleId="13">
    <w:name w:val="Обычный (веб)1"/>
    <w:basedOn w:val="a2"/>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3"/>
    <w:link w:val="11"/>
    <w:uiPriority w:val="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3"/>
    <w:link w:val="2"/>
    <w:uiPriority w:val="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3"/>
    <w:link w:val="30"/>
    <w:uiPriority w:val="9"/>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3"/>
    <w:link w:val="4"/>
    <w:uiPriority w:val="9"/>
    <w:rsid w:val="00A918D0"/>
    <w:rPr>
      <w:rFonts w:ascii="Calibri" w:eastAsia="Times New Roman" w:hAnsi="Calibri" w:cs="Times New Roman"/>
      <w:b/>
      <w:bCs/>
      <w:sz w:val="28"/>
      <w:szCs w:val="28"/>
    </w:rPr>
  </w:style>
  <w:style w:type="character" w:customStyle="1" w:styleId="50">
    <w:name w:val="Заголовок 5 Знак"/>
    <w:basedOn w:val="a3"/>
    <w:link w:val="5"/>
    <w:uiPriority w:val="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3"/>
    <w:link w:val="6"/>
    <w:uiPriority w:val="9"/>
    <w:rsid w:val="00A918D0"/>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3"/>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3"/>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A918D0"/>
    <w:pPr>
      <w:spacing w:after="0" w:line="240" w:lineRule="auto"/>
    </w:pPr>
    <w:rPr>
      <w:rFonts w:ascii="Verdana" w:eastAsia="Times New Roman" w:hAnsi="Verdana" w:cs="Verdana"/>
      <w:color w:val="auto"/>
      <w:sz w:val="24"/>
      <w:szCs w:val="24"/>
      <w:lang w:val="en-US"/>
    </w:rPr>
  </w:style>
  <w:style w:type="character" w:styleId="ab">
    <w:name w:val="annotation reference"/>
    <w:semiHidden/>
    <w:rsid w:val="00A918D0"/>
    <w:rPr>
      <w:sz w:val="16"/>
      <w:szCs w:val="16"/>
    </w:rPr>
  </w:style>
  <w:style w:type="paragraph" w:styleId="ac">
    <w:name w:val="annotation text"/>
    <w:basedOn w:val="a2"/>
    <w:link w:val="ad"/>
    <w:semiHidden/>
    <w:rsid w:val="00A918D0"/>
    <w:pPr>
      <w:spacing w:after="0" w:line="240" w:lineRule="auto"/>
    </w:pPr>
    <w:rPr>
      <w:rFonts w:eastAsia="Times New Roman"/>
      <w:color w:val="auto"/>
      <w:sz w:val="20"/>
      <w:szCs w:val="20"/>
      <w:lang w:val="x-none" w:eastAsia="x-none"/>
    </w:rPr>
  </w:style>
  <w:style w:type="character" w:customStyle="1" w:styleId="ad">
    <w:name w:val="Текст примечания Знак"/>
    <w:basedOn w:val="a3"/>
    <w:link w:val="ac"/>
    <w:semiHidden/>
    <w:rsid w:val="00A918D0"/>
    <w:rPr>
      <w:rFonts w:ascii="Times New Roman" w:eastAsia="Times New Roman" w:hAnsi="Times New Roman" w:cs="Times New Roman"/>
      <w:sz w:val="20"/>
      <w:szCs w:val="20"/>
      <w:lang w:val="x-none" w:eastAsia="x-none"/>
    </w:rPr>
  </w:style>
  <w:style w:type="paragraph" w:styleId="ae">
    <w:name w:val="annotation subject"/>
    <w:basedOn w:val="ac"/>
    <w:next w:val="ac"/>
    <w:link w:val="af"/>
    <w:uiPriority w:val="99"/>
    <w:semiHidden/>
    <w:rsid w:val="00A918D0"/>
    <w:rPr>
      <w:b/>
      <w:bCs/>
    </w:rPr>
  </w:style>
  <w:style w:type="character" w:customStyle="1" w:styleId="af">
    <w:name w:val="Тема примечания Знак"/>
    <w:basedOn w:val="ad"/>
    <w:link w:val="ae"/>
    <w:uiPriority w:val="99"/>
    <w:semiHidden/>
    <w:rsid w:val="00A918D0"/>
    <w:rPr>
      <w:rFonts w:ascii="Times New Roman" w:eastAsia="Times New Roman" w:hAnsi="Times New Roman" w:cs="Times New Roman"/>
      <w:b/>
      <w:bCs/>
      <w:sz w:val="20"/>
      <w:szCs w:val="20"/>
      <w:lang w:val="x-none" w:eastAsia="x-none"/>
    </w:rPr>
  </w:style>
  <w:style w:type="paragraph" w:styleId="af0">
    <w:name w:val="Balloon Text"/>
    <w:basedOn w:val="a2"/>
    <w:link w:val="af1"/>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1">
    <w:name w:val="Текст выноски Знак"/>
    <w:basedOn w:val="a3"/>
    <w:link w:val="af0"/>
    <w:uiPriority w:val="99"/>
    <w:semiHidden/>
    <w:rsid w:val="00A918D0"/>
    <w:rPr>
      <w:rFonts w:ascii="Tahoma" w:eastAsia="Times New Roman" w:hAnsi="Tahoma" w:cs="Times New Roman"/>
      <w:sz w:val="16"/>
      <w:szCs w:val="16"/>
      <w:lang w:val="x-none" w:eastAsia="x-none"/>
    </w:rPr>
  </w:style>
  <w:style w:type="paragraph" w:styleId="HTML">
    <w:name w:val="HTML Preformatted"/>
    <w:basedOn w:val="a2"/>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3"/>
    <w:link w:val="HTML"/>
    <w:uiPriority w:val="99"/>
    <w:rsid w:val="00A918D0"/>
    <w:rPr>
      <w:rFonts w:ascii="Courier New" w:eastAsia="Times New Roman" w:hAnsi="Courier New" w:cs="Times New Roman"/>
      <w:sz w:val="20"/>
      <w:szCs w:val="20"/>
      <w:lang w:val="x-none" w:eastAsia="x-none"/>
    </w:rPr>
  </w:style>
  <w:style w:type="paragraph" w:styleId="af2">
    <w:name w:val="footnote text"/>
    <w:basedOn w:val="a2"/>
    <w:link w:val="af3"/>
    <w:uiPriority w:val="99"/>
    <w:rsid w:val="00A918D0"/>
    <w:pPr>
      <w:spacing w:after="0" w:line="240" w:lineRule="auto"/>
    </w:pPr>
    <w:rPr>
      <w:rFonts w:eastAsia="Times New Roman"/>
      <w:color w:val="auto"/>
      <w:sz w:val="20"/>
      <w:szCs w:val="20"/>
      <w:lang w:val="x-none" w:eastAsia="x-none"/>
    </w:rPr>
  </w:style>
  <w:style w:type="character" w:customStyle="1" w:styleId="af3">
    <w:name w:val="Текст сноски Знак"/>
    <w:basedOn w:val="a3"/>
    <w:link w:val="af2"/>
    <w:uiPriority w:val="99"/>
    <w:rsid w:val="00A918D0"/>
    <w:rPr>
      <w:rFonts w:ascii="Times New Roman" w:eastAsia="Times New Roman" w:hAnsi="Times New Roman" w:cs="Times New Roman"/>
      <w:sz w:val="20"/>
      <w:szCs w:val="20"/>
      <w:lang w:val="x-none" w:eastAsia="x-none"/>
    </w:rPr>
  </w:style>
  <w:style w:type="character" w:styleId="af4">
    <w:name w:val="footnote reference"/>
    <w:semiHidden/>
    <w:qFormat/>
    <w:rsid w:val="00A918D0"/>
    <w:rPr>
      <w:vertAlign w:val="superscript"/>
    </w:rPr>
  </w:style>
  <w:style w:type="paragraph" w:styleId="af5">
    <w:name w:val="header"/>
    <w:aliases w:val="/tsv"/>
    <w:basedOn w:val="a2"/>
    <w:link w:val="af6"/>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6">
    <w:name w:val="Верхний колонтитул Знак"/>
    <w:aliases w:val="/tsv Знак"/>
    <w:basedOn w:val="a3"/>
    <w:link w:val="af5"/>
    <w:uiPriority w:val="99"/>
    <w:rsid w:val="00A918D0"/>
    <w:rPr>
      <w:rFonts w:ascii="Times New Roman" w:eastAsia="Times New Roman" w:hAnsi="Times New Roman" w:cs="Times New Roman"/>
      <w:sz w:val="24"/>
      <w:szCs w:val="24"/>
      <w:lang w:val="x-none" w:eastAsia="x-none"/>
    </w:rPr>
  </w:style>
  <w:style w:type="character" w:styleId="af7">
    <w:name w:val="page number"/>
    <w:basedOn w:val="a3"/>
    <w:uiPriority w:val="99"/>
    <w:rsid w:val="00A918D0"/>
  </w:style>
  <w:style w:type="paragraph" w:customStyle="1" w:styleId="af8">
    <w:name w:val="Знак Знак"/>
    <w:basedOn w:val="a2"/>
    <w:rsid w:val="00A918D0"/>
    <w:pPr>
      <w:spacing w:after="0" w:line="240" w:lineRule="auto"/>
    </w:pPr>
    <w:rPr>
      <w:rFonts w:ascii="Verdana" w:eastAsia="Times New Roman" w:hAnsi="Verdana" w:cs="Verdana"/>
      <w:color w:val="auto"/>
      <w:sz w:val="20"/>
      <w:szCs w:val="20"/>
      <w:lang w:val="en-US"/>
    </w:rPr>
  </w:style>
  <w:style w:type="paragraph" w:styleId="af9">
    <w:name w:val="footer"/>
    <w:basedOn w:val="a2"/>
    <w:link w:val="afa"/>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a">
    <w:name w:val="Нижний колонтитул Знак"/>
    <w:basedOn w:val="a3"/>
    <w:link w:val="af9"/>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b">
    <w:name w:val="Знак"/>
    <w:basedOn w:val="a2"/>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3"/>
    <w:rsid w:val="00A918D0"/>
  </w:style>
  <w:style w:type="paragraph" w:customStyle="1" w:styleId="23">
    <w:name w:val="Заг2"/>
    <w:basedOn w:val="a2"/>
    <w:next w:val="afc"/>
    <w:autoRedefine/>
    <w:rsid w:val="00A918D0"/>
    <w:pPr>
      <w:keepNext/>
      <w:spacing w:after="0" w:line="240" w:lineRule="auto"/>
      <w:ind w:firstLine="720"/>
      <w:jc w:val="both"/>
      <w:outlineLvl w:val="1"/>
    </w:pPr>
    <w:rPr>
      <w:rFonts w:eastAsia="Times New Roman"/>
      <w:b/>
      <w:color w:val="0000FF"/>
      <w:sz w:val="24"/>
      <w:szCs w:val="24"/>
      <w:lang w:eastAsia="ru-RU"/>
    </w:rPr>
  </w:style>
  <w:style w:type="paragraph" w:styleId="afc">
    <w:name w:val="Body Text"/>
    <w:basedOn w:val="a2"/>
    <w:link w:val="afd"/>
    <w:uiPriority w:val="99"/>
    <w:unhideWhenUsed/>
    <w:rsid w:val="00A918D0"/>
    <w:pPr>
      <w:spacing w:after="120" w:line="240" w:lineRule="auto"/>
    </w:pPr>
    <w:rPr>
      <w:rFonts w:eastAsia="Times New Roman"/>
      <w:color w:val="auto"/>
      <w:sz w:val="24"/>
      <w:szCs w:val="24"/>
      <w:lang w:val="x-none" w:eastAsia="x-none"/>
    </w:rPr>
  </w:style>
  <w:style w:type="character" w:customStyle="1" w:styleId="afd">
    <w:name w:val="Основной текст Знак"/>
    <w:basedOn w:val="a3"/>
    <w:link w:val="afc"/>
    <w:uiPriority w:val="99"/>
    <w:rsid w:val="00A918D0"/>
    <w:rPr>
      <w:rFonts w:ascii="Times New Roman" w:eastAsia="Times New Roman" w:hAnsi="Times New Roman" w:cs="Times New Roman"/>
      <w:sz w:val="24"/>
      <w:szCs w:val="24"/>
      <w:lang w:val="x-none" w:eastAsia="x-none"/>
    </w:rPr>
  </w:style>
  <w:style w:type="character" w:styleId="afe">
    <w:name w:val="Strong"/>
    <w:uiPriority w:val="22"/>
    <w:qFormat/>
    <w:rsid w:val="00A918D0"/>
    <w:rPr>
      <w:b/>
      <w:bCs/>
    </w:rPr>
  </w:style>
  <w:style w:type="paragraph" w:styleId="aff">
    <w:name w:val="Plain Text"/>
    <w:basedOn w:val="a2"/>
    <w:link w:val="aff0"/>
    <w:rsid w:val="00A918D0"/>
    <w:pPr>
      <w:spacing w:after="0" w:line="240" w:lineRule="auto"/>
    </w:pPr>
    <w:rPr>
      <w:rFonts w:ascii="Courier New" w:eastAsia="Times New Roman" w:hAnsi="Courier New"/>
      <w:color w:val="auto"/>
      <w:sz w:val="24"/>
      <w:szCs w:val="20"/>
      <w:lang w:eastAsia="x-none"/>
    </w:rPr>
  </w:style>
  <w:style w:type="character" w:customStyle="1" w:styleId="aff0">
    <w:name w:val="Текст Знак"/>
    <w:basedOn w:val="a3"/>
    <w:link w:val="aff"/>
    <w:rsid w:val="00A918D0"/>
    <w:rPr>
      <w:rFonts w:ascii="Courier New" w:eastAsia="Times New Roman" w:hAnsi="Courier New" w:cs="Times New Roman"/>
      <w:sz w:val="24"/>
      <w:szCs w:val="20"/>
      <w:lang w:eastAsia="x-none"/>
    </w:rPr>
  </w:style>
  <w:style w:type="paragraph" w:customStyle="1" w:styleId="15">
    <w:name w:val="Основной текст1"/>
    <w:basedOn w:val="a2"/>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1">
    <w:name w:val="Body Text Indent"/>
    <w:basedOn w:val="a2"/>
    <w:link w:val="aff2"/>
    <w:rsid w:val="00A918D0"/>
    <w:pPr>
      <w:spacing w:after="120" w:line="240" w:lineRule="auto"/>
      <w:ind w:left="283"/>
    </w:pPr>
    <w:rPr>
      <w:rFonts w:eastAsia="Times New Roman"/>
      <w:color w:val="auto"/>
      <w:sz w:val="24"/>
      <w:szCs w:val="24"/>
      <w:lang w:val="x-none" w:eastAsia="x-none"/>
    </w:rPr>
  </w:style>
  <w:style w:type="character" w:customStyle="1" w:styleId="aff2">
    <w:name w:val="Основной текст с отступом Знак"/>
    <w:basedOn w:val="a3"/>
    <w:link w:val="aff1"/>
    <w:rsid w:val="00A918D0"/>
    <w:rPr>
      <w:rFonts w:ascii="Times New Roman" w:eastAsia="Times New Roman" w:hAnsi="Times New Roman" w:cs="Times New Roman"/>
      <w:sz w:val="24"/>
      <w:szCs w:val="24"/>
      <w:lang w:val="x-none" w:eastAsia="x-none"/>
    </w:rPr>
  </w:style>
  <w:style w:type="paragraph" w:styleId="aff3">
    <w:name w:val="caption"/>
    <w:basedOn w:val="a2"/>
    <w:qFormat/>
    <w:rsid w:val="00A918D0"/>
    <w:pPr>
      <w:spacing w:after="0" w:line="240" w:lineRule="auto"/>
      <w:jc w:val="center"/>
    </w:pPr>
    <w:rPr>
      <w:rFonts w:eastAsia="Times New Roman"/>
      <w:b/>
      <w:color w:val="auto"/>
      <w:sz w:val="36"/>
      <w:szCs w:val="20"/>
      <w:lang w:eastAsia="ru-RU"/>
    </w:rPr>
  </w:style>
  <w:style w:type="paragraph" w:customStyle="1" w:styleId="aff4">
    <w:name w:val="Знак Знак Знак Знак"/>
    <w:basedOn w:val="a2"/>
    <w:rsid w:val="00A918D0"/>
    <w:pPr>
      <w:spacing w:after="0" w:line="240" w:lineRule="auto"/>
    </w:pPr>
    <w:rPr>
      <w:rFonts w:ascii="Verdana" w:eastAsia="Times New Roman" w:hAnsi="Verdana"/>
      <w:color w:val="auto"/>
      <w:sz w:val="24"/>
      <w:szCs w:val="24"/>
      <w:lang w:val="en-US"/>
    </w:rPr>
  </w:style>
  <w:style w:type="table" w:styleId="aff5">
    <w:name w:val="Table Grid"/>
    <w:basedOn w:val="a4"/>
    <w:uiPriority w:val="5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2"/>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3"/>
    <w:rsid w:val="00A918D0"/>
  </w:style>
  <w:style w:type="paragraph" w:customStyle="1" w:styleId="CharChar0">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styleId="aff6">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2"/>
    <w:link w:val="aff7"/>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7">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3"/>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2"/>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3"/>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2"/>
    <w:next w:val="a2"/>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2"/>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3"/>
    <w:link w:val="24"/>
    <w:uiPriority w:val="99"/>
    <w:rsid w:val="00A918D0"/>
    <w:rPr>
      <w:rFonts w:ascii="Times New Roman" w:eastAsia="Times New Roman" w:hAnsi="Times New Roman" w:cs="Times New Roman"/>
      <w:sz w:val="24"/>
      <w:szCs w:val="24"/>
      <w:lang w:eastAsia="x-none"/>
    </w:rPr>
  </w:style>
  <w:style w:type="character" w:styleId="aff8">
    <w:name w:val="FollowedHyperlink"/>
    <w:uiPriority w:val="99"/>
    <w:semiHidden/>
    <w:unhideWhenUsed/>
    <w:rsid w:val="00A918D0"/>
    <w:rPr>
      <w:color w:val="800080"/>
      <w:u w:val="single"/>
    </w:rPr>
  </w:style>
  <w:style w:type="paragraph" w:customStyle="1" w:styleId="xl65">
    <w:name w:val="xl65"/>
    <w:basedOn w:val="a2"/>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2"/>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2"/>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2"/>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2"/>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2"/>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2"/>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2"/>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2"/>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2"/>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2"/>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2"/>
    <w:next w:val="a2"/>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2"/>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3"/>
    <w:link w:val="35"/>
    <w:uiPriority w:val="99"/>
    <w:rsid w:val="00A918D0"/>
    <w:rPr>
      <w:rFonts w:ascii="Times New Roman" w:eastAsia="Times New Roman" w:hAnsi="Times New Roman" w:cs="Times New Roman"/>
      <w:sz w:val="16"/>
      <w:szCs w:val="16"/>
      <w:lang w:eastAsia="x-none"/>
    </w:rPr>
  </w:style>
  <w:style w:type="paragraph" w:customStyle="1" w:styleId="affa">
    <w:name w:val="Таблиця цифри"/>
    <w:basedOn w:val="a2"/>
    <w:rsid w:val="00A918D0"/>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2"/>
    <w:rsid w:val="00A918D0"/>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2"/>
    <w:rsid w:val="00A918D0"/>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2"/>
    <w:rsid w:val="00A918D0"/>
    <w:pPr>
      <w:spacing w:before="60" w:after="60" w:line="240" w:lineRule="auto"/>
    </w:pPr>
    <w:rPr>
      <w:rFonts w:eastAsia="Times New Roman"/>
      <w:color w:val="auto"/>
      <w:sz w:val="20"/>
      <w:szCs w:val="24"/>
      <w:lang w:eastAsia="ru-RU"/>
    </w:rPr>
  </w:style>
  <w:style w:type="paragraph" w:styleId="affe">
    <w:name w:val="Title"/>
    <w:basedOn w:val="a2"/>
    <w:link w:val="afff"/>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3"/>
    <w:link w:val="affe"/>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2"/>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2"/>
    <w:rsid w:val="00A918D0"/>
    <w:pPr>
      <w:spacing w:after="0" w:line="240" w:lineRule="auto"/>
      <w:ind w:firstLine="720"/>
      <w:jc w:val="both"/>
    </w:pPr>
    <w:rPr>
      <w:rFonts w:eastAsia="Times New Roman"/>
      <w:color w:val="auto"/>
      <w:sz w:val="24"/>
      <w:szCs w:val="24"/>
      <w:lang w:val="ru-RU"/>
    </w:rPr>
  </w:style>
  <w:style w:type="paragraph" w:styleId="afff0">
    <w:name w:val="List"/>
    <w:basedOn w:val="a2"/>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2"/>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2"/>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2"/>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2"/>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2"/>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2"/>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2"/>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afff1">
    <w:name w:val="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afff2">
    <w:name w:val="Знак Знак Знак Знак"/>
    <w:basedOn w:val="a2"/>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3"/>
    <w:rsid w:val="00A918D0"/>
  </w:style>
  <w:style w:type="character" w:styleId="afff3">
    <w:name w:val="Emphasis"/>
    <w:uiPriority w:val="20"/>
    <w:qFormat/>
    <w:rsid w:val="00A918D0"/>
    <w:rPr>
      <w:i/>
      <w:iCs/>
    </w:rPr>
  </w:style>
  <w:style w:type="paragraph" w:customStyle="1" w:styleId="rvps2">
    <w:name w:val="rvps2"/>
    <w:basedOn w:val="a2"/>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4">
    <w:name w:val="Block Text"/>
    <w:basedOn w:val="a2"/>
    <w:rsid w:val="00A918D0"/>
    <w:pPr>
      <w:spacing w:after="0" w:line="240" w:lineRule="auto"/>
      <w:ind w:left="-108" w:right="-108"/>
      <w:jc w:val="center"/>
    </w:pPr>
    <w:rPr>
      <w:rFonts w:eastAsia="Times New Roman"/>
      <w:b/>
      <w:color w:val="auto"/>
      <w:sz w:val="19"/>
      <w:szCs w:val="20"/>
      <w:lang w:eastAsia="ru-RU"/>
    </w:rPr>
  </w:style>
  <w:style w:type="paragraph" w:customStyle="1" w:styleId="afff5">
    <w:name w:val="Знак Знак Знак Знак Знак Знак Знак"/>
    <w:basedOn w:val="a2"/>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2"/>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2"/>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2"/>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6">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2"/>
    <w:link w:val="afff6"/>
    <w:uiPriority w:val="99"/>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2"/>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2"/>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2"/>
    <w:next w:val="a2"/>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1">
    <w:name w:val="Договор осн текст"/>
    <w:basedOn w:val="a2"/>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7">
    <w:name w:val="Document Map"/>
    <w:basedOn w:val="a2"/>
    <w:link w:val="afff8"/>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3"/>
    <w:link w:val="afff7"/>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2"/>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a">
    <w:name w:val="Subtitle"/>
    <w:basedOn w:val="a2"/>
    <w:link w:val="afffb"/>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3"/>
    <w:link w:val="afffa"/>
    <w:rsid w:val="00A918D0"/>
    <w:rPr>
      <w:rFonts w:ascii="Times New Roman" w:eastAsia="Times New Roman" w:hAnsi="Times New Roman" w:cs="Times New Roman"/>
      <w:b/>
      <w:i/>
      <w:sz w:val="24"/>
      <w:szCs w:val="24"/>
      <w:lang w:val="x-none" w:eastAsia="ru-RU"/>
    </w:rPr>
  </w:style>
  <w:style w:type="paragraph" w:customStyle="1" w:styleId="afffc">
    <w:name w:val="Знак Знак Знак"/>
    <w:basedOn w:val="a2"/>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2"/>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2"/>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2"/>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2"/>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2"/>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2"/>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2"/>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2"/>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d">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
    <w:name w:val="Літерний список"/>
    <w:basedOn w:val="a2"/>
    <w:rsid w:val="00A918D0"/>
    <w:pPr>
      <w:numPr>
        <w:numId w:val="3"/>
      </w:numPr>
      <w:spacing w:after="0" w:line="240" w:lineRule="auto"/>
    </w:pPr>
    <w:rPr>
      <w:rFonts w:eastAsia="Times New Roman"/>
      <w:color w:val="auto"/>
      <w:sz w:val="24"/>
      <w:szCs w:val="20"/>
      <w:lang w:val="en-US"/>
    </w:rPr>
  </w:style>
  <w:style w:type="paragraph" w:customStyle="1" w:styleId="afffe">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
    <w:name w:val="КНЕУ"/>
    <w:basedOn w:val="aff6"/>
    <w:link w:val="affff0"/>
    <w:qFormat/>
    <w:rsid w:val="00A918D0"/>
    <w:pPr>
      <w:spacing w:before="0" w:beforeAutospacing="0" w:after="0" w:afterAutospacing="0"/>
      <w:ind w:firstLine="709"/>
      <w:jc w:val="both"/>
    </w:pPr>
    <w:rPr>
      <w:lang w:val="x-none"/>
    </w:rPr>
  </w:style>
  <w:style w:type="character" w:customStyle="1" w:styleId="affff0">
    <w:name w:val="КНЕУ Знак"/>
    <w:link w:val="affff"/>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semiHidden/>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2"/>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2"/>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1">
    <w:name w:val="Незакрита згадка"/>
    <w:uiPriority w:val="99"/>
    <w:semiHidden/>
    <w:unhideWhenUsed/>
    <w:rsid w:val="00A918D0"/>
    <w:rPr>
      <w:color w:val="605E5C"/>
      <w:shd w:val="clear" w:color="auto" w:fill="E1DFDD"/>
    </w:rPr>
  </w:style>
  <w:style w:type="character" w:customStyle="1" w:styleId="markedcontent">
    <w:name w:val="markedcontent"/>
    <w:basedOn w:val="a3"/>
    <w:rsid w:val="00A918D0"/>
  </w:style>
  <w:style w:type="character" w:customStyle="1" w:styleId="hard-blue-color">
    <w:name w:val="hard-blue-color"/>
    <w:basedOn w:val="a3"/>
    <w:rsid w:val="00A918D0"/>
  </w:style>
  <w:style w:type="character" w:customStyle="1" w:styleId="rvts9">
    <w:name w:val="rvts9"/>
    <w:basedOn w:val="a3"/>
    <w:rsid w:val="00A918D0"/>
  </w:style>
  <w:style w:type="character" w:customStyle="1" w:styleId="WW8Num36z6">
    <w:name w:val="WW8Num36z6"/>
    <w:uiPriority w:val="99"/>
    <w:rsid w:val="00A918D0"/>
  </w:style>
  <w:style w:type="paragraph" w:customStyle="1" w:styleId="tj">
    <w:name w:val="tj"/>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4"/>
    <w:next w:val="aff5"/>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2"/>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5"/>
    <w:rsid w:val="00A918D0"/>
    <w:pPr>
      <w:numPr>
        <w:numId w:val="4"/>
      </w:numPr>
    </w:pPr>
  </w:style>
  <w:style w:type="numbering" w:customStyle="1" w:styleId="WWNum19">
    <w:name w:val="WWNum19"/>
    <w:basedOn w:val="a5"/>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2"/>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2">
    <w:name w:val="Другое_"/>
    <w:link w:val="affff3"/>
    <w:rsid w:val="00A918D0"/>
    <w:rPr>
      <w:shd w:val="clear" w:color="auto" w:fill="FFFFFF"/>
    </w:rPr>
  </w:style>
  <w:style w:type="paragraph" w:customStyle="1" w:styleId="affff3">
    <w:name w:val="Другое"/>
    <w:basedOn w:val="a2"/>
    <w:link w:val="affff2"/>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2"/>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4">
    <w:name w:val="Нормальний текст"/>
    <w:basedOn w:val="a2"/>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2"/>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2"/>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5">
    <w:name w:val="Содержимое таблицы"/>
    <w:basedOn w:val="a2"/>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2"/>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2"/>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2"/>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6">
    <w:name w:val="Date"/>
    <w:basedOn w:val="a2"/>
    <w:link w:val="affff7"/>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7">
    <w:name w:val="Дата Знак"/>
    <w:basedOn w:val="a3"/>
    <w:link w:val="affff6"/>
    <w:rsid w:val="00A918D0"/>
    <w:rPr>
      <w:rFonts w:ascii="Times New Roman" w:eastAsia="Times New Roman" w:hAnsi="Times New Roman" w:cs="Times New Roman"/>
      <w:sz w:val="28"/>
      <w:szCs w:val="20"/>
      <w:lang w:val="en-US" w:eastAsia="x-none"/>
    </w:rPr>
  </w:style>
  <w:style w:type="paragraph" w:customStyle="1" w:styleId="affff8">
    <w:name w:val="Знак Знак Знак Знак Знак Знак Знак Знак"/>
    <w:basedOn w:val="a2"/>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2"/>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2"/>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2"/>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2"/>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2"/>
    <w:next w:val="a2"/>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2"/>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9">
    <w:name w:val="Начальник"/>
    <w:basedOn w:val="a2"/>
    <w:next w:val="affff6"/>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2"/>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2"/>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2"/>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2"/>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2"/>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2"/>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2"/>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2"/>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2"/>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2"/>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2"/>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2"/>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2"/>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2"/>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2"/>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2"/>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2"/>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2"/>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2"/>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2"/>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2"/>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2"/>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2"/>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2"/>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2"/>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2"/>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2"/>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2"/>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2"/>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2"/>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2"/>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2"/>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2"/>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2"/>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2"/>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2"/>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2"/>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2"/>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2"/>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2"/>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2"/>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2"/>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2"/>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2"/>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2"/>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2"/>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2"/>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2"/>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2"/>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2"/>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a">
    <w:name w:val="ДинТекстОбыч"/>
    <w:basedOn w:val="a2"/>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2"/>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2"/>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2"/>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2"/>
    <w:qFormat/>
    <w:rsid w:val="00A918D0"/>
    <w:pPr>
      <w:numPr>
        <w:numId w:val="8"/>
      </w:numPr>
      <w:spacing w:after="0" w:line="240" w:lineRule="auto"/>
      <w:jc w:val="both"/>
    </w:pPr>
    <w:rPr>
      <w:color w:val="auto"/>
      <w:sz w:val="24"/>
      <w:szCs w:val="24"/>
      <w:lang w:eastAsia="ru-RU"/>
    </w:rPr>
  </w:style>
  <w:style w:type="character" w:styleId="affffb">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4"/>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2"/>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2"/>
    <w:next w:val="a2"/>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3"/>
    <w:link w:val="2f1"/>
    <w:uiPriority w:val="29"/>
    <w:rsid w:val="00A918D0"/>
    <w:rPr>
      <w:rFonts w:ascii="Times New Roman" w:eastAsia="Calibri" w:hAnsi="Times New Roman" w:cs="Times New Roman"/>
      <w:i/>
      <w:iCs/>
      <w:color w:val="404040"/>
      <w:sz w:val="28"/>
      <w:lang w:val="ru-RU"/>
    </w:rPr>
  </w:style>
  <w:style w:type="character" w:styleId="affffc">
    <w:name w:val="Intense Emphasis"/>
    <w:uiPriority w:val="21"/>
    <w:qFormat/>
    <w:rsid w:val="00A918D0"/>
    <w:rPr>
      <w:i/>
      <w:iCs/>
      <w:color w:val="2E74B5"/>
    </w:rPr>
  </w:style>
  <w:style w:type="paragraph" w:styleId="affffd">
    <w:name w:val="Intense Quote"/>
    <w:basedOn w:val="a2"/>
    <w:next w:val="a2"/>
    <w:link w:val="affffe"/>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e">
    <w:name w:val="Выделенная цитата Знак"/>
    <w:basedOn w:val="a3"/>
    <w:link w:val="affffd"/>
    <w:uiPriority w:val="30"/>
    <w:rsid w:val="00A918D0"/>
    <w:rPr>
      <w:rFonts w:ascii="Times New Roman" w:eastAsia="Calibri" w:hAnsi="Times New Roman" w:cs="Times New Roman"/>
      <w:i/>
      <w:iCs/>
      <w:color w:val="2E74B5"/>
      <w:sz w:val="28"/>
      <w:lang w:val="ru-RU"/>
    </w:rPr>
  </w:style>
  <w:style w:type="paragraph" w:customStyle="1" w:styleId="xl63">
    <w:name w:val="xl63"/>
    <w:basedOn w:val="a2"/>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5"/>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4"/>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2"/>
    <w:rsid w:val="00A918D0"/>
    <w:pPr>
      <w:spacing w:before="100" w:beforeAutospacing="1" w:after="0" w:line="240" w:lineRule="auto"/>
    </w:pPr>
    <w:rPr>
      <w:rFonts w:eastAsia="Times New Roman"/>
      <w:sz w:val="20"/>
      <w:szCs w:val="20"/>
      <w:lang w:val="ru-RU" w:eastAsia="ru-RU"/>
    </w:rPr>
  </w:style>
  <w:style w:type="character" w:styleId="afffff">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4"/>
    <w:next w:val="aff5"/>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2"/>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2"/>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2"/>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4"/>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2"/>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2"/>
    <w:rsid w:val="00A918D0"/>
    <w:pPr>
      <w:spacing w:before="100" w:beforeAutospacing="1" w:after="100" w:afterAutospacing="1" w:line="240" w:lineRule="auto"/>
    </w:pPr>
    <w:rPr>
      <w:rFonts w:eastAsia="Times New Roman"/>
      <w:b/>
      <w:bCs/>
      <w:color w:val="FF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ols.ietf.org/html/rfc6238" TargetMode="External"/><Relationship Id="rId5" Type="http://schemas.openxmlformats.org/officeDocument/2006/relationships/hyperlink" Target="https://prozorro.gov.ua/uk/tender/UA-2025-10-03-01017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1413</Words>
  <Characters>8059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32</cp:revision>
  <dcterms:created xsi:type="dcterms:W3CDTF">2025-06-13T10:22:00Z</dcterms:created>
  <dcterms:modified xsi:type="dcterms:W3CDTF">2025-10-21T11:23:00Z</dcterms:modified>
</cp:coreProperties>
</file>