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251BB9" w:rsidRPr="00763358" w:rsidRDefault="00251BB9">
            <w:pPr>
              <w:spacing w:after="0" w:line="240" w:lineRule="auto"/>
              <w:jc w:val="both"/>
              <w:rPr>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r w:rsidR="002B2559" w:rsidRPr="002B2559">
              <w:rPr>
                <w:b/>
                <w:bCs/>
                <w:color w:val="000000" w:themeColor="text1"/>
                <w:sz w:val="24"/>
                <w:szCs w:val="24"/>
                <w:lang w:val="ru-RU"/>
              </w:rPr>
              <w:t xml:space="preserve">09310000-5 </w:t>
            </w:r>
            <w:proofErr w:type="spellStart"/>
            <w:r w:rsidR="002B2559" w:rsidRPr="002B2559">
              <w:rPr>
                <w:b/>
                <w:bCs/>
                <w:color w:val="000000" w:themeColor="text1"/>
                <w:sz w:val="24"/>
                <w:szCs w:val="24"/>
                <w:lang w:val="ru-RU"/>
              </w:rPr>
              <w:t>Електрична</w:t>
            </w:r>
            <w:proofErr w:type="spellEnd"/>
            <w:r w:rsidR="002B2559" w:rsidRPr="002B2559">
              <w:rPr>
                <w:b/>
                <w:bCs/>
                <w:color w:val="000000" w:themeColor="text1"/>
                <w:sz w:val="24"/>
                <w:szCs w:val="24"/>
                <w:lang w:val="ru-RU"/>
              </w:rPr>
              <w:t xml:space="preserve"> </w:t>
            </w:r>
            <w:proofErr w:type="spellStart"/>
            <w:r w:rsidR="002B2559" w:rsidRPr="002B2559">
              <w:rPr>
                <w:b/>
                <w:bCs/>
                <w:color w:val="000000" w:themeColor="text1"/>
                <w:sz w:val="24"/>
                <w:szCs w:val="24"/>
                <w:lang w:val="ru-RU"/>
              </w:rPr>
              <w:t>енергія</w:t>
            </w:r>
            <w:proofErr w:type="spellEnd"/>
          </w:p>
          <w:p w:rsidR="00251BB9" w:rsidRPr="003C4DE1" w:rsidRDefault="00251BB9" w:rsidP="00A918D0">
            <w:pPr>
              <w:spacing w:after="0" w:line="240" w:lineRule="auto"/>
              <w:jc w:val="both"/>
              <w:rPr>
                <w:b/>
                <w:bCs/>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2B2559" w:rsidRPr="002B2559">
              <w:rPr>
                <w:bCs/>
                <w:color w:val="000000" w:themeColor="text1"/>
                <w:sz w:val="24"/>
                <w:szCs w:val="24"/>
              </w:rPr>
              <w:t>09310000-5 — Електрична енергія</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r w:rsidR="002B2559">
              <w:rPr>
                <w:b/>
                <w:color w:val="000000" w:themeColor="text1"/>
                <w:sz w:val="24"/>
                <w:szCs w:val="24"/>
                <w:lang w:val="ru-RU"/>
              </w:rPr>
              <w:t>Запит (</w:t>
            </w:r>
            <w:proofErr w:type="spellStart"/>
            <w:r w:rsidR="002B2559">
              <w:rPr>
                <w:b/>
                <w:color w:val="000000" w:themeColor="text1"/>
                <w:sz w:val="24"/>
                <w:szCs w:val="24"/>
                <w:lang w:val="ru-RU"/>
              </w:rPr>
              <w:t>ціни</w:t>
            </w:r>
            <w:proofErr w:type="spellEnd"/>
            <w:r w:rsidR="002B2559">
              <w:rPr>
                <w:b/>
                <w:color w:val="000000" w:themeColor="text1"/>
                <w:sz w:val="24"/>
                <w:szCs w:val="24"/>
                <w:lang w:val="ru-RU"/>
              </w:rPr>
              <w:t xml:space="preserve">) </w:t>
            </w:r>
            <w:proofErr w:type="spellStart"/>
            <w:r w:rsidR="002B2559">
              <w:rPr>
                <w:b/>
                <w:color w:val="000000" w:themeColor="text1"/>
                <w:sz w:val="24"/>
                <w:szCs w:val="24"/>
                <w:lang w:val="ru-RU"/>
              </w:rPr>
              <w:t>пропозицій</w:t>
            </w:r>
            <w:proofErr w:type="spellEnd"/>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2B2559" w:rsidRPr="002B2559">
              <w:rPr>
                <w:b/>
                <w:color w:val="000000" w:themeColor="text1"/>
                <w:sz w:val="24"/>
                <w:szCs w:val="24"/>
                <w:lang w:val="ru-UA"/>
              </w:rPr>
              <w:t>7 749 547,20</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207502">
              <w:rPr>
                <w:b/>
                <w:color w:val="000000" w:themeColor="text1"/>
                <w:sz w:val="24"/>
                <w:szCs w:val="24"/>
                <w:lang w:val="ru-UA"/>
              </w:rPr>
              <w:t>10</w:t>
            </w:r>
            <w:r w:rsidRPr="00AC2344">
              <w:rPr>
                <w:b/>
                <w:color w:val="000000" w:themeColor="text1"/>
                <w:sz w:val="24"/>
                <w:szCs w:val="24"/>
                <w:lang w:val="ru-RU"/>
              </w:rPr>
              <w:t xml:space="preserve"> </w:t>
            </w:r>
            <w:r w:rsidR="003469BD">
              <w:rPr>
                <w:b/>
                <w:color w:val="000000" w:themeColor="text1"/>
                <w:sz w:val="24"/>
                <w:szCs w:val="24"/>
                <w:lang w:val="ru-RU"/>
              </w:rPr>
              <w:t>листопада</w:t>
            </w:r>
            <w:r w:rsidRPr="00304DEC">
              <w:rPr>
                <w:b/>
                <w:color w:val="000000" w:themeColor="text1"/>
                <w:sz w:val="24"/>
                <w:szCs w:val="24"/>
                <w:lang w:val="ru-RU"/>
              </w:rPr>
              <w:t xml:space="preserve"> 2025 року</w:t>
            </w:r>
          </w:p>
          <w:p w:rsidR="007136D2" w:rsidRDefault="00251BB9" w:rsidP="00524EDC">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E13D98">
              <w:rPr>
                <w:color w:val="000000" w:themeColor="text1"/>
                <w:sz w:val="24"/>
                <w:szCs w:val="24"/>
                <w:lang w:val="ru-RU"/>
              </w:rPr>
              <w:t>:</w:t>
            </w:r>
            <w:r w:rsidRPr="00515C81">
              <w:rPr>
                <w:sz w:val="24"/>
                <w:szCs w:val="24"/>
                <w:lang w:val="ru-RU"/>
              </w:rPr>
              <w:t xml:space="preserve"> </w:t>
            </w:r>
            <w:hyperlink r:id="rId5" w:history="1">
              <w:r w:rsidR="002B2559" w:rsidRPr="002B2559">
                <w:rPr>
                  <w:rStyle w:val="a6"/>
                  <w:sz w:val="24"/>
                  <w:szCs w:val="24"/>
                </w:rPr>
                <w:t>https://prozorro.gov.ua/uk/tender/UA-2025-11-10-010493-a</w:t>
              </w:r>
            </w:hyperlink>
          </w:p>
          <w:p w:rsidR="00524EDC" w:rsidRPr="00304DEC" w:rsidRDefault="00524EDC" w:rsidP="00524EDC">
            <w:pPr>
              <w:spacing w:after="0" w:line="240" w:lineRule="auto"/>
              <w:rPr>
                <w:sz w:val="24"/>
                <w:szCs w:val="24"/>
                <w:lang w:val="ru-RU"/>
              </w:rPr>
            </w:pPr>
          </w:p>
        </w:tc>
      </w:tr>
    </w:tbl>
    <w:p w:rsidR="00AC2344" w:rsidRPr="007136D2" w:rsidRDefault="00AC2344" w:rsidP="007136D2">
      <w:pPr>
        <w:spacing w:after="0" w:line="240" w:lineRule="auto"/>
        <w:ind w:left="291" w:right="-23"/>
        <w:jc w:val="center"/>
        <w:rPr>
          <w:rFonts w:eastAsia="Arial"/>
          <w:b/>
          <w:bCs/>
          <w:sz w:val="24"/>
          <w:szCs w:val="24"/>
        </w:rPr>
      </w:pPr>
    </w:p>
    <w:p w:rsidR="007136D2" w:rsidRPr="00207502" w:rsidRDefault="007136D2" w:rsidP="00207502">
      <w:pPr>
        <w:spacing w:after="0" w:line="240" w:lineRule="auto"/>
        <w:jc w:val="center"/>
        <w:rPr>
          <w:b/>
          <w:noProof/>
          <w:sz w:val="24"/>
          <w:szCs w:val="24"/>
        </w:rPr>
      </w:pPr>
      <w:r w:rsidRPr="00207502">
        <w:rPr>
          <w:b/>
          <w:noProof/>
          <w:sz w:val="24"/>
          <w:szCs w:val="24"/>
        </w:rPr>
        <w:t>ІНФОРМАЦІЯ ПРО НЕОБХІДНІ ТЕХНІЧНІ, ЯКІСНІ ТА КІЛЬКІСНІ ХАРАКТЕРИСТИКИ ПРЕДМЕТА ЗАКУПІВЛІ</w:t>
      </w:r>
    </w:p>
    <w:p w:rsidR="002B2559" w:rsidRPr="002B2559" w:rsidRDefault="002B2559" w:rsidP="002B2559">
      <w:pPr>
        <w:pStyle w:val="a9"/>
        <w:numPr>
          <w:ilvl w:val="0"/>
          <w:numId w:val="19"/>
        </w:numPr>
        <w:contextualSpacing/>
        <w:jc w:val="both"/>
        <w:rPr>
          <w:rFonts w:ascii="Times New Roman" w:hAnsi="Times New Roman"/>
          <w:b/>
          <w:sz w:val="24"/>
          <w:szCs w:val="24"/>
          <w:lang w:eastAsia="ru-RU"/>
        </w:rPr>
      </w:pPr>
      <w:proofErr w:type="spellStart"/>
      <w:r w:rsidRPr="002B2559">
        <w:rPr>
          <w:rFonts w:ascii="Times New Roman" w:hAnsi="Times New Roman"/>
          <w:b/>
          <w:sz w:val="24"/>
          <w:szCs w:val="24"/>
          <w:lang w:eastAsia="ru-RU"/>
        </w:rPr>
        <w:t>Інформація</w:t>
      </w:r>
      <w:proofErr w:type="spellEnd"/>
      <w:r w:rsidRPr="002B2559">
        <w:rPr>
          <w:rFonts w:ascii="Times New Roman" w:hAnsi="Times New Roman"/>
          <w:b/>
          <w:sz w:val="24"/>
          <w:szCs w:val="24"/>
          <w:lang w:eastAsia="ru-RU"/>
        </w:rPr>
        <w:t xml:space="preserve"> про предмет закупівлі</w:t>
      </w:r>
    </w:p>
    <w:p w:rsidR="002B2559" w:rsidRPr="002B2559" w:rsidRDefault="002B2559" w:rsidP="002B2559">
      <w:pPr>
        <w:pStyle w:val="a9"/>
        <w:numPr>
          <w:ilvl w:val="0"/>
          <w:numId w:val="19"/>
        </w:numPr>
        <w:contextualSpacing/>
        <w:jc w:val="both"/>
        <w:rPr>
          <w:rFonts w:ascii="Times New Roman" w:hAnsi="Times New Roman"/>
          <w:b/>
          <w:sz w:val="24"/>
          <w:szCs w:val="24"/>
          <w:lang w:eastAsia="ru-RU"/>
        </w:rPr>
      </w:pPr>
      <w:r w:rsidRPr="002B2559">
        <w:rPr>
          <w:rFonts w:ascii="Times New Roman" w:hAnsi="Times New Roman"/>
          <w:b/>
          <w:sz w:val="24"/>
          <w:szCs w:val="24"/>
          <w:lang w:eastAsia="ru-RU"/>
        </w:rPr>
        <w:t>Вид предмету закупівлі:</w:t>
      </w:r>
      <w:r>
        <w:rPr>
          <w:rFonts w:ascii="Times New Roman" w:hAnsi="Times New Roman"/>
          <w:b/>
          <w:sz w:val="24"/>
          <w:szCs w:val="24"/>
          <w:lang w:val="uk-UA" w:eastAsia="ru-RU"/>
        </w:rPr>
        <w:t xml:space="preserve"> </w:t>
      </w:r>
      <w:proofErr w:type="spellStart"/>
      <w:r w:rsidRPr="002B2559">
        <w:rPr>
          <w:rFonts w:ascii="Times New Roman" w:hAnsi="Times New Roman"/>
          <w:b/>
          <w:sz w:val="24"/>
          <w:szCs w:val="24"/>
          <w:lang w:eastAsia="ru-RU"/>
        </w:rPr>
        <w:t>товари</w:t>
      </w:r>
      <w:proofErr w:type="spellEnd"/>
    </w:p>
    <w:p w:rsidR="002B2559" w:rsidRDefault="002B2559" w:rsidP="002B2559">
      <w:pPr>
        <w:pStyle w:val="a9"/>
        <w:numPr>
          <w:ilvl w:val="0"/>
          <w:numId w:val="19"/>
        </w:numPr>
        <w:contextualSpacing/>
        <w:jc w:val="both"/>
        <w:rPr>
          <w:rFonts w:ascii="Times New Roman" w:hAnsi="Times New Roman"/>
          <w:b/>
          <w:sz w:val="24"/>
          <w:szCs w:val="24"/>
          <w:lang w:eastAsia="ru-RU"/>
        </w:rPr>
      </w:pPr>
      <w:proofErr w:type="spellStart"/>
      <w:r w:rsidRPr="002B2559">
        <w:rPr>
          <w:rFonts w:ascii="Times New Roman" w:hAnsi="Times New Roman"/>
          <w:b/>
          <w:sz w:val="24"/>
          <w:szCs w:val="24"/>
          <w:lang w:eastAsia="ru-RU"/>
        </w:rPr>
        <w:t>Класифікатор</w:t>
      </w:r>
      <w:proofErr w:type="spellEnd"/>
      <w:r w:rsidRPr="002B2559">
        <w:rPr>
          <w:rFonts w:ascii="Times New Roman" w:hAnsi="Times New Roman"/>
          <w:b/>
          <w:sz w:val="24"/>
          <w:szCs w:val="24"/>
          <w:lang w:eastAsia="ru-RU"/>
        </w:rPr>
        <w:t xml:space="preserve"> та </w:t>
      </w:r>
      <w:proofErr w:type="spellStart"/>
      <w:r w:rsidRPr="002B2559">
        <w:rPr>
          <w:rFonts w:ascii="Times New Roman" w:hAnsi="Times New Roman"/>
          <w:b/>
          <w:sz w:val="24"/>
          <w:szCs w:val="24"/>
          <w:lang w:eastAsia="ru-RU"/>
        </w:rPr>
        <w:t>його</w:t>
      </w:r>
      <w:proofErr w:type="spellEnd"/>
      <w:r w:rsidRPr="002B2559">
        <w:rPr>
          <w:rFonts w:ascii="Times New Roman" w:hAnsi="Times New Roman"/>
          <w:b/>
          <w:sz w:val="24"/>
          <w:szCs w:val="24"/>
          <w:lang w:eastAsia="ru-RU"/>
        </w:rPr>
        <w:t xml:space="preserve"> </w:t>
      </w:r>
      <w:proofErr w:type="spellStart"/>
      <w:r w:rsidRPr="002B2559">
        <w:rPr>
          <w:rFonts w:ascii="Times New Roman" w:hAnsi="Times New Roman"/>
          <w:b/>
          <w:sz w:val="24"/>
          <w:szCs w:val="24"/>
          <w:lang w:eastAsia="ru-RU"/>
        </w:rPr>
        <w:t>відповідний</w:t>
      </w:r>
      <w:proofErr w:type="spellEnd"/>
      <w:r w:rsidRPr="002B2559">
        <w:rPr>
          <w:rFonts w:ascii="Times New Roman" w:hAnsi="Times New Roman"/>
          <w:b/>
          <w:sz w:val="24"/>
          <w:szCs w:val="24"/>
          <w:lang w:eastAsia="ru-RU"/>
        </w:rPr>
        <w:t xml:space="preserve"> код:</w:t>
      </w:r>
      <w:r>
        <w:rPr>
          <w:rFonts w:ascii="Times New Roman" w:hAnsi="Times New Roman"/>
          <w:b/>
          <w:sz w:val="24"/>
          <w:szCs w:val="24"/>
          <w:lang w:val="uk-UA" w:eastAsia="ru-RU"/>
        </w:rPr>
        <w:t xml:space="preserve"> </w:t>
      </w:r>
      <w:r w:rsidRPr="002B2559">
        <w:rPr>
          <w:rFonts w:ascii="Times New Roman" w:hAnsi="Times New Roman"/>
          <w:b/>
          <w:sz w:val="24"/>
          <w:szCs w:val="24"/>
          <w:lang w:eastAsia="ru-RU"/>
        </w:rPr>
        <w:t xml:space="preserve">ДК 021:2015: 09310000-5 — </w:t>
      </w:r>
      <w:proofErr w:type="spellStart"/>
      <w:r w:rsidRPr="002B2559">
        <w:rPr>
          <w:rFonts w:ascii="Times New Roman" w:hAnsi="Times New Roman"/>
          <w:b/>
          <w:sz w:val="24"/>
          <w:szCs w:val="24"/>
          <w:lang w:eastAsia="ru-RU"/>
        </w:rPr>
        <w:t>Електрична</w:t>
      </w:r>
      <w:proofErr w:type="spellEnd"/>
      <w:r w:rsidRPr="002B2559">
        <w:rPr>
          <w:rFonts w:ascii="Times New Roman" w:hAnsi="Times New Roman"/>
          <w:b/>
          <w:sz w:val="24"/>
          <w:szCs w:val="24"/>
          <w:lang w:eastAsia="ru-RU"/>
        </w:rPr>
        <w:t xml:space="preserve"> </w:t>
      </w:r>
      <w:proofErr w:type="spellStart"/>
      <w:r w:rsidRPr="002B2559">
        <w:rPr>
          <w:rFonts w:ascii="Times New Roman" w:hAnsi="Times New Roman"/>
          <w:b/>
          <w:sz w:val="24"/>
          <w:szCs w:val="24"/>
          <w:lang w:eastAsia="ru-RU"/>
        </w:rPr>
        <w:t>енергія</w:t>
      </w:r>
      <w:proofErr w:type="spellEnd"/>
    </w:p>
    <w:p w:rsidR="002B2559" w:rsidRDefault="002B2559" w:rsidP="002B2559">
      <w:pPr>
        <w:pStyle w:val="a9"/>
        <w:ind w:left="927"/>
        <w:contextualSpacing/>
        <w:jc w:val="both"/>
        <w:rPr>
          <w:rFonts w:ascii="Times New Roman" w:hAnsi="Times New Roman"/>
          <w:b/>
          <w:sz w:val="24"/>
          <w:szCs w:val="24"/>
          <w:lang w:eastAsia="ru-RU"/>
        </w:rPr>
      </w:pP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2"/>
        <w:gridCol w:w="2135"/>
        <w:gridCol w:w="2513"/>
        <w:gridCol w:w="2470"/>
        <w:gridCol w:w="2098"/>
      </w:tblGrid>
      <w:tr w:rsidR="002B2559" w:rsidRPr="002B2559" w:rsidTr="002B2559">
        <w:trPr>
          <w:tblHeader/>
        </w:trPr>
        <w:tc>
          <w:tcPr>
            <w:tcW w:w="1262" w:type="dxa"/>
            <w:shd w:val="clear" w:color="auto" w:fill="FFFFFF"/>
            <w:tcMar>
              <w:top w:w="180" w:type="dxa"/>
              <w:left w:w="0" w:type="dxa"/>
              <w:bottom w:w="180" w:type="dxa"/>
              <w:right w:w="120" w:type="dxa"/>
            </w:tcMar>
            <w:vAlign w:val="center"/>
            <w:hideMark/>
          </w:tcPr>
          <w:p w:rsidR="002B2559" w:rsidRPr="002B2559" w:rsidRDefault="002B2559" w:rsidP="002B2559">
            <w:pPr>
              <w:spacing w:line="240" w:lineRule="auto"/>
              <w:rPr>
                <w:rFonts w:eastAsia="Times New Roman"/>
                <w:b/>
                <w:bCs/>
                <w:color w:val="242638"/>
                <w:sz w:val="24"/>
                <w:szCs w:val="24"/>
                <w:lang w:val="en-US"/>
              </w:rPr>
            </w:pPr>
            <w:proofErr w:type="spellStart"/>
            <w:r w:rsidRPr="002B2559">
              <w:rPr>
                <w:rFonts w:eastAsia="Times New Roman"/>
                <w:b/>
                <w:bCs/>
                <w:color w:val="242638"/>
                <w:sz w:val="24"/>
                <w:szCs w:val="24"/>
                <w:lang w:val="en-US"/>
              </w:rPr>
              <w:t>Назва</w:t>
            </w:r>
            <w:proofErr w:type="spellEnd"/>
          </w:p>
        </w:tc>
        <w:tc>
          <w:tcPr>
            <w:tcW w:w="2135" w:type="dxa"/>
            <w:shd w:val="clear" w:color="auto" w:fill="FFFFFF"/>
            <w:tcMar>
              <w:top w:w="180" w:type="dxa"/>
              <w:left w:w="120" w:type="dxa"/>
              <w:bottom w:w="180" w:type="dxa"/>
              <w:right w:w="120" w:type="dxa"/>
            </w:tcMar>
            <w:vAlign w:val="center"/>
            <w:hideMark/>
          </w:tcPr>
          <w:p w:rsidR="002B2559" w:rsidRPr="002B2559" w:rsidRDefault="002B2559" w:rsidP="002B2559">
            <w:pPr>
              <w:spacing w:line="240" w:lineRule="auto"/>
              <w:rPr>
                <w:rFonts w:eastAsia="Times New Roman"/>
                <w:b/>
                <w:bCs/>
                <w:color w:val="242638"/>
                <w:sz w:val="24"/>
                <w:szCs w:val="24"/>
                <w:lang w:val="ru-RU"/>
              </w:rPr>
            </w:pPr>
            <w:proofErr w:type="spellStart"/>
            <w:r w:rsidRPr="002B2559">
              <w:rPr>
                <w:rFonts w:eastAsia="Times New Roman"/>
                <w:b/>
                <w:bCs/>
                <w:color w:val="242638"/>
                <w:sz w:val="24"/>
                <w:szCs w:val="24"/>
                <w:lang w:val="ru-RU"/>
              </w:rPr>
              <w:t>Класифікатор</w:t>
            </w:r>
            <w:proofErr w:type="spellEnd"/>
            <w:r w:rsidRPr="002B2559">
              <w:rPr>
                <w:rFonts w:eastAsia="Times New Roman"/>
                <w:b/>
                <w:bCs/>
                <w:color w:val="242638"/>
                <w:sz w:val="24"/>
                <w:szCs w:val="24"/>
                <w:lang w:val="ru-RU"/>
              </w:rPr>
              <w:t xml:space="preserve"> та </w:t>
            </w:r>
            <w:proofErr w:type="spellStart"/>
            <w:r w:rsidRPr="002B2559">
              <w:rPr>
                <w:rFonts w:eastAsia="Times New Roman"/>
                <w:b/>
                <w:bCs/>
                <w:color w:val="242638"/>
                <w:sz w:val="24"/>
                <w:szCs w:val="24"/>
                <w:lang w:val="ru-RU"/>
              </w:rPr>
              <w:t>його</w:t>
            </w:r>
            <w:proofErr w:type="spellEnd"/>
            <w:r w:rsidRPr="002B2559">
              <w:rPr>
                <w:rFonts w:eastAsia="Times New Roman"/>
                <w:b/>
                <w:bCs/>
                <w:color w:val="242638"/>
                <w:sz w:val="24"/>
                <w:szCs w:val="24"/>
                <w:lang w:val="ru-RU"/>
              </w:rPr>
              <w:t xml:space="preserve"> </w:t>
            </w:r>
            <w:proofErr w:type="spellStart"/>
            <w:r w:rsidRPr="002B2559">
              <w:rPr>
                <w:rFonts w:eastAsia="Times New Roman"/>
                <w:b/>
                <w:bCs/>
                <w:color w:val="242638"/>
                <w:sz w:val="24"/>
                <w:szCs w:val="24"/>
                <w:lang w:val="ru-RU"/>
              </w:rPr>
              <w:t>відповідний</w:t>
            </w:r>
            <w:proofErr w:type="spellEnd"/>
            <w:r w:rsidRPr="002B2559">
              <w:rPr>
                <w:rFonts w:eastAsia="Times New Roman"/>
                <w:b/>
                <w:bCs/>
                <w:color w:val="242638"/>
                <w:sz w:val="24"/>
                <w:szCs w:val="24"/>
                <w:lang w:val="ru-RU"/>
              </w:rPr>
              <w:t xml:space="preserve"> код</w:t>
            </w:r>
          </w:p>
        </w:tc>
        <w:tc>
          <w:tcPr>
            <w:tcW w:w="2513" w:type="dxa"/>
            <w:shd w:val="clear" w:color="auto" w:fill="FFFFFF"/>
            <w:tcMar>
              <w:top w:w="180" w:type="dxa"/>
              <w:left w:w="120" w:type="dxa"/>
              <w:bottom w:w="180" w:type="dxa"/>
              <w:right w:w="120" w:type="dxa"/>
            </w:tcMar>
            <w:vAlign w:val="center"/>
            <w:hideMark/>
          </w:tcPr>
          <w:p w:rsidR="002B2559" w:rsidRPr="002B2559" w:rsidRDefault="002B2559" w:rsidP="002B2559">
            <w:pPr>
              <w:spacing w:line="240" w:lineRule="auto"/>
              <w:rPr>
                <w:rFonts w:eastAsia="Times New Roman"/>
                <w:b/>
                <w:bCs/>
                <w:color w:val="242638"/>
                <w:sz w:val="24"/>
                <w:szCs w:val="24"/>
                <w:lang w:val="en-US"/>
              </w:rPr>
            </w:pPr>
            <w:proofErr w:type="spellStart"/>
            <w:r w:rsidRPr="002B2559">
              <w:rPr>
                <w:rFonts w:eastAsia="Times New Roman"/>
                <w:b/>
                <w:bCs/>
                <w:color w:val="242638"/>
                <w:sz w:val="24"/>
                <w:szCs w:val="24"/>
                <w:lang w:val="en-US"/>
              </w:rPr>
              <w:t>Кількість</w:t>
            </w:r>
            <w:proofErr w:type="spellEnd"/>
            <w:r w:rsidRPr="002B2559">
              <w:rPr>
                <w:rFonts w:eastAsia="Times New Roman"/>
                <w:b/>
                <w:bCs/>
                <w:color w:val="242638"/>
                <w:sz w:val="24"/>
                <w:szCs w:val="24"/>
                <w:lang w:val="en-US"/>
              </w:rPr>
              <w:t>/</w:t>
            </w:r>
            <w:proofErr w:type="spellStart"/>
            <w:r w:rsidRPr="002B2559">
              <w:rPr>
                <w:rFonts w:eastAsia="Times New Roman"/>
                <w:b/>
                <w:bCs/>
                <w:color w:val="242638"/>
                <w:sz w:val="24"/>
                <w:szCs w:val="24"/>
                <w:lang w:val="en-US"/>
              </w:rPr>
              <w:t>Одиниці</w:t>
            </w:r>
            <w:proofErr w:type="spellEnd"/>
            <w:r w:rsidRPr="002B2559">
              <w:rPr>
                <w:rFonts w:eastAsia="Times New Roman"/>
                <w:b/>
                <w:bCs/>
                <w:color w:val="242638"/>
                <w:sz w:val="24"/>
                <w:szCs w:val="24"/>
                <w:lang w:val="en-US"/>
              </w:rPr>
              <w:t xml:space="preserve"> </w:t>
            </w:r>
            <w:proofErr w:type="spellStart"/>
            <w:r w:rsidRPr="002B2559">
              <w:rPr>
                <w:rFonts w:eastAsia="Times New Roman"/>
                <w:b/>
                <w:bCs/>
                <w:color w:val="242638"/>
                <w:sz w:val="24"/>
                <w:szCs w:val="24"/>
                <w:lang w:val="en-US"/>
              </w:rPr>
              <w:t>виміру</w:t>
            </w:r>
            <w:proofErr w:type="spellEnd"/>
          </w:p>
        </w:tc>
        <w:tc>
          <w:tcPr>
            <w:tcW w:w="2470" w:type="dxa"/>
            <w:shd w:val="clear" w:color="auto" w:fill="FFFFFF"/>
            <w:tcMar>
              <w:top w:w="180" w:type="dxa"/>
              <w:left w:w="120" w:type="dxa"/>
              <w:bottom w:w="180" w:type="dxa"/>
              <w:right w:w="120" w:type="dxa"/>
            </w:tcMar>
            <w:vAlign w:val="center"/>
            <w:hideMark/>
          </w:tcPr>
          <w:p w:rsidR="002B2559" w:rsidRPr="002B2559" w:rsidRDefault="002B2559" w:rsidP="002B2559">
            <w:pPr>
              <w:spacing w:line="240" w:lineRule="auto"/>
              <w:rPr>
                <w:rFonts w:eastAsia="Times New Roman"/>
                <w:b/>
                <w:bCs/>
                <w:color w:val="242638"/>
                <w:sz w:val="24"/>
                <w:szCs w:val="24"/>
                <w:lang w:val="en-US"/>
              </w:rPr>
            </w:pPr>
            <w:proofErr w:type="spellStart"/>
            <w:r w:rsidRPr="002B2559">
              <w:rPr>
                <w:rFonts w:eastAsia="Times New Roman"/>
                <w:b/>
                <w:bCs/>
                <w:color w:val="242638"/>
                <w:sz w:val="24"/>
                <w:szCs w:val="24"/>
                <w:lang w:val="en-US"/>
              </w:rPr>
              <w:t>Місце</w:t>
            </w:r>
            <w:proofErr w:type="spellEnd"/>
            <w:r w:rsidRPr="002B2559">
              <w:rPr>
                <w:rFonts w:eastAsia="Times New Roman"/>
                <w:b/>
                <w:bCs/>
                <w:color w:val="242638"/>
                <w:sz w:val="24"/>
                <w:szCs w:val="24"/>
                <w:lang w:val="en-US"/>
              </w:rPr>
              <w:t xml:space="preserve"> </w:t>
            </w:r>
            <w:proofErr w:type="spellStart"/>
            <w:r w:rsidRPr="002B2559">
              <w:rPr>
                <w:rFonts w:eastAsia="Times New Roman"/>
                <w:b/>
                <w:bCs/>
                <w:color w:val="242638"/>
                <w:sz w:val="24"/>
                <w:szCs w:val="24"/>
                <w:lang w:val="en-US"/>
              </w:rPr>
              <w:t>поставки</w:t>
            </w:r>
            <w:proofErr w:type="spellEnd"/>
          </w:p>
        </w:tc>
        <w:tc>
          <w:tcPr>
            <w:tcW w:w="0" w:type="auto"/>
            <w:shd w:val="clear" w:color="auto" w:fill="FFFFFF"/>
            <w:tcMar>
              <w:top w:w="180" w:type="dxa"/>
              <w:left w:w="120" w:type="dxa"/>
              <w:bottom w:w="180" w:type="dxa"/>
              <w:right w:w="0" w:type="dxa"/>
            </w:tcMar>
            <w:vAlign w:val="center"/>
            <w:hideMark/>
          </w:tcPr>
          <w:p w:rsidR="002B2559" w:rsidRPr="002B2559" w:rsidRDefault="002B2559" w:rsidP="002B2559">
            <w:pPr>
              <w:spacing w:line="240" w:lineRule="auto"/>
              <w:rPr>
                <w:rFonts w:eastAsia="Times New Roman"/>
                <w:b/>
                <w:bCs/>
                <w:color w:val="242638"/>
                <w:sz w:val="24"/>
                <w:szCs w:val="24"/>
                <w:lang w:val="en-US"/>
              </w:rPr>
            </w:pPr>
            <w:proofErr w:type="spellStart"/>
            <w:r w:rsidRPr="002B2559">
              <w:rPr>
                <w:rFonts w:eastAsia="Times New Roman"/>
                <w:b/>
                <w:bCs/>
                <w:color w:val="242638"/>
                <w:sz w:val="24"/>
                <w:szCs w:val="24"/>
                <w:lang w:val="en-US"/>
              </w:rPr>
              <w:t>Дата</w:t>
            </w:r>
            <w:proofErr w:type="spellEnd"/>
            <w:r w:rsidRPr="002B2559">
              <w:rPr>
                <w:rFonts w:eastAsia="Times New Roman"/>
                <w:b/>
                <w:bCs/>
                <w:color w:val="242638"/>
                <w:sz w:val="24"/>
                <w:szCs w:val="24"/>
                <w:lang w:val="en-US"/>
              </w:rPr>
              <w:t xml:space="preserve"> </w:t>
            </w:r>
            <w:proofErr w:type="spellStart"/>
            <w:r w:rsidRPr="002B2559">
              <w:rPr>
                <w:rFonts w:eastAsia="Times New Roman"/>
                <w:b/>
                <w:bCs/>
                <w:color w:val="242638"/>
                <w:sz w:val="24"/>
                <w:szCs w:val="24"/>
                <w:lang w:val="en-US"/>
              </w:rPr>
              <w:t>доставки</w:t>
            </w:r>
            <w:proofErr w:type="spellEnd"/>
          </w:p>
        </w:tc>
      </w:tr>
      <w:tr w:rsidR="002B2559" w:rsidRPr="002B2559" w:rsidTr="002B2559">
        <w:trPr>
          <w:trHeight w:val="637"/>
        </w:trPr>
        <w:tc>
          <w:tcPr>
            <w:tcW w:w="1262" w:type="dxa"/>
            <w:shd w:val="clear" w:color="auto" w:fill="FFFFFF"/>
            <w:tcMar>
              <w:top w:w="240" w:type="dxa"/>
              <w:left w:w="0" w:type="dxa"/>
              <w:bottom w:w="240" w:type="dxa"/>
              <w:right w:w="60" w:type="dxa"/>
            </w:tcMar>
            <w:hideMark/>
          </w:tcPr>
          <w:p w:rsidR="002B2559" w:rsidRPr="002B2559" w:rsidRDefault="002B2559" w:rsidP="002B2559">
            <w:pPr>
              <w:spacing w:line="240" w:lineRule="auto"/>
              <w:rPr>
                <w:rFonts w:eastAsia="Times New Roman"/>
                <w:color w:val="242638"/>
                <w:sz w:val="24"/>
                <w:szCs w:val="24"/>
                <w:lang w:val="en-US"/>
              </w:rPr>
            </w:pPr>
            <w:proofErr w:type="spellStart"/>
            <w:r w:rsidRPr="002B2559">
              <w:rPr>
                <w:rFonts w:eastAsia="Times New Roman"/>
                <w:color w:val="242638"/>
                <w:sz w:val="24"/>
                <w:szCs w:val="24"/>
                <w:lang w:val="en-US"/>
              </w:rPr>
              <w:t>Електрична</w:t>
            </w:r>
            <w:proofErr w:type="spellEnd"/>
            <w:r w:rsidRPr="002B2559">
              <w:rPr>
                <w:rFonts w:eastAsia="Times New Roman"/>
                <w:color w:val="242638"/>
                <w:sz w:val="24"/>
                <w:szCs w:val="24"/>
                <w:lang w:val="en-US"/>
              </w:rPr>
              <w:t xml:space="preserve"> </w:t>
            </w:r>
            <w:proofErr w:type="spellStart"/>
            <w:r w:rsidRPr="002B2559">
              <w:rPr>
                <w:rFonts w:eastAsia="Times New Roman"/>
                <w:color w:val="242638"/>
                <w:sz w:val="24"/>
                <w:szCs w:val="24"/>
                <w:lang w:val="en-US"/>
              </w:rPr>
              <w:t>енергія</w:t>
            </w:r>
            <w:proofErr w:type="spellEnd"/>
            <w:r w:rsidRPr="002B2559">
              <w:rPr>
                <w:rFonts w:eastAsia="Times New Roman"/>
                <w:color w:val="242638"/>
                <w:sz w:val="24"/>
                <w:szCs w:val="24"/>
                <w:lang w:val="en-US"/>
              </w:rPr>
              <w:t xml:space="preserve">, </w:t>
            </w:r>
            <w:proofErr w:type="spellStart"/>
            <w:r w:rsidRPr="002B2559">
              <w:rPr>
                <w:rFonts w:eastAsia="Times New Roman"/>
                <w:color w:val="242638"/>
                <w:sz w:val="24"/>
                <w:szCs w:val="24"/>
                <w:lang w:val="en-US"/>
              </w:rPr>
              <w:t>без</w:t>
            </w:r>
            <w:proofErr w:type="spellEnd"/>
            <w:r w:rsidRPr="002B2559">
              <w:rPr>
                <w:rFonts w:eastAsia="Times New Roman"/>
                <w:color w:val="242638"/>
                <w:sz w:val="24"/>
                <w:szCs w:val="24"/>
                <w:lang w:val="en-US"/>
              </w:rPr>
              <w:t xml:space="preserve"> </w:t>
            </w:r>
            <w:proofErr w:type="spellStart"/>
            <w:r w:rsidRPr="002B2559">
              <w:rPr>
                <w:rFonts w:eastAsia="Times New Roman"/>
                <w:color w:val="242638"/>
                <w:sz w:val="24"/>
                <w:szCs w:val="24"/>
                <w:lang w:val="en-US"/>
              </w:rPr>
              <w:t>розпод</w:t>
            </w:r>
            <w:bookmarkStart w:id="0" w:name="_GoBack"/>
            <w:bookmarkEnd w:id="0"/>
            <w:r w:rsidRPr="002B2559">
              <w:rPr>
                <w:rFonts w:eastAsia="Times New Roman"/>
                <w:color w:val="242638"/>
                <w:sz w:val="24"/>
                <w:szCs w:val="24"/>
                <w:lang w:val="en-US"/>
              </w:rPr>
              <w:t>ілу</w:t>
            </w:r>
            <w:proofErr w:type="spellEnd"/>
          </w:p>
        </w:tc>
        <w:tc>
          <w:tcPr>
            <w:tcW w:w="2135" w:type="dxa"/>
            <w:shd w:val="clear" w:color="auto" w:fill="FFFFFF"/>
            <w:tcMar>
              <w:top w:w="240" w:type="dxa"/>
              <w:left w:w="120" w:type="dxa"/>
              <w:bottom w:w="240" w:type="dxa"/>
              <w:right w:w="60" w:type="dxa"/>
            </w:tcMar>
            <w:hideMark/>
          </w:tcPr>
          <w:p w:rsidR="002B2559" w:rsidRPr="002B2559" w:rsidRDefault="002B2559" w:rsidP="002B2559">
            <w:pPr>
              <w:spacing w:line="240" w:lineRule="auto"/>
              <w:rPr>
                <w:rFonts w:eastAsia="Times New Roman"/>
                <w:color w:val="242638"/>
                <w:sz w:val="24"/>
                <w:szCs w:val="24"/>
                <w:lang w:val="en-US"/>
              </w:rPr>
            </w:pPr>
            <w:r w:rsidRPr="002B2559">
              <w:rPr>
                <w:rFonts w:eastAsia="Times New Roman"/>
                <w:color w:val="242638"/>
                <w:sz w:val="24"/>
                <w:szCs w:val="24"/>
                <w:lang w:val="en-US"/>
              </w:rPr>
              <w:t xml:space="preserve">ДК 021:2015: 09310000-5 — </w:t>
            </w:r>
            <w:proofErr w:type="spellStart"/>
            <w:r w:rsidRPr="002B2559">
              <w:rPr>
                <w:rFonts w:eastAsia="Times New Roman"/>
                <w:color w:val="242638"/>
                <w:sz w:val="24"/>
                <w:szCs w:val="24"/>
                <w:lang w:val="en-US"/>
              </w:rPr>
              <w:t>Електрична</w:t>
            </w:r>
            <w:proofErr w:type="spellEnd"/>
            <w:r w:rsidRPr="002B2559">
              <w:rPr>
                <w:rFonts w:eastAsia="Times New Roman"/>
                <w:color w:val="242638"/>
                <w:sz w:val="24"/>
                <w:szCs w:val="24"/>
                <w:lang w:val="en-US"/>
              </w:rPr>
              <w:t xml:space="preserve"> </w:t>
            </w:r>
            <w:proofErr w:type="spellStart"/>
            <w:r w:rsidRPr="002B2559">
              <w:rPr>
                <w:rFonts w:eastAsia="Times New Roman"/>
                <w:color w:val="242638"/>
                <w:sz w:val="24"/>
                <w:szCs w:val="24"/>
                <w:lang w:val="en-US"/>
              </w:rPr>
              <w:t>енергія</w:t>
            </w:r>
            <w:proofErr w:type="spellEnd"/>
          </w:p>
        </w:tc>
        <w:tc>
          <w:tcPr>
            <w:tcW w:w="2513" w:type="dxa"/>
            <w:shd w:val="clear" w:color="auto" w:fill="FFFFFF"/>
            <w:tcMar>
              <w:top w:w="240" w:type="dxa"/>
              <w:left w:w="120" w:type="dxa"/>
              <w:bottom w:w="240" w:type="dxa"/>
              <w:right w:w="60" w:type="dxa"/>
            </w:tcMar>
            <w:hideMark/>
          </w:tcPr>
          <w:p w:rsidR="002B2559" w:rsidRPr="002B2559" w:rsidRDefault="002B2559" w:rsidP="002B2559">
            <w:pPr>
              <w:spacing w:line="240" w:lineRule="auto"/>
              <w:rPr>
                <w:rFonts w:eastAsia="Times New Roman"/>
                <w:color w:val="242638"/>
                <w:sz w:val="24"/>
                <w:szCs w:val="24"/>
                <w:lang w:val="en-US"/>
              </w:rPr>
            </w:pPr>
            <w:r w:rsidRPr="002B2559">
              <w:rPr>
                <w:rFonts w:eastAsia="Times New Roman"/>
                <w:color w:val="242638"/>
                <w:sz w:val="24"/>
                <w:szCs w:val="24"/>
                <w:lang w:val="en-US"/>
              </w:rPr>
              <w:t xml:space="preserve">800000 </w:t>
            </w:r>
            <w:proofErr w:type="spellStart"/>
            <w:r w:rsidRPr="002B2559">
              <w:rPr>
                <w:rFonts w:eastAsia="Times New Roman"/>
                <w:color w:val="242638"/>
                <w:sz w:val="24"/>
                <w:szCs w:val="24"/>
                <w:lang w:val="en-US"/>
              </w:rPr>
              <w:t>кіловат-година</w:t>
            </w:r>
            <w:proofErr w:type="spellEnd"/>
          </w:p>
        </w:tc>
        <w:tc>
          <w:tcPr>
            <w:tcW w:w="2470" w:type="dxa"/>
            <w:shd w:val="clear" w:color="auto" w:fill="FFFFFF"/>
            <w:tcMar>
              <w:top w:w="240" w:type="dxa"/>
              <w:left w:w="120" w:type="dxa"/>
              <w:bottom w:w="240" w:type="dxa"/>
              <w:right w:w="60" w:type="dxa"/>
            </w:tcMar>
            <w:hideMark/>
          </w:tcPr>
          <w:p w:rsidR="002B2559" w:rsidRPr="002B2559" w:rsidRDefault="002B2559" w:rsidP="002B2559">
            <w:pPr>
              <w:spacing w:line="240" w:lineRule="auto"/>
              <w:rPr>
                <w:rFonts w:eastAsia="Times New Roman"/>
                <w:color w:val="242638"/>
                <w:sz w:val="24"/>
                <w:szCs w:val="24"/>
                <w:lang w:val="en-US"/>
              </w:rPr>
            </w:pPr>
            <w:r w:rsidRPr="002B2559">
              <w:rPr>
                <w:rFonts w:eastAsia="Times New Roman"/>
                <w:color w:val="242638"/>
                <w:sz w:val="24"/>
                <w:szCs w:val="24"/>
                <w:lang w:val="ru-RU"/>
              </w:rPr>
              <w:t xml:space="preserve">03057, </w:t>
            </w:r>
            <w:proofErr w:type="spellStart"/>
            <w:r w:rsidRPr="002B2559">
              <w:rPr>
                <w:rFonts w:eastAsia="Times New Roman"/>
                <w:color w:val="242638"/>
                <w:sz w:val="24"/>
                <w:szCs w:val="24"/>
                <w:lang w:val="ru-RU"/>
              </w:rPr>
              <w:t>Україна</w:t>
            </w:r>
            <w:proofErr w:type="spellEnd"/>
            <w:r w:rsidRPr="002B2559">
              <w:rPr>
                <w:rFonts w:eastAsia="Times New Roman"/>
                <w:color w:val="242638"/>
                <w:sz w:val="24"/>
                <w:szCs w:val="24"/>
                <w:lang w:val="ru-RU"/>
              </w:rPr>
              <w:t xml:space="preserve">, м. </w:t>
            </w:r>
            <w:proofErr w:type="spellStart"/>
            <w:r w:rsidRPr="002B2559">
              <w:rPr>
                <w:rFonts w:eastAsia="Times New Roman"/>
                <w:color w:val="242638"/>
                <w:sz w:val="24"/>
                <w:szCs w:val="24"/>
                <w:lang w:val="ru-RU"/>
              </w:rPr>
              <w:t>Київ</w:t>
            </w:r>
            <w:proofErr w:type="spellEnd"/>
            <w:r w:rsidRPr="002B2559">
              <w:rPr>
                <w:rFonts w:eastAsia="Times New Roman"/>
                <w:color w:val="242638"/>
                <w:sz w:val="24"/>
                <w:szCs w:val="24"/>
                <w:lang w:val="ru-RU"/>
              </w:rPr>
              <w:t xml:space="preserve">, ШЕВЧЕНКІВСЬКИЙ, </w:t>
            </w:r>
            <w:proofErr w:type="spellStart"/>
            <w:r w:rsidRPr="002B2559">
              <w:rPr>
                <w:rFonts w:eastAsia="Times New Roman"/>
                <w:color w:val="242638"/>
                <w:sz w:val="24"/>
                <w:szCs w:val="24"/>
                <w:lang w:val="ru-RU"/>
              </w:rPr>
              <w:t>вул</w:t>
            </w:r>
            <w:proofErr w:type="spellEnd"/>
            <w:r w:rsidRPr="002B2559">
              <w:rPr>
                <w:rFonts w:eastAsia="Times New Roman"/>
                <w:color w:val="242638"/>
                <w:sz w:val="24"/>
                <w:szCs w:val="24"/>
                <w:lang w:val="ru-RU"/>
              </w:rPr>
              <w:t xml:space="preserve">. </w:t>
            </w:r>
            <w:proofErr w:type="spellStart"/>
            <w:r w:rsidRPr="002B2559">
              <w:rPr>
                <w:rFonts w:eastAsia="Times New Roman"/>
                <w:color w:val="242638"/>
                <w:sz w:val="24"/>
                <w:szCs w:val="24"/>
                <w:lang w:val="en-US"/>
              </w:rPr>
              <w:t>Сім'ї</w:t>
            </w:r>
            <w:proofErr w:type="spellEnd"/>
            <w:r w:rsidRPr="002B2559">
              <w:rPr>
                <w:rFonts w:eastAsia="Times New Roman"/>
                <w:color w:val="242638"/>
                <w:sz w:val="24"/>
                <w:szCs w:val="24"/>
                <w:lang w:val="en-US"/>
              </w:rPr>
              <w:t xml:space="preserve"> </w:t>
            </w:r>
            <w:proofErr w:type="spellStart"/>
            <w:r w:rsidRPr="002B2559">
              <w:rPr>
                <w:rFonts w:eastAsia="Times New Roman"/>
                <w:color w:val="242638"/>
                <w:sz w:val="24"/>
                <w:szCs w:val="24"/>
                <w:lang w:val="en-US"/>
              </w:rPr>
              <w:t>Бродських</w:t>
            </w:r>
            <w:proofErr w:type="spellEnd"/>
            <w:r w:rsidRPr="002B2559">
              <w:rPr>
                <w:rFonts w:eastAsia="Times New Roman"/>
                <w:color w:val="242638"/>
                <w:sz w:val="24"/>
                <w:szCs w:val="24"/>
                <w:lang w:val="en-US"/>
              </w:rPr>
              <w:t>, 10</w:t>
            </w:r>
          </w:p>
        </w:tc>
        <w:tc>
          <w:tcPr>
            <w:tcW w:w="2098" w:type="dxa"/>
            <w:shd w:val="clear" w:color="auto" w:fill="FFFFFF"/>
            <w:tcMar>
              <w:top w:w="240" w:type="dxa"/>
              <w:left w:w="120" w:type="dxa"/>
              <w:bottom w:w="240" w:type="dxa"/>
              <w:right w:w="60" w:type="dxa"/>
            </w:tcMar>
            <w:hideMark/>
          </w:tcPr>
          <w:p w:rsidR="002B2559" w:rsidRPr="002B2559" w:rsidRDefault="002B2559" w:rsidP="002B2559">
            <w:pPr>
              <w:spacing w:line="240" w:lineRule="auto"/>
              <w:rPr>
                <w:rFonts w:eastAsia="Times New Roman"/>
                <w:color w:val="242638"/>
                <w:sz w:val="24"/>
                <w:szCs w:val="24"/>
                <w:lang w:val="en-US"/>
              </w:rPr>
            </w:pPr>
            <w:r w:rsidRPr="002B2559">
              <w:rPr>
                <w:rFonts w:eastAsia="Times New Roman"/>
                <w:color w:val="242638"/>
                <w:sz w:val="24"/>
                <w:szCs w:val="24"/>
                <w:lang w:val="en-US"/>
              </w:rPr>
              <w:t xml:space="preserve">з 1 </w:t>
            </w:r>
            <w:proofErr w:type="spellStart"/>
            <w:r w:rsidRPr="002B2559">
              <w:rPr>
                <w:rFonts w:eastAsia="Times New Roman"/>
                <w:color w:val="242638"/>
                <w:sz w:val="24"/>
                <w:szCs w:val="24"/>
                <w:lang w:val="en-US"/>
              </w:rPr>
              <w:t>січня</w:t>
            </w:r>
            <w:proofErr w:type="spellEnd"/>
            <w:r w:rsidRPr="002B2559">
              <w:rPr>
                <w:rFonts w:eastAsia="Times New Roman"/>
                <w:color w:val="242638"/>
                <w:sz w:val="24"/>
                <w:szCs w:val="24"/>
                <w:lang w:val="en-US"/>
              </w:rPr>
              <w:t xml:space="preserve"> 2026до 31 </w:t>
            </w:r>
            <w:proofErr w:type="spellStart"/>
            <w:r w:rsidRPr="002B2559">
              <w:rPr>
                <w:rFonts w:eastAsia="Times New Roman"/>
                <w:color w:val="242638"/>
                <w:sz w:val="24"/>
                <w:szCs w:val="24"/>
                <w:lang w:val="en-US"/>
              </w:rPr>
              <w:t>грудня</w:t>
            </w:r>
            <w:proofErr w:type="spellEnd"/>
            <w:r w:rsidRPr="002B2559">
              <w:rPr>
                <w:rFonts w:eastAsia="Times New Roman"/>
                <w:color w:val="242638"/>
                <w:sz w:val="24"/>
                <w:szCs w:val="24"/>
                <w:lang w:val="en-US"/>
              </w:rPr>
              <w:t xml:space="preserve"> 2026</w:t>
            </w:r>
          </w:p>
        </w:tc>
      </w:tr>
    </w:tbl>
    <w:p w:rsidR="002B2559" w:rsidRPr="002B2559" w:rsidRDefault="002B2559" w:rsidP="002B2559">
      <w:pPr>
        <w:pStyle w:val="a9"/>
        <w:ind w:left="927"/>
        <w:contextualSpacing/>
        <w:jc w:val="both"/>
        <w:rPr>
          <w:rFonts w:ascii="Times New Roman" w:hAnsi="Times New Roman"/>
          <w:b/>
          <w:sz w:val="24"/>
          <w:szCs w:val="24"/>
          <w:lang w:eastAsia="ru-RU"/>
        </w:rPr>
      </w:pPr>
    </w:p>
    <w:sectPr w:rsidR="002B2559" w:rsidRPr="002B2559"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308"/>
    <w:multiLevelType w:val="hybridMultilevel"/>
    <w:tmpl w:val="9236BC82"/>
    <w:lvl w:ilvl="0" w:tplc="858E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B56F69"/>
    <w:multiLevelType w:val="hybridMultilevel"/>
    <w:tmpl w:val="C776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E3F17"/>
    <w:multiLevelType w:val="multilevel"/>
    <w:tmpl w:val="4F3E8EA4"/>
    <w:lvl w:ilvl="0">
      <w:start w:val="1"/>
      <w:numFmt w:val="decimal"/>
      <w:lvlText w:val="%1."/>
      <w:lvlJc w:val="left"/>
      <w:pPr>
        <w:ind w:left="720" w:hanging="360"/>
      </w:pPr>
      <w:rPr>
        <w:b/>
      </w:rPr>
    </w:lvl>
    <w:lvl w:ilvl="1">
      <w:start w:val="5"/>
      <w:numFmt w:val="decimal"/>
      <w:isLgl/>
      <w:lvlText w:val="%1.%2."/>
      <w:lvlJc w:val="left"/>
      <w:pPr>
        <w:ind w:left="765" w:hanging="40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15:restartNumberingAfterBreak="0">
    <w:nsid w:val="15994D91"/>
    <w:multiLevelType w:val="multilevel"/>
    <w:tmpl w:val="CF84B76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100949"/>
    <w:multiLevelType w:val="multilevel"/>
    <w:tmpl w:val="943AFEA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BA87D9C"/>
    <w:multiLevelType w:val="hybridMultilevel"/>
    <w:tmpl w:val="19EA8B1C"/>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86DDA"/>
    <w:multiLevelType w:val="multilevel"/>
    <w:tmpl w:val="4CC8203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1" w15:restartNumberingAfterBreak="0">
    <w:nsid w:val="3F7B1D6E"/>
    <w:multiLevelType w:val="hybridMultilevel"/>
    <w:tmpl w:val="A5B6B57E"/>
    <w:lvl w:ilvl="0" w:tplc="3CCA9ED4">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FFD6B4C"/>
    <w:multiLevelType w:val="hybridMultilevel"/>
    <w:tmpl w:val="7AFC7E5A"/>
    <w:lvl w:ilvl="0" w:tplc="4B58DA76">
      <w:start w:val="7"/>
      <w:numFmt w:val="bullet"/>
      <w:lvlText w:val="-"/>
      <w:lvlJc w:val="left"/>
      <w:pPr>
        <w:ind w:left="1308" w:hanging="360"/>
      </w:pPr>
      <w:rPr>
        <w:rFonts w:ascii="Times New Roman" w:eastAsia="Calibri"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6"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583A008E"/>
    <w:multiLevelType w:val="hybridMultilevel"/>
    <w:tmpl w:val="D9D4287C"/>
    <w:lvl w:ilvl="0" w:tplc="0409000D">
      <w:start w:val="1"/>
      <w:numFmt w:val="bullet"/>
      <w:lvlText w:val=""/>
      <w:lvlJc w:val="left"/>
      <w:pPr>
        <w:ind w:left="1039" w:hanging="360"/>
      </w:pPr>
      <w:rPr>
        <w:rFonts w:ascii="Wingdings" w:hAnsi="Wingdings" w:hint="default"/>
      </w:rPr>
    </w:lvl>
    <w:lvl w:ilvl="1" w:tplc="04190003">
      <w:start w:val="1"/>
      <w:numFmt w:val="bullet"/>
      <w:lvlText w:val="o"/>
      <w:lvlJc w:val="left"/>
      <w:pPr>
        <w:ind w:left="1759" w:hanging="360"/>
      </w:pPr>
      <w:rPr>
        <w:rFonts w:ascii="Courier New" w:hAnsi="Courier New" w:cs="Courier New" w:hint="default"/>
      </w:rPr>
    </w:lvl>
    <w:lvl w:ilvl="2" w:tplc="04190005">
      <w:start w:val="1"/>
      <w:numFmt w:val="bullet"/>
      <w:lvlText w:val=""/>
      <w:lvlJc w:val="left"/>
      <w:pPr>
        <w:ind w:left="2479" w:hanging="360"/>
      </w:pPr>
      <w:rPr>
        <w:rFonts w:ascii="Wingdings" w:hAnsi="Wingdings" w:hint="default"/>
      </w:rPr>
    </w:lvl>
    <w:lvl w:ilvl="3" w:tplc="04190001">
      <w:start w:val="1"/>
      <w:numFmt w:val="bullet"/>
      <w:lvlText w:val=""/>
      <w:lvlJc w:val="left"/>
      <w:pPr>
        <w:ind w:left="3199" w:hanging="360"/>
      </w:pPr>
      <w:rPr>
        <w:rFonts w:ascii="Symbol" w:hAnsi="Symbol" w:hint="default"/>
      </w:rPr>
    </w:lvl>
    <w:lvl w:ilvl="4" w:tplc="04190003">
      <w:start w:val="1"/>
      <w:numFmt w:val="bullet"/>
      <w:lvlText w:val="o"/>
      <w:lvlJc w:val="left"/>
      <w:pPr>
        <w:ind w:left="3919" w:hanging="360"/>
      </w:pPr>
      <w:rPr>
        <w:rFonts w:ascii="Courier New" w:hAnsi="Courier New" w:cs="Courier New" w:hint="default"/>
      </w:rPr>
    </w:lvl>
    <w:lvl w:ilvl="5" w:tplc="04190005">
      <w:start w:val="1"/>
      <w:numFmt w:val="bullet"/>
      <w:lvlText w:val=""/>
      <w:lvlJc w:val="left"/>
      <w:pPr>
        <w:ind w:left="4639" w:hanging="360"/>
      </w:pPr>
      <w:rPr>
        <w:rFonts w:ascii="Wingdings" w:hAnsi="Wingdings" w:hint="default"/>
      </w:rPr>
    </w:lvl>
    <w:lvl w:ilvl="6" w:tplc="04190001">
      <w:start w:val="1"/>
      <w:numFmt w:val="bullet"/>
      <w:lvlText w:val=""/>
      <w:lvlJc w:val="left"/>
      <w:pPr>
        <w:ind w:left="5359" w:hanging="360"/>
      </w:pPr>
      <w:rPr>
        <w:rFonts w:ascii="Symbol" w:hAnsi="Symbol" w:hint="default"/>
      </w:rPr>
    </w:lvl>
    <w:lvl w:ilvl="7" w:tplc="04190003">
      <w:start w:val="1"/>
      <w:numFmt w:val="bullet"/>
      <w:lvlText w:val="o"/>
      <w:lvlJc w:val="left"/>
      <w:pPr>
        <w:ind w:left="6079" w:hanging="360"/>
      </w:pPr>
      <w:rPr>
        <w:rFonts w:ascii="Courier New" w:hAnsi="Courier New" w:cs="Courier New" w:hint="default"/>
      </w:rPr>
    </w:lvl>
    <w:lvl w:ilvl="8" w:tplc="04190005">
      <w:start w:val="1"/>
      <w:numFmt w:val="bullet"/>
      <w:lvlText w:val=""/>
      <w:lvlJc w:val="left"/>
      <w:pPr>
        <w:ind w:left="6799" w:hanging="360"/>
      </w:pPr>
      <w:rPr>
        <w:rFonts w:ascii="Wingdings" w:hAnsi="Wingdings" w:hint="default"/>
      </w:rPr>
    </w:lvl>
  </w:abstractNum>
  <w:abstractNum w:abstractNumId="18"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763143"/>
    <w:multiLevelType w:val="multilevel"/>
    <w:tmpl w:val="2370FB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1"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F83056"/>
    <w:multiLevelType w:val="hybridMultilevel"/>
    <w:tmpl w:val="B4F4A624"/>
    <w:lvl w:ilvl="0" w:tplc="E8581C1C">
      <w:start w:val="1"/>
      <w:numFmt w:val="decimal"/>
      <w:lvlText w:val="%1."/>
      <w:lvlJc w:val="left"/>
      <w:pPr>
        <w:ind w:left="948" w:hanging="360"/>
      </w:pPr>
      <w:rPr>
        <w:rFonts w:hint="default"/>
        <w:b w:val="0"/>
      </w:rPr>
    </w:lvl>
    <w:lvl w:ilvl="1" w:tplc="04220019" w:tentative="1">
      <w:start w:val="1"/>
      <w:numFmt w:val="lowerLetter"/>
      <w:lvlText w:val="%2."/>
      <w:lvlJc w:val="left"/>
      <w:pPr>
        <w:ind w:left="1668" w:hanging="360"/>
      </w:pPr>
    </w:lvl>
    <w:lvl w:ilvl="2" w:tplc="0422001B" w:tentative="1">
      <w:start w:val="1"/>
      <w:numFmt w:val="lowerRoman"/>
      <w:lvlText w:val="%3."/>
      <w:lvlJc w:val="right"/>
      <w:pPr>
        <w:ind w:left="2388" w:hanging="180"/>
      </w:pPr>
    </w:lvl>
    <w:lvl w:ilvl="3" w:tplc="0422000F" w:tentative="1">
      <w:start w:val="1"/>
      <w:numFmt w:val="decimal"/>
      <w:lvlText w:val="%4."/>
      <w:lvlJc w:val="left"/>
      <w:pPr>
        <w:ind w:left="3108" w:hanging="360"/>
      </w:pPr>
    </w:lvl>
    <w:lvl w:ilvl="4" w:tplc="04220019" w:tentative="1">
      <w:start w:val="1"/>
      <w:numFmt w:val="lowerLetter"/>
      <w:lvlText w:val="%5."/>
      <w:lvlJc w:val="left"/>
      <w:pPr>
        <w:ind w:left="3828" w:hanging="360"/>
      </w:pPr>
    </w:lvl>
    <w:lvl w:ilvl="5" w:tplc="0422001B" w:tentative="1">
      <w:start w:val="1"/>
      <w:numFmt w:val="lowerRoman"/>
      <w:lvlText w:val="%6."/>
      <w:lvlJc w:val="right"/>
      <w:pPr>
        <w:ind w:left="4548" w:hanging="180"/>
      </w:pPr>
    </w:lvl>
    <w:lvl w:ilvl="6" w:tplc="0422000F" w:tentative="1">
      <w:start w:val="1"/>
      <w:numFmt w:val="decimal"/>
      <w:lvlText w:val="%7."/>
      <w:lvlJc w:val="left"/>
      <w:pPr>
        <w:ind w:left="5268" w:hanging="360"/>
      </w:pPr>
    </w:lvl>
    <w:lvl w:ilvl="7" w:tplc="04220019" w:tentative="1">
      <w:start w:val="1"/>
      <w:numFmt w:val="lowerLetter"/>
      <w:lvlText w:val="%8."/>
      <w:lvlJc w:val="left"/>
      <w:pPr>
        <w:ind w:left="5988" w:hanging="360"/>
      </w:pPr>
    </w:lvl>
    <w:lvl w:ilvl="8" w:tplc="0422001B" w:tentative="1">
      <w:start w:val="1"/>
      <w:numFmt w:val="lowerRoman"/>
      <w:lvlText w:val="%9."/>
      <w:lvlJc w:val="right"/>
      <w:pPr>
        <w:ind w:left="6708" w:hanging="180"/>
      </w:pPr>
    </w:lvl>
  </w:abstractNum>
  <w:abstractNum w:abstractNumId="27"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9" w15:restartNumberingAfterBreak="0">
    <w:nsid w:val="70CE5E09"/>
    <w:multiLevelType w:val="hybridMultilevel"/>
    <w:tmpl w:val="38E046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2"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2"/>
  </w:num>
  <w:num w:numId="4">
    <w:abstractNumId w:val="10"/>
  </w:num>
  <w:num w:numId="5">
    <w:abstractNumId w:val="20"/>
  </w:num>
  <w:num w:numId="6">
    <w:abstractNumId w:val="14"/>
  </w:num>
  <w:num w:numId="7">
    <w:abstractNumId w:val="28"/>
  </w:num>
  <w:num w:numId="8">
    <w:abstractNumId w:val="2"/>
  </w:num>
  <w:num w:numId="9">
    <w:abstractNumId w:val="1"/>
  </w:num>
  <w:num w:numId="10">
    <w:abstractNumId w:val="19"/>
  </w:num>
  <w:num w:numId="11">
    <w:abstractNumId w:val="9"/>
  </w:num>
  <w:num w:numId="12">
    <w:abstractNumId w:val="21"/>
  </w:num>
  <w:num w:numId="13">
    <w:abstractNumId w:val="18"/>
  </w:num>
  <w:num w:numId="14">
    <w:abstractNumId w:val="22"/>
  </w:num>
  <w:num w:numId="15">
    <w:abstractNumId w:val="24"/>
  </w:num>
  <w:num w:numId="16">
    <w:abstractNumId w:val="3"/>
  </w:num>
  <w:num w:numId="17">
    <w:abstractNumId w:val="23"/>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8"/>
  </w:num>
  <w:num w:numId="24">
    <w:abstractNumId w:val="32"/>
  </w:num>
  <w:num w:numId="25">
    <w:abstractNumId w:val="17"/>
  </w:num>
  <w:num w:numId="26">
    <w:abstractNumId w:val="11"/>
  </w:num>
  <w:num w:numId="27">
    <w:abstractNumId w:val="26"/>
  </w:num>
  <w:num w:numId="28">
    <w:abstractNumId w:val="15"/>
  </w:num>
  <w:num w:numId="29">
    <w:abstractNumId w:val="30"/>
  </w:num>
  <w:num w:numId="30">
    <w:abstractNumId w:val="27"/>
  </w:num>
  <w:num w:numId="31">
    <w:abstractNumId w:val="4"/>
  </w:num>
  <w:num w:numId="32">
    <w:abstractNumId w:val="5"/>
  </w:num>
  <w:num w:numId="33">
    <w:abstractNumId w:val="6"/>
  </w:num>
  <w:num w:numId="3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4A41"/>
    <w:rsid w:val="000F2FAA"/>
    <w:rsid w:val="001106C8"/>
    <w:rsid w:val="001C1CB9"/>
    <w:rsid w:val="001D0D29"/>
    <w:rsid w:val="00207502"/>
    <w:rsid w:val="00235A96"/>
    <w:rsid w:val="00251BB9"/>
    <w:rsid w:val="0026078A"/>
    <w:rsid w:val="002B2559"/>
    <w:rsid w:val="00304DEC"/>
    <w:rsid w:val="003469BD"/>
    <w:rsid w:val="00363AC9"/>
    <w:rsid w:val="00395743"/>
    <w:rsid w:val="003B46D0"/>
    <w:rsid w:val="003C1091"/>
    <w:rsid w:val="003C4DE1"/>
    <w:rsid w:val="004B0A16"/>
    <w:rsid w:val="004B3364"/>
    <w:rsid w:val="00515C81"/>
    <w:rsid w:val="00524EDC"/>
    <w:rsid w:val="0052592D"/>
    <w:rsid w:val="00573725"/>
    <w:rsid w:val="00591F5C"/>
    <w:rsid w:val="00610E3F"/>
    <w:rsid w:val="00617668"/>
    <w:rsid w:val="006E5F6B"/>
    <w:rsid w:val="006F0819"/>
    <w:rsid w:val="007136D2"/>
    <w:rsid w:val="00763358"/>
    <w:rsid w:val="00873C51"/>
    <w:rsid w:val="00900196"/>
    <w:rsid w:val="00981216"/>
    <w:rsid w:val="00A325D0"/>
    <w:rsid w:val="00A918D0"/>
    <w:rsid w:val="00AA284B"/>
    <w:rsid w:val="00AC2344"/>
    <w:rsid w:val="00AF27C1"/>
    <w:rsid w:val="00B324D2"/>
    <w:rsid w:val="00B73D05"/>
    <w:rsid w:val="00BF7B07"/>
    <w:rsid w:val="00C2174A"/>
    <w:rsid w:val="00C24D83"/>
    <w:rsid w:val="00C25AD4"/>
    <w:rsid w:val="00C43F94"/>
    <w:rsid w:val="00C46AE5"/>
    <w:rsid w:val="00E13D98"/>
    <w:rsid w:val="00EA5531"/>
    <w:rsid w:val="00F13298"/>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B290"/>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uiPriority w:val="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uiPriority w:val="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uiPriority w:val="99"/>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3"/>
    <w:rsid w:val="002B2559"/>
  </w:style>
  <w:style w:type="character" w:customStyle="1" w:styleId="mr-1">
    <w:name w:val="mr-1"/>
    <w:basedOn w:val="a3"/>
    <w:rsid w:val="002B2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11-10-01049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140</Words>
  <Characters>804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42</cp:revision>
  <dcterms:created xsi:type="dcterms:W3CDTF">2025-06-13T10:22:00Z</dcterms:created>
  <dcterms:modified xsi:type="dcterms:W3CDTF">2025-11-18T13:34:00Z</dcterms:modified>
</cp:coreProperties>
</file>