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FE0145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25199D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2D312E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9C2DB7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</w:t>
      </w:r>
      <w:r w:rsidRPr="000B205F">
        <w:rPr>
          <w:rFonts w:ascii="Arial" w:eastAsia="Times New Roman" w:hAnsi="Arial" w:cs="Arial"/>
          <w:b/>
          <w:sz w:val="24"/>
          <w:szCs w:val="24"/>
          <w:lang w:val="uk-UA" w:eastAsia="uk-UA"/>
        </w:rPr>
        <w:t>АВСТРАЛІЇ</w:t>
      </w:r>
      <w:r w:rsidRPr="0005121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25199D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ЛІКАРСЬКИХ ЗАСОБІВ, ЩО ЗА ЦЕНТРАЛІЗОВАНОЮ ПРОЦЕДУРОЮ ЗАРЕЄСТРОВАНІ КОМПЕТЕНТНИМ ОРГАНОМ </w:t>
      </w:r>
      <w:r w:rsidRPr="0025199D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25199D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282"/>
        <w:gridCol w:w="2410"/>
        <w:gridCol w:w="1276"/>
        <w:gridCol w:w="1134"/>
        <w:gridCol w:w="2268"/>
        <w:gridCol w:w="1275"/>
        <w:gridCol w:w="2835"/>
        <w:gridCol w:w="1046"/>
        <w:gridCol w:w="1557"/>
      </w:tblGrid>
      <w:tr w:rsidR="00D54010" w:rsidRPr="00FE0145" w:rsidTr="00D54010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4F1EBE" w:rsidRDefault="00D54010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F1EB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4F1EBE" w:rsidRDefault="00D54010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F1EB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4F1EBE" w:rsidRDefault="00D54010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F1EB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4F1EBE" w:rsidRDefault="00D54010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F1EB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4F1EBE" w:rsidRDefault="00D54010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F1EB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4F1EBE" w:rsidRDefault="00D54010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F1EB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4F1EBE" w:rsidRDefault="00D54010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F1EB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4F1EBE" w:rsidRDefault="00D54010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F1EB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4F1EBE" w:rsidRDefault="00D54010" w:rsidP="009C2DB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F1EB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4F1EBE" w:rsidRDefault="00D54010" w:rsidP="004F1EBE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F1EB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6F6771" w:rsidRPr="009C2DB7" w:rsidTr="00D54010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6F6771" w:rsidRPr="009C2DB7" w:rsidRDefault="006F6771" w:rsidP="006F6771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6F6771" w:rsidRDefault="006F6771" w:rsidP="006F6771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ОНІВАЙД® ПЕГИЛЬОВАНИЙ ЛІПОСОМАЛЬНИЙ</w:t>
            </w:r>
          </w:p>
        </w:tc>
        <w:tc>
          <w:tcPr>
            <w:tcW w:w="2410" w:type="dxa"/>
            <w:shd w:val="clear" w:color="auto" w:fill="FFFFFF"/>
          </w:tcPr>
          <w:p w:rsidR="006F6771" w:rsidRDefault="006F6771" w:rsidP="006F6771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концентрат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дисперсії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інфузій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4,3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коробці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картону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українською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мовою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іноземною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мовою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стандартно-експортній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іноземною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мовою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міститься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картонній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коробці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українською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мовою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іноземною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мовою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картонній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коробці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іноземною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мовою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стікером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українською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мовою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6F6771" w:rsidRPr="00DE4C4A" w:rsidRDefault="006F6771" w:rsidP="006F6771">
            <w:pPr>
              <w:pStyle w:val="a3"/>
              <w:tabs>
                <w:tab w:val="left" w:pos="12600"/>
              </w:tabs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2CFD">
              <w:rPr>
                <w:rFonts w:ascii="Arial" w:hAnsi="Arial" w:cs="Arial"/>
                <w:color w:val="000000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shd w:val="clear" w:color="auto" w:fill="FFFFFF"/>
          </w:tcPr>
          <w:p w:rsidR="006F6771" w:rsidRPr="00DE4C4A" w:rsidRDefault="006F6771" w:rsidP="006F6771">
            <w:pPr>
              <w:pStyle w:val="a3"/>
              <w:tabs>
                <w:tab w:val="left" w:pos="12600"/>
              </w:tabs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02CFD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6F6771" w:rsidRPr="006F6771" w:rsidRDefault="006F6771" w:rsidP="006F677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color w:val="102B56"/>
                <w:lang w:val="ru-RU"/>
              </w:rPr>
            </w:pPr>
            <w:r w:rsidRPr="006F6771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ru-RU"/>
              </w:rPr>
              <w:t>відповідальний за контроль вихідних матеріалів та нерозфасованого продукту:</w:t>
            </w:r>
            <w:r w:rsidRPr="006F6771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br/>
              <w:t>Авіста Фарма Солюшнс, США;</w:t>
            </w:r>
            <w:r w:rsidRPr="006F6771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br/>
            </w:r>
            <w:r w:rsidRPr="006F6771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ru-RU"/>
              </w:rPr>
              <w:t>відповідальний за укупорку та візуальний контроль:</w:t>
            </w:r>
            <w:r w:rsidRPr="006F6771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br/>
              <w:t>Аджиномото Алтеа, Інк., США;</w:t>
            </w:r>
            <w:r w:rsidRPr="006F6771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br/>
            </w:r>
            <w:r w:rsidRPr="006F6771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ru-RU"/>
              </w:rPr>
              <w:t>відповідальний за контроль нерозфасованого продукту:</w:t>
            </w:r>
            <w:r w:rsidRPr="006F6771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br/>
              <w:t xml:space="preserve">Ассошиейтс оф Кейп Код, США; </w:t>
            </w:r>
            <w:r w:rsidRPr="006F6771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br/>
            </w:r>
            <w:r w:rsidRPr="006F6771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ru-RU"/>
              </w:rPr>
              <w:t>відповідальний за маркування та вторинне пакування:</w:t>
            </w:r>
            <w:r w:rsidRPr="006F6771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br/>
              <w:t>Бакстер Онколоджі ГмбХ, Німеччина;</w:t>
            </w:r>
          </w:p>
          <w:p w:rsidR="006F6771" w:rsidRPr="006F6771" w:rsidRDefault="006F6771" w:rsidP="006F677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color w:val="102B56"/>
                <w:lang w:val="ru-RU"/>
              </w:rPr>
            </w:pPr>
            <w:r w:rsidRPr="006F6771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ru-RU"/>
              </w:rPr>
              <w:t>відповідальний за контроль вихідних матеріалів:</w:t>
            </w:r>
            <w:r w:rsidRPr="006F6771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br/>
              <w:t>Бостон Аналітикал,США;</w:t>
            </w:r>
          </w:p>
          <w:p w:rsidR="006F6771" w:rsidRPr="006F6771" w:rsidRDefault="006F6771" w:rsidP="006F677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color w:val="102B56"/>
                <w:sz w:val="18"/>
                <w:szCs w:val="18"/>
                <w:lang w:val="ru-RU"/>
              </w:rPr>
            </w:pPr>
            <w:r w:rsidRPr="006F6771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ru-RU"/>
              </w:rPr>
              <w:t>відповідальний за контроль якості готового лікарського засобу: ендотоксин, стерильність, тверді частки:</w:t>
            </w:r>
            <w:r w:rsidRPr="006F6771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br/>
              <w:t>ЕсДжіЕс Інститут Фрезеніус ГмбХ, Німеччина;</w:t>
            </w:r>
            <w:r w:rsidRPr="006F6771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br/>
            </w:r>
            <w:r w:rsidRPr="006F6771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ru-RU"/>
              </w:rPr>
              <w:t xml:space="preserve">відповідальний за контроль якості готового лікарського засобу: кількісне визначення, ідентифікація, домішки, </w:t>
            </w:r>
            <w:r w:rsidRPr="006F6771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ru-RU"/>
              </w:rPr>
              <w:lastRenderedPageBreak/>
              <w:t>фізико-хімічні показники:</w:t>
            </w:r>
            <w:r w:rsidRPr="006F6771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br/>
              <w:t>ЕсДжіЕс Інститут Фрезеніус ГмбХ, Німеччина;</w:t>
            </w:r>
            <w:r w:rsidRPr="006F6771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br/>
            </w:r>
            <w:r w:rsidRPr="006F6771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ru-RU"/>
              </w:rPr>
              <w:t>відповідальний за виробництво та контроль нерозфасованого продукту, контроль вихідних матеріалів:</w:t>
            </w:r>
            <w:r w:rsidRPr="006F6771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br/>
              <w:t>Іпсен Біосайнс, Інк., США;</w:t>
            </w:r>
          </w:p>
          <w:p w:rsidR="006F6771" w:rsidRPr="006F6771" w:rsidRDefault="006F6771" w:rsidP="006F6771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outlineLvl w:val="1"/>
              <w:rPr>
                <w:rFonts w:ascii="Arial" w:hAnsi="Arial" w:cs="Arial"/>
                <w:bCs/>
                <w:color w:val="102B56"/>
                <w:sz w:val="36"/>
                <w:szCs w:val="36"/>
                <w:lang w:val="ru-RU"/>
              </w:rPr>
            </w:pPr>
            <w:r w:rsidRPr="006F6771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ru-RU"/>
              </w:rPr>
              <w:t xml:space="preserve">відповідальний за виробництво та контроль нерозфасованого продукту, контроль вихідних матеріалів; за укупорку та візуальний контроль; за контроль якості готового лікарського засобу: кількісне визначення, ідентифікація, домішки, фізико-хімічні показники; за контроль якості готового лікарського засобу: ендотоксин, стерильність, тверді частки; за маркування та вторинне пакування: </w:t>
            </w:r>
            <w:r w:rsidRPr="006F6771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br/>
              <w:t>Іпсен Фарма Біотек, Франція;</w:t>
            </w:r>
          </w:p>
          <w:p w:rsidR="006F6771" w:rsidRPr="006F6771" w:rsidRDefault="006F6771" w:rsidP="006F6771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outlineLvl w:val="1"/>
              <w:rPr>
                <w:rFonts w:ascii="Arial" w:hAnsi="Arial" w:cs="Arial"/>
                <w:bCs/>
                <w:color w:val="102B56"/>
                <w:sz w:val="36"/>
                <w:szCs w:val="36"/>
                <w:lang w:val="ru-RU"/>
              </w:rPr>
            </w:pPr>
            <w:r w:rsidRPr="006F6771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ru-RU"/>
              </w:rPr>
              <w:t>відповідальний за контроль вихідних матеріалів та нерозфасованого продукту:</w:t>
            </w:r>
            <w:r w:rsidRPr="006F6771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br/>
              <w:t>Кволіті Кемікал Лабораторіз, США;</w:t>
            </w:r>
            <w:r w:rsidRPr="006F6771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br/>
            </w:r>
            <w:r w:rsidRPr="006F6771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ru-RU"/>
              </w:rPr>
              <w:t>відповідальний за маркування, вторинне пакування та випуск серії готового лікарського засобу:</w:t>
            </w:r>
            <w:r w:rsidRPr="006F6771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br/>
              <w:t>Лабораторії Серв`є Індастрі, Франц</w:t>
            </w:r>
            <w:proofErr w:type="spellStart"/>
            <w:r w:rsidRPr="0090663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i</w:t>
            </w:r>
            <w:proofErr w:type="spellEnd"/>
            <w:r w:rsidRPr="006F6771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я;</w:t>
            </w:r>
          </w:p>
          <w:p w:rsidR="006F6771" w:rsidRPr="006F6771" w:rsidRDefault="006F6771" w:rsidP="006F6771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outlineLvl w:val="1"/>
              <w:rPr>
                <w:rFonts w:ascii="Arial" w:hAnsi="Arial" w:cs="Arial"/>
                <w:bCs/>
                <w:color w:val="102B56"/>
                <w:sz w:val="36"/>
                <w:szCs w:val="36"/>
                <w:lang w:val="ru-RU"/>
              </w:rPr>
            </w:pPr>
            <w:r w:rsidRPr="006F6771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ru-RU"/>
              </w:rPr>
              <w:t>відповідальний за маркування та вторинне пакування:</w:t>
            </w:r>
          </w:p>
          <w:p w:rsidR="006F6771" w:rsidRPr="006F6771" w:rsidRDefault="006F6771" w:rsidP="006F6771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outlineLvl w:val="1"/>
              <w:rPr>
                <w:rFonts w:ascii="Arial" w:hAnsi="Arial" w:cs="Arial"/>
                <w:bCs/>
                <w:color w:val="102B56"/>
                <w:sz w:val="36"/>
                <w:szCs w:val="36"/>
                <w:lang w:val="ru-RU"/>
              </w:rPr>
            </w:pPr>
            <w:r w:rsidRPr="006F6771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lastRenderedPageBreak/>
              <w:t>Дере Ложістік, Франція;</w:t>
            </w:r>
          </w:p>
          <w:p w:rsidR="006F6771" w:rsidRPr="006F6771" w:rsidRDefault="006F6771" w:rsidP="006F677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color w:val="102B56"/>
                <w:sz w:val="18"/>
                <w:szCs w:val="18"/>
                <w:lang w:val="ru-RU"/>
              </w:rPr>
            </w:pPr>
            <w:r w:rsidRPr="006F6771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ru-RU"/>
              </w:rPr>
              <w:t>відповідальний за контроль вихідних матеріалів:</w:t>
            </w:r>
            <w:r w:rsidRPr="006F6771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br/>
              <w:t>ПРОКСІ Лабораторіз БВ Сіненсіс Лайф Сайнсіс БВ, Нідерланди;</w:t>
            </w:r>
          </w:p>
          <w:p w:rsidR="006F6771" w:rsidRPr="006F6771" w:rsidRDefault="006F6771" w:rsidP="006F677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color w:val="102B56"/>
                <w:sz w:val="18"/>
                <w:szCs w:val="18"/>
                <w:lang w:val="ru-RU"/>
              </w:rPr>
            </w:pPr>
            <w:r w:rsidRPr="006F6771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ru-RU"/>
              </w:rPr>
              <w:t>відповідальний за контроль вихідних матеріалів:</w:t>
            </w:r>
          </w:p>
          <w:p w:rsidR="006F6771" w:rsidRPr="0090663C" w:rsidRDefault="006F6771" w:rsidP="006F677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</w:pPr>
            <w:r w:rsidRPr="0090663C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 xml:space="preserve">КАЛІ КОНТРОЛЬ, </w:t>
            </w:r>
            <w:proofErr w:type="spellStart"/>
            <w:r w:rsidRPr="0090663C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Франція</w:t>
            </w:r>
            <w:proofErr w:type="spellEnd"/>
          </w:p>
          <w:p w:rsidR="006F6771" w:rsidRPr="0090663C" w:rsidRDefault="006F6771" w:rsidP="006F677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shd w:val="clear" w:color="auto" w:fill="FFFFFF"/>
          </w:tcPr>
          <w:p w:rsidR="006F6771" w:rsidRDefault="006F6771" w:rsidP="006F677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США/</w:t>
            </w:r>
          </w:p>
          <w:p w:rsidR="006F6771" w:rsidRDefault="006F6771" w:rsidP="006F677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</w:p>
          <w:p w:rsidR="006F6771" w:rsidRDefault="006F6771" w:rsidP="006F677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</w:p>
          <w:p w:rsidR="006F6771" w:rsidRDefault="006F6771" w:rsidP="006F677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6F6771" w:rsidRDefault="006F6771" w:rsidP="006F677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C.I.6.a, ІІ - Change(s) to therapeutic indication(s) - Addition of a new therapeutic indication or modification of an approved one: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Extension of indication to include first-line treatment of adult patients with metastatic adenocarcinoma of the pancreas for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Onivyde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 combination with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oxaliplatin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5 fluorouracil (5 FU) and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leucovorin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(LV) based on final results from phase 3 study NAPOLI 3 (D-US-60010-001); this is an interventional study with a primary objective to evaluate the efficacy of the regimen of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irinotecan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liposome injection +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oxaliplatin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+ 5-fluorouracil (5-FU)/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leucovorin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(LV) versus nab-paclitaxel + gemcitabine in improving overall survival (OS) in subjects who have not previously received chemotherapy for metastatic adenocarcinoma of the pancreas; As a consequence, sections 4.1, 4.2, 4.4, 4.8, 5.1, 5.2 and 6.6 of the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SmPC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are updated. The Package Leaflet is updated in accordance.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Додається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нове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терапевтичне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оновлюються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наступні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розділи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Інструкції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медичного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застосування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Фармакологічні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властивості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»,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»,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Особливості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застосування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»,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Спосіб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застосування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дози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Побічні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реакції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6-ти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The updated RMP version 5.0 is also submitted.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6F677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В рамках внесення зміни були оновлені наступні розділи ПУР: Частина І. Загальна інформація, Частина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II</w:t>
            </w:r>
            <w:r w:rsidRPr="006F677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Специфікація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безпеки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Модуль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СІ.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Епідеміологія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показань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застосування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цільова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(і)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популяція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(ї),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Модуль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СІП.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Експозиція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пацієнтів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залучених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клінічних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випробувань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Модуль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CIV.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Популяції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вивчались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час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клінічних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випробувань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Модуль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CV.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Післяреєстраційний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досвід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Модуль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СVII.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Ідентифіковані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потенційні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ризики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Частина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Заходи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мінімізації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ризиків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Частина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VI. </w:t>
            </w:r>
            <w:r w:rsidRPr="006F677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Резюме плану управління ризиками, Частина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VII</w:t>
            </w:r>
            <w:r w:rsidRPr="006F677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 Додатки.</w:t>
            </w:r>
            <w:r w:rsidRPr="006F677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Також, розділи Модуль СІІ. Доклінічна частина специфікації з безпеки та Модуль С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VIII</w:t>
            </w:r>
            <w:r w:rsidRPr="006F677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Резюме проблем безпеки зазнали редакційних правок. Крім того, внаслідок відповідних оновлень, змінилися версія ПУР, дата підписання, дата закінчення збору даних, обгрунтування для подання оновленого ПУР, Резюме значних змін у цьому ПУР, </w:t>
            </w:r>
            <w:r w:rsidRPr="006F677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>інформація щодо уповноваженої особи заявника, відповідальної за фармаконагляд, зміст та перелік скорочень.</w:t>
            </w:r>
            <w:r w:rsidRPr="006F677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C.I.4, II - Change(s) in the SPC, Labelling or PL due to new quality, preclinical, clinical or pharmacovigilance data: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Update of section 4.8 of the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SmPC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 order to add “Interstitial lung disease (including pneumonitis)” to the list of adverse drug reactions (ADRs) with frequency ”Uncommon” based on clinical study data, post-marketing data and literature. The Package Leaflet is updated accordingly.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наслідок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оновлюється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розділ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Інструкції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медичного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застосування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Побічні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реакції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"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новою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побічною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редакцією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інтерстиціальне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захворювання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легень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включаючи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пневмоніт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6-ти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6" w:type="dxa"/>
            <w:shd w:val="clear" w:color="auto" w:fill="FFFFFF"/>
          </w:tcPr>
          <w:p w:rsidR="006F6771" w:rsidRDefault="006F6771" w:rsidP="006F6771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6F6771" w:rsidRDefault="006F6771" w:rsidP="006F677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UA/18775/01/01</w:t>
            </w:r>
          </w:p>
        </w:tc>
      </w:tr>
    </w:tbl>
    <w:p w:rsidR="00D642BA" w:rsidRPr="00FE0145" w:rsidRDefault="00D642BA" w:rsidP="00073EC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6B16"/>
    <w:rsid w:val="00057475"/>
    <w:rsid w:val="000647E2"/>
    <w:rsid w:val="0006566F"/>
    <w:rsid w:val="00066261"/>
    <w:rsid w:val="00067200"/>
    <w:rsid w:val="00067616"/>
    <w:rsid w:val="00071D84"/>
    <w:rsid w:val="00072F42"/>
    <w:rsid w:val="00073818"/>
    <w:rsid w:val="00073ECB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E6F5F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E72"/>
    <w:rsid w:val="001F3A62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199D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712A"/>
    <w:rsid w:val="002A0692"/>
    <w:rsid w:val="002A31FE"/>
    <w:rsid w:val="002A3FCB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461B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554C"/>
    <w:rsid w:val="00305C12"/>
    <w:rsid w:val="00306DC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50911"/>
    <w:rsid w:val="003523FE"/>
    <w:rsid w:val="0035269A"/>
    <w:rsid w:val="00353F3C"/>
    <w:rsid w:val="00354FB7"/>
    <w:rsid w:val="00355260"/>
    <w:rsid w:val="00357D4B"/>
    <w:rsid w:val="00361AD6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2C02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9156D"/>
    <w:rsid w:val="00493A88"/>
    <w:rsid w:val="00493ED2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1EBE"/>
    <w:rsid w:val="004F791D"/>
    <w:rsid w:val="004F7D8A"/>
    <w:rsid w:val="004F7E71"/>
    <w:rsid w:val="00501330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4BA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FCD"/>
    <w:rsid w:val="005D1A7B"/>
    <w:rsid w:val="005D2647"/>
    <w:rsid w:val="005D3976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A57"/>
    <w:rsid w:val="006A5E0D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D6EE7"/>
    <w:rsid w:val="006E094B"/>
    <w:rsid w:val="006E095F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B71"/>
    <w:rsid w:val="006F448E"/>
    <w:rsid w:val="006F49B7"/>
    <w:rsid w:val="006F6771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73015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52CE"/>
    <w:rsid w:val="007E5759"/>
    <w:rsid w:val="007E76E8"/>
    <w:rsid w:val="007F0300"/>
    <w:rsid w:val="007F0C76"/>
    <w:rsid w:val="007F1C8E"/>
    <w:rsid w:val="007F450E"/>
    <w:rsid w:val="007F5927"/>
    <w:rsid w:val="008014E3"/>
    <w:rsid w:val="008018A8"/>
    <w:rsid w:val="00801EC6"/>
    <w:rsid w:val="008025DB"/>
    <w:rsid w:val="00802F93"/>
    <w:rsid w:val="0080499F"/>
    <w:rsid w:val="00811A7B"/>
    <w:rsid w:val="008142C1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610A1"/>
    <w:rsid w:val="008634C1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475"/>
    <w:rsid w:val="008B6565"/>
    <w:rsid w:val="008B727C"/>
    <w:rsid w:val="008C1677"/>
    <w:rsid w:val="008C1918"/>
    <w:rsid w:val="008D38EB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30AF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0CD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3B03"/>
    <w:rsid w:val="009B4A74"/>
    <w:rsid w:val="009B539C"/>
    <w:rsid w:val="009B78E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70E3"/>
    <w:rsid w:val="009E3812"/>
    <w:rsid w:val="009E64CD"/>
    <w:rsid w:val="009F2A12"/>
    <w:rsid w:val="009F4D23"/>
    <w:rsid w:val="009F5944"/>
    <w:rsid w:val="00A01DF7"/>
    <w:rsid w:val="00A02B9A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4450"/>
    <w:rsid w:val="00A51726"/>
    <w:rsid w:val="00A55B10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5FFA"/>
    <w:rsid w:val="00B66280"/>
    <w:rsid w:val="00B672E0"/>
    <w:rsid w:val="00B67B3F"/>
    <w:rsid w:val="00B82460"/>
    <w:rsid w:val="00B85595"/>
    <w:rsid w:val="00B85B48"/>
    <w:rsid w:val="00B87D3C"/>
    <w:rsid w:val="00B93409"/>
    <w:rsid w:val="00B9428C"/>
    <w:rsid w:val="00B954D1"/>
    <w:rsid w:val="00B95EBD"/>
    <w:rsid w:val="00B96009"/>
    <w:rsid w:val="00B97569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509E8"/>
    <w:rsid w:val="00C512FB"/>
    <w:rsid w:val="00C52B74"/>
    <w:rsid w:val="00C53537"/>
    <w:rsid w:val="00C55731"/>
    <w:rsid w:val="00C5699F"/>
    <w:rsid w:val="00C56E6B"/>
    <w:rsid w:val="00C57402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380"/>
    <w:rsid w:val="00CC1C1B"/>
    <w:rsid w:val="00CC4D91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AB8"/>
    <w:rsid w:val="00D625BC"/>
    <w:rsid w:val="00D63371"/>
    <w:rsid w:val="00D63DE7"/>
    <w:rsid w:val="00D642BA"/>
    <w:rsid w:val="00D65ABB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2D0C"/>
    <w:rsid w:val="00D9386F"/>
    <w:rsid w:val="00D97864"/>
    <w:rsid w:val="00DA2B78"/>
    <w:rsid w:val="00DA65B7"/>
    <w:rsid w:val="00DB060C"/>
    <w:rsid w:val="00DB4214"/>
    <w:rsid w:val="00DB556B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6A8"/>
    <w:rsid w:val="00E139D8"/>
    <w:rsid w:val="00E1419E"/>
    <w:rsid w:val="00E16D7A"/>
    <w:rsid w:val="00E2027E"/>
    <w:rsid w:val="00E20AD9"/>
    <w:rsid w:val="00E26EBE"/>
    <w:rsid w:val="00E31C40"/>
    <w:rsid w:val="00E3228F"/>
    <w:rsid w:val="00E32A93"/>
    <w:rsid w:val="00E34821"/>
    <w:rsid w:val="00E34DCE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1C86"/>
    <w:rsid w:val="00ED6A67"/>
    <w:rsid w:val="00ED70FC"/>
    <w:rsid w:val="00EE04B0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15D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D66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A2552"/>
    <w:rsid w:val="00FA32EA"/>
    <w:rsid w:val="00FA6462"/>
    <w:rsid w:val="00FA7213"/>
    <w:rsid w:val="00FA724A"/>
    <w:rsid w:val="00FA7E2E"/>
    <w:rsid w:val="00FB0460"/>
    <w:rsid w:val="00FB32B0"/>
    <w:rsid w:val="00FB4768"/>
    <w:rsid w:val="00FC0746"/>
    <w:rsid w:val="00FC10AC"/>
    <w:rsid w:val="00FC76DF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A073D5B-E225-42AE-BE1D-4A6BA97F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71F54-F2A6-4591-948B-08142F890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3733</Words>
  <Characters>2129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2025-01-23T15:21:00Z</dcterms:created>
  <dcterms:modified xsi:type="dcterms:W3CDTF">2025-01-23T15:21:00Z</dcterms:modified>
</cp:coreProperties>
</file>