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FC73F7">
      <w:pPr>
        <w:jc w:val="center"/>
        <w:rPr>
          <w:b/>
          <w:sz w:val="16"/>
          <w:szCs w:val="16"/>
        </w:rPr>
      </w:pPr>
    </w:p>
    <w:p w:rsidR="00FC73F7" w:rsidRPr="007129FF" w:rsidRDefault="00FC73F7" w:rsidP="00B765BD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B765BD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Pr="009A0A5D" w:rsidRDefault="00B765BD" w:rsidP="00B765BD">
      <w:pPr>
        <w:ind w:left="-851" w:right="-766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 грудня 2025 року                                                                                           № 1835</w:t>
      </w:r>
    </w:p>
    <w:p w:rsidR="00D43DC6" w:rsidRDefault="00D43DC6" w:rsidP="00B765BD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DD720D" w:rsidRDefault="00BA5C8C" w:rsidP="00B765BD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Про державну реєстрацію лікарськ</w:t>
      </w:r>
      <w:r w:rsidR="005B3413">
        <w:rPr>
          <w:rFonts w:ascii="Times New Roman" w:hAnsi="Times New Roman"/>
          <w:b/>
          <w:color w:val="auto"/>
          <w:sz w:val="28"/>
          <w:szCs w:val="28"/>
          <w:lang w:val="uk-UA"/>
        </w:rPr>
        <w:t>их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засоб</w:t>
      </w:r>
      <w:r w:rsidR="005B3413">
        <w:rPr>
          <w:rFonts w:ascii="Times New Roman" w:hAnsi="Times New Roman"/>
          <w:b/>
          <w:color w:val="auto"/>
          <w:sz w:val="28"/>
          <w:szCs w:val="28"/>
          <w:lang w:val="uk-UA"/>
        </w:rPr>
        <w:t>ів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 w:rsidR="005B3413">
        <w:rPr>
          <w:rFonts w:ascii="Times New Roman" w:hAnsi="Times New Roman"/>
          <w:b/>
          <w:color w:val="auto"/>
          <w:sz w:val="28"/>
          <w:szCs w:val="28"/>
          <w:lang w:val="uk-UA"/>
        </w:rPr>
        <w:t>і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="008D28CB" w:rsidRPr="008D28CB">
        <w:rPr>
          <w:rFonts w:ascii="Times New Roman" w:hAnsi="Times New Roman"/>
          <w:b/>
          <w:color w:val="auto"/>
          <w:sz w:val="28"/>
          <w:szCs w:val="28"/>
          <w:lang w:val="uk-UA"/>
        </w:rPr>
        <w:t>закупову</w:t>
      </w:r>
      <w:r w:rsidR="005B3413">
        <w:rPr>
          <w:rFonts w:ascii="Times New Roman" w:hAnsi="Times New Roman"/>
          <w:b/>
          <w:color w:val="auto"/>
          <w:sz w:val="28"/>
          <w:szCs w:val="28"/>
          <w:lang w:val="uk-UA"/>
        </w:rPr>
        <w:t>ються</w:t>
      </w:r>
      <w:r w:rsidR="008D28CB" w:rsidRPr="008D28CB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особою, уповноваженою на здійснення закупівель у сфері охорони здоров’я</w:t>
      </w:r>
    </w:p>
    <w:p w:rsidR="00E172D8" w:rsidRDefault="00E172D8" w:rsidP="00B765BD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Default="00D61591" w:rsidP="00B765BD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9067C3">
        <w:rPr>
          <w:rFonts w:ascii="Times New Roman" w:hAnsi="Times New Roman"/>
          <w:sz w:val="28"/>
          <w:szCs w:val="28"/>
          <w:lang w:val="uk-UA"/>
        </w:rPr>
        <w:t xml:space="preserve">частини дванадцятої </w:t>
      </w:r>
      <w:r w:rsidRPr="009067C3">
        <w:rPr>
          <w:rFonts w:ascii="Times New Roman" w:hAnsi="Times New Roman"/>
          <w:sz w:val="28"/>
          <w:szCs w:val="28"/>
          <w:lang w:val="uk-UA"/>
        </w:rPr>
        <w:t>статт</w:t>
      </w:r>
      <w:r w:rsidR="009067C3" w:rsidRPr="009067C3">
        <w:rPr>
          <w:rFonts w:ascii="Times New Roman" w:hAnsi="Times New Roman"/>
          <w:sz w:val="28"/>
          <w:szCs w:val="28"/>
          <w:lang w:val="uk-UA"/>
        </w:rPr>
        <w:t>і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5ED" w:rsidRPr="009067C3">
        <w:rPr>
          <w:rFonts w:ascii="Times New Roman" w:hAnsi="Times New Roman"/>
          <w:sz w:val="28"/>
          <w:szCs w:val="28"/>
          <w:lang w:val="uk-UA"/>
        </w:rPr>
        <w:t>9</w:t>
      </w:r>
      <w:r w:rsidR="00F535ED" w:rsidRPr="009067C3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Закону України «Про лікарські засоби», абзацу 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EA0943">
        <w:rPr>
          <w:rFonts w:ascii="Times New Roman" w:hAnsi="Times New Roman"/>
          <w:sz w:val="28"/>
          <w:szCs w:val="28"/>
          <w:lang w:val="uk-UA"/>
        </w:rPr>
        <w:t>п’ятого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>2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(в 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>редакції постанови Кабінету Міністрів України від 24 січня 2020 р</w:t>
      </w:r>
      <w:r w:rsidR="000B095E" w:rsidRPr="00781DB2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 xml:space="preserve"> № 90)</w:t>
      </w:r>
      <w:r w:rsidRPr="00781DB2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781DB2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розділу І </w:t>
      </w:r>
      <w:r w:rsidR="00D3230F" w:rsidRPr="00781DB2">
        <w:rPr>
          <w:rFonts w:ascii="Times New Roman" w:hAnsi="Times New Roman"/>
          <w:sz w:val="28"/>
          <w:szCs w:val="28"/>
          <w:lang w:val="uk-UA"/>
        </w:rPr>
        <w:t xml:space="preserve">та підпункту 1 пункту 2 розділу ІІІ 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>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або спеціалізованою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 xml:space="preserve">організацією, затвердженого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>наказом Міністерства охорони здоров'я України від 15 червня 2020 року № 1391, зареєстрованого в Міністерстві юстиції України 14 липня 2020 року за № 659/34942,</w:t>
      </w:r>
      <w:r w:rsidR="00A24656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>перев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ірок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реєстраційних матеріалів</w:t>
      </w:r>
      <w:r w:rsidR="00E62511" w:rsidRPr="00F851E8">
        <w:rPr>
          <w:rFonts w:ascii="Times New Roman" w:hAnsi="Times New Roman"/>
          <w:sz w:val="28"/>
          <w:szCs w:val="28"/>
          <w:lang w:val="uk-UA"/>
        </w:rPr>
        <w:t xml:space="preserve"> на їх автентичність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, доданих до </w:t>
      </w:r>
      <w:r w:rsidR="004F62B6">
        <w:rPr>
          <w:rFonts w:ascii="Times New Roman" w:hAnsi="Times New Roman"/>
          <w:sz w:val="28"/>
          <w:szCs w:val="28"/>
          <w:lang w:val="uk-UA"/>
        </w:rPr>
        <w:t>з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аяв</w:t>
      </w:r>
      <w:r w:rsidR="004F62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62B6" w:rsidRPr="004F62B6">
        <w:rPr>
          <w:rFonts w:ascii="Times New Roman" w:hAnsi="Times New Roman"/>
          <w:sz w:val="28"/>
          <w:szCs w:val="28"/>
          <w:lang w:val="uk-UA"/>
        </w:rPr>
        <w:t>про державну реєстрацію лікарського засобу, який закуповується особою, уповноваженою на здійснення закупівель у сфері охорони здоров’я, або лікарського засобу, який підлягає закупівлі спеціалізованою організацією</w:t>
      </w:r>
      <w:r w:rsidR="004F62B6">
        <w:rPr>
          <w:rFonts w:ascii="Times New Roman" w:hAnsi="Times New Roman"/>
          <w:sz w:val="28"/>
          <w:szCs w:val="28"/>
          <w:lang w:val="uk-UA"/>
        </w:rPr>
        <w:t>,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 xml:space="preserve"> від 25 серпня 2025 року № 25590</w:t>
      </w:r>
      <w:r w:rsidR="004F62B6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CB0C75" w:rsidRPr="00F851E8">
        <w:rPr>
          <w:rFonts w:ascii="Times New Roman" w:hAnsi="Times New Roman"/>
          <w:sz w:val="28"/>
          <w:szCs w:val="28"/>
          <w:lang w:val="uk-UA"/>
        </w:rPr>
        <w:t xml:space="preserve">від 30 вересня 2025 року № 28881,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>проведен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их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62B6">
        <w:rPr>
          <w:rFonts w:ascii="Times New Roman" w:hAnsi="Times New Roman"/>
          <w:sz w:val="28"/>
          <w:szCs w:val="28"/>
          <w:lang w:val="uk-UA"/>
        </w:rPr>
        <w:t>д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</w:t>
      </w:r>
      <w:r w:rsidR="00454658" w:rsidRPr="00F851E8">
        <w:rPr>
          <w:rFonts w:ascii="Times New Roman" w:hAnsi="Times New Roman"/>
          <w:sz w:val="28"/>
          <w:szCs w:val="28"/>
          <w:lang w:val="uk-UA"/>
        </w:rPr>
        <w:t>,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висновк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ів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F851E8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F851E8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F851E8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 у сфері охорони здоров'я, або спеціалізованою організацією</w:t>
      </w:r>
      <w:r w:rsidR="001C5C4B" w:rsidRPr="00F851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596F" w:rsidRPr="00F851E8">
        <w:rPr>
          <w:rFonts w:ascii="Times New Roman" w:hAnsi="Times New Roman"/>
          <w:sz w:val="28"/>
          <w:szCs w:val="28"/>
          <w:lang w:val="uk-UA"/>
        </w:rPr>
        <w:t>від</w:t>
      </w:r>
      <w:r w:rsidR="00CB0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B0C75" w:rsidRPr="00F851E8">
        <w:rPr>
          <w:rFonts w:ascii="Times New Roman" w:hAnsi="Times New Roman"/>
          <w:sz w:val="28"/>
          <w:szCs w:val="28"/>
          <w:lang w:val="uk-UA"/>
        </w:rPr>
        <w:t>26 вересня 2025 року</w:t>
      </w:r>
      <w:r w:rsidR="00CB0C75">
        <w:rPr>
          <w:rFonts w:ascii="Times New Roman" w:hAnsi="Times New Roman"/>
          <w:sz w:val="28"/>
          <w:szCs w:val="28"/>
          <w:lang w:val="uk-UA"/>
        </w:rPr>
        <w:t xml:space="preserve"> та від</w:t>
      </w:r>
      <w:r w:rsidR="00D3596F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21B6" w:rsidRPr="00F851E8">
        <w:rPr>
          <w:rFonts w:ascii="Times New Roman" w:hAnsi="Times New Roman"/>
          <w:sz w:val="28"/>
          <w:szCs w:val="28"/>
          <w:lang w:val="uk-UA"/>
        </w:rPr>
        <w:t>21</w:t>
      </w:r>
      <w:r w:rsidR="00D3596F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>жовтня</w:t>
      </w:r>
      <w:r w:rsidR="00D3596F" w:rsidRPr="00F851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C00CCA" w:rsidRPr="00F851E8">
        <w:rPr>
          <w:rFonts w:ascii="Times New Roman" w:hAnsi="Times New Roman"/>
          <w:sz w:val="28"/>
          <w:szCs w:val="28"/>
          <w:lang w:val="uk-UA"/>
        </w:rPr>
        <w:t>5</w:t>
      </w:r>
      <w:r w:rsidR="00D3596F" w:rsidRPr="00F851E8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996B73" w:rsidRPr="00F851E8">
        <w:rPr>
          <w:rFonts w:ascii="Times New Roman" w:hAnsi="Times New Roman"/>
          <w:sz w:val="28"/>
          <w:szCs w:val="28"/>
          <w:lang w:val="uk-UA"/>
        </w:rPr>
        <w:t>, що надійш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ли</w:t>
      </w:r>
      <w:r w:rsidR="00996B73" w:rsidRPr="00F851E8">
        <w:rPr>
          <w:rFonts w:ascii="Times New Roman" w:hAnsi="Times New Roman"/>
          <w:sz w:val="28"/>
          <w:szCs w:val="28"/>
          <w:lang w:val="uk-UA"/>
        </w:rPr>
        <w:t xml:space="preserve"> до Міністерства охорони здоров'я України лист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ами</w:t>
      </w:r>
      <w:r w:rsidR="00996B73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62B6">
        <w:rPr>
          <w:rFonts w:ascii="Times New Roman" w:hAnsi="Times New Roman"/>
          <w:sz w:val="28"/>
          <w:szCs w:val="28"/>
          <w:lang w:val="uk-UA"/>
        </w:rPr>
        <w:t>д</w:t>
      </w:r>
      <w:r w:rsidR="004F62B6" w:rsidRPr="00F851E8">
        <w:rPr>
          <w:rFonts w:ascii="Times New Roman" w:hAnsi="Times New Roman"/>
          <w:sz w:val="28"/>
          <w:szCs w:val="28"/>
          <w:lang w:val="uk-UA"/>
        </w:rPr>
        <w:t>ержавн</w:t>
      </w:r>
      <w:r w:rsidR="004F62B6">
        <w:rPr>
          <w:rFonts w:ascii="Times New Roman" w:hAnsi="Times New Roman"/>
          <w:sz w:val="28"/>
          <w:szCs w:val="28"/>
          <w:lang w:val="uk-UA"/>
        </w:rPr>
        <w:t>ого</w:t>
      </w:r>
      <w:r w:rsidR="004F62B6" w:rsidRPr="00F851E8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4F62B6">
        <w:rPr>
          <w:rFonts w:ascii="Times New Roman" w:hAnsi="Times New Roman"/>
          <w:sz w:val="28"/>
          <w:szCs w:val="28"/>
          <w:lang w:val="uk-UA"/>
        </w:rPr>
        <w:t>а</w:t>
      </w:r>
      <w:r w:rsidR="004F62B6" w:rsidRPr="00F851E8">
        <w:rPr>
          <w:rFonts w:ascii="Times New Roman" w:hAnsi="Times New Roman"/>
          <w:sz w:val="28"/>
          <w:szCs w:val="28"/>
          <w:lang w:val="uk-UA"/>
        </w:rPr>
        <w:t xml:space="preserve"> «Державний експертний центр Міністерства охорони здоров’я України»</w:t>
      </w:r>
      <w:r w:rsidR="004F62B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B73" w:rsidRPr="00F851E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54DA7" w:rsidRPr="00F851E8">
        <w:rPr>
          <w:rFonts w:ascii="Times New Roman" w:hAnsi="Times New Roman"/>
          <w:sz w:val="28"/>
          <w:szCs w:val="28"/>
          <w:lang w:val="uk-UA"/>
        </w:rPr>
        <w:t>26 вересня 2025 року № 2594/5.2-25</w:t>
      </w:r>
      <w:r w:rsidR="00A54DA7">
        <w:rPr>
          <w:rFonts w:ascii="Times New Roman" w:hAnsi="Times New Roman"/>
          <w:sz w:val="28"/>
          <w:szCs w:val="28"/>
          <w:lang w:val="uk-UA"/>
        </w:rPr>
        <w:t xml:space="preserve"> та від </w:t>
      </w:r>
      <w:r w:rsidR="001F24CA" w:rsidRPr="00F851E8">
        <w:rPr>
          <w:rFonts w:ascii="Times New Roman" w:hAnsi="Times New Roman"/>
          <w:sz w:val="28"/>
          <w:szCs w:val="28"/>
          <w:lang w:val="uk-UA"/>
        </w:rPr>
        <w:t>2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>2</w:t>
      </w:r>
      <w:r w:rsidR="001F24CA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 xml:space="preserve">жовтня </w:t>
      </w:r>
      <w:r w:rsidR="001F24CA" w:rsidRPr="00F851E8">
        <w:rPr>
          <w:rFonts w:ascii="Times New Roman" w:hAnsi="Times New Roman"/>
          <w:sz w:val="28"/>
          <w:szCs w:val="28"/>
          <w:lang w:val="uk-UA"/>
        </w:rPr>
        <w:t xml:space="preserve">2025 року № 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>2848</w:t>
      </w:r>
      <w:r w:rsidR="001F24CA" w:rsidRPr="00F851E8">
        <w:rPr>
          <w:rFonts w:ascii="Times New Roman" w:hAnsi="Times New Roman"/>
          <w:sz w:val="28"/>
          <w:szCs w:val="28"/>
          <w:lang w:val="uk-UA"/>
        </w:rPr>
        <w:t>/5.2-25,</w:t>
      </w:r>
    </w:p>
    <w:p w:rsidR="00B1013D" w:rsidRPr="00B55111" w:rsidRDefault="00B1013D" w:rsidP="00B765BD">
      <w:pPr>
        <w:pStyle w:val="31"/>
        <w:spacing w:after="0"/>
        <w:ind w:left="0"/>
        <w:rPr>
          <w:b/>
          <w:bCs/>
          <w:lang w:val="uk-UA"/>
        </w:rPr>
      </w:pPr>
    </w:p>
    <w:p w:rsidR="00FC73F7" w:rsidRDefault="00FC73F7" w:rsidP="00B765BD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B55111" w:rsidRDefault="00427953" w:rsidP="00B765BD">
      <w:pPr>
        <w:pStyle w:val="31"/>
        <w:spacing w:after="0"/>
        <w:ind w:left="0"/>
        <w:rPr>
          <w:b/>
          <w:bCs/>
          <w:lang w:val="uk-UA"/>
        </w:rPr>
      </w:pPr>
    </w:p>
    <w:p w:rsidR="00C15335" w:rsidRDefault="00C15335" w:rsidP="00B765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</w:t>
      </w:r>
      <w:r>
        <w:rPr>
          <w:noProof/>
          <w:sz w:val="28"/>
          <w:szCs w:val="28"/>
          <w:lang w:val="uk-UA"/>
        </w:rPr>
        <w:t>лікарський засіб, який</w:t>
      </w:r>
      <w:r w:rsidRPr="00B55111">
        <w:rPr>
          <w:noProof/>
          <w:sz w:val="28"/>
          <w:szCs w:val="28"/>
          <w:lang w:val="uk-UA"/>
        </w:rPr>
        <w:t xml:space="preserve"> </w:t>
      </w:r>
      <w:r w:rsidRPr="002C2593">
        <w:rPr>
          <w:noProof/>
          <w:sz w:val="28"/>
          <w:szCs w:val="28"/>
          <w:lang w:val="uk-UA"/>
        </w:rPr>
        <w:t xml:space="preserve">закуповується особою, уповноваженою на здійснення закупівель у сфері охорони здоров’я, та </w:t>
      </w:r>
      <w:r w:rsidRPr="003C3294">
        <w:rPr>
          <w:noProof/>
          <w:sz w:val="28"/>
          <w:szCs w:val="28"/>
          <w:lang w:val="uk-UA"/>
        </w:rPr>
        <w:t>подається</w:t>
      </w:r>
      <w:r w:rsidRPr="002C2593">
        <w:rPr>
          <w:noProof/>
          <w:sz w:val="28"/>
          <w:szCs w:val="28"/>
          <w:lang w:val="uk-UA"/>
        </w:rPr>
        <w:t xml:space="preserve"> на державну реєстрацію після визначення переможця процедури закупівлі</w:t>
      </w:r>
      <w:r>
        <w:rPr>
          <w:noProof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 внести до Державного реєстру лікарських засобів згідно з додатком 1.</w:t>
      </w:r>
    </w:p>
    <w:p w:rsidR="00C15335" w:rsidRDefault="00C15335" w:rsidP="00B765BD">
      <w:pPr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366A85" w:rsidRDefault="00366A85" w:rsidP="00B765BD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</w:t>
      </w:r>
      <w:r w:rsidR="00C15335">
        <w:rPr>
          <w:noProof/>
          <w:sz w:val="28"/>
          <w:szCs w:val="28"/>
          <w:lang w:val="uk-UA"/>
        </w:rPr>
        <w:t>лікарський засіб, який</w:t>
      </w:r>
      <w:r w:rsidR="00C15335" w:rsidRPr="00B55111">
        <w:rPr>
          <w:noProof/>
          <w:sz w:val="28"/>
          <w:szCs w:val="28"/>
          <w:lang w:val="uk-UA"/>
        </w:rPr>
        <w:t xml:space="preserve"> </w:t>
      </w:r>
      <w:r w:rsidR="00C15335" w:rsidRPr="002C2593">
        <w:rPr>
          <w:noProof/>
          <w:sz w:val="28"/>
          <w:szCs w:val="28"/>
          <w:lang w:val="uk-UA"/>
        </w:rPr>
        <w:t xml:space="preserve">закуповується особою, уповноваженою на здійснення закупівель у сфері охорони здоров’я, </w:t>
      </w:r>
      <w:r>
        <w:rPr>
          <w:sz w:val="28"/>
          <w:szCs w:val="28"/>
          <w:lang w:val="uk-UA"/>
        </w:rPr>
        <w:t xml:space="preserve">та внести до Державного реєстру лікарських засобів згідно з додатком </w:t>
      </w:r>
      <w:r w:rsidR="00C15335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</w:p>
    <w:p w:rsidR="004F5EC1" w:rsidRDefault="004F5EC1" w:rsidP="00B765BD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23764F" w:rsidRDefault="0023764F" w:rsidP="00B765BD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Фармацевтичному управлінню (</w:t>
      </w:r>
      <w:r w:rsidR="00B36C90">
        <w:rPr>
          <w:sz w:val="28"/>
          <w:szCs w:val="28"/>
          <w:lang w:val="uk-UA"/>
        </w:rPr>
        <w:t>Олександру Гріценку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B765BD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B765BD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CC11CD">
        <w:rPr>
          <w:sz w:val="28"/>
          <w:szCs w:val="28"/>
          <w:lang w:val="uk-UA"/>
        </w:rPr>
        <w:t>Едема Адаманова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B765BD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D43DC6" w:rsidRDefault="00D43DC6" w:rsidP="001C656C">
      <w:pPr>
        <w:rPr>
          <w:b/>
          <w:sz w:val="28"/>
          <w:szCs w:val="28"/>
          <w:lang w:val="uk-UA"/>
        </w:rPr>
        <w:sectPr w:rsidR="00D43DC6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D43DC6" w:rsidRPr="0038600F" w:rsidTr="008C2C5C">
        <w:tc>
          <w:tcPr>
            <w:tcW w:w="3906" w:type="dxa"/>
            <w:shd w:val="clear" w:color="auto" w:fill="auto"/>
          </w:tcPr>
          <w:p w:rsidR="00D43DC6" w:rsidRPr="00393322" w:rsidRDefault="00D43DC6" w:rsidP="00CA2B9C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lastRenderedPageBreak/>
              <w:t xml:space="preserve">Додаток </w:t>
            </w:r>
            <w:r>
              <w:rPr>
                <w:sz w:val="18"/>
                <w:szCs w:val="18"/>
              </w:rPr>
              <w:t>1</w:t>
            </w:r>
          </w:p>
          <w:p w:rsidR="00D43DC6" w:rsidRPr="00393322" w:rsidRDefault="00D43DC6" w:rsidP="00CA2B9C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до наказу Міністерства охорони</w:t>
            </w:r>
          </w:p>
          <w:p w:rsidR="00D43DC6" w:rsidRPr="00393322" w:rsidRDefault="00D43DC6" w:rsidP="00CA2B9C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здоров’я України «</w:t>
            </w:r>
            <w:r w:rsidRPr="005679A7">
              <w:rPr>
                <w:sz w:val="18"/>
                <w:szCs w:val="18"/>
              </w:rPr>
              <w:t>Про державну реєстрацію лікарських засобів, які закуповуються особою, уповноваженою на здійснення закупівель у сфері охорони здоров’я</w:t>
            </w:r>
            <w:r w:rsidRPr="00393322">
              <w:rPr>
                <w:sz w:val="18"/>
                <w:szCs w:val="18"/>
              </w:rPr>
              <w:t>»</w:t>
            </w:r>
          </w:p>
          <w:p w:rsidR="00D43DC6" w:rsidRPr="0038600F" w:rsidRDefault="00D43DC6" w:rsidP="00CA2B9C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02 грудня 2025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1835 </w:t>
            </w:r>
          </w:p>
        </w:tc>
      </w:tr>
    </w:tbl>
    <w:p w:rsidR="00D43DC6" w:rsidRDefault="00D43DC6" w:rsidP="00D43DC6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D43DC6" w:rsidRPr="00CA2B9C" w:rsidRDefault="00D43DC6" w:rsidP="00CA2B9C">
      <w:pPr>
        <w:pStyle w:val="4"/>
        <w:tabs>
          <w:tab w:val="left" w:pos="12600"/>
        </w:tabs>
        <w:spacing w:before="0" w:after="0"/>
        <w:jc w:val="center"/>
        <w:rPr>
          <w:rFonts w:ascii="Arial" w:hAnsi="Arial" w:cs="Arial"/>
          <w:caps/>
        </w:rPr>
      </w:pPr>
      <w:r w:rsidRPr="00CA2B9C">
        <w:rPr>
          <w:rFonts w:ascii="Arial" w:hAnsi="Arial" w:cs="Arial"/>
        </w:rPr>
        <w:t>ПЕРЕЛІК</w:t>
      </w:r>
    </w:p>
    <w:p w:rsidR="00D43DC6" w:rsidRPr="00CA2B9C" w:rsidRDefault="00D43DC6" w:rsidP="00CA2B9C">
      <w:pPr>
        <w:pStyle w:val="4"/>
        <w:tabs>
          <w:tab w:val="left" w:pos="12600"/>
        </w:tabs>
        <w:spacing w:before="0" w:after="0"/>
        <w:jc w:val="center"/>
        <w:rPr>
          <w:rFonts w:ascii="Arial" w:hAnsi="Arial" w:cs="Arial"/>
          <w:caps/>
        </w:rPr>
      </w:pPr>
      <w:r w:rsidRPr="00CA2B9C">
        <w:rPr>
          <w:rFonts w:ascii="Arial" w:hAnsi="Arial" w:cs="Arial"/>
          <w:caps/>
        </w:rPr>
        <w:t>зареєстрованих ЛІКАРСЬКИХ ЗАСОБІВ, які вносяться до державного реєстру лікарських засобів З МЕТОЮ ЇХ закупівлі особою, уповноваженою на здійснення закупівель у сфері охорони здоров'я, ТА були ПОДАні НА ДЕРЖАВНУ РЕЄСТРАЦІЮ ПІСЛЯ ВИЗНАЧЕННЯ ПЕРЕМОЖЦЯ ПРОЦЕДУРИ ЗАКУПІВЛІ</w:t>
      </w:r>
    </w:p>
    <w:p w:rsidR="00D43DC6" w:rsidRPr="009836CB" w:rsidRDefault="00D43DC6" w:rsidP="00D43DC6">
      <w:pPr>
        <w:pStyle w:val="Normal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text" w:tblpX="-277" w:tblpY="1"/>
        <w:tblOverlap w:val="never"/>
        <w:tblW w:w="16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1243"/>
        <w:gridCol w:w="2693"/>
        <w:gridCol w:w="992"/>
        <w:gridCol w:w="850"/>
        <w:gridCol w:w="3828"/>
        <w:gridCol w:w="1134"/>
        <w:gridCol w:w="1134"/>
        <w:gridCol w:w="1134"/>
        <w:gridCol w:w="992"/>
        <w:gridCol w:w="1558"/>
      </w:tblGrid>
      <w:tr w:rsidR="00D43DC6" w:rsidRPr="009836CB" w:rsidTr="00CA2B9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43DC6" w:rsidRPr="009836CB" w:rsidTr="00CA2B9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9836CB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3DC6" w:rsidRPr="00433059" w:rsidTr="00CA2B9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433059" w:rsidRDefault="00D43DC6" w:rsidP="00CA2B9C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E4541">
              <w:rPr>
                <w:rFonts w:ascii="Arial" w:hAnsi="Arial" w:cs="Arial"/>
                <w:b/>
                <w:sz w:val="16"/>
                <w:szCs w:val="16"/>
              </w:rPr>
              <w:t>АВТОЗМА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E4541">
              <w:rPr>
                <w:rFonts w:ascii="Arial" w:hAnsi="Arial" w:cs="Arial"/>
                <w:sz w:val="16"/>
                <w:szCs w:val="16"/>
              </w:rPr>
              <w:t xml:space="preserve">розчин для ін'єкцій, 162 мг; по 162 мг/0,9 мл у попередньо наповненому шприцу; по 4 попередньо наповнених шприци в картонній коробці; </w:t>
            </w:r>
          </w:p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EE4541">
              <w:rPr>
                <w:rFonts w:ascii="Arial" w:hAnsi="Arial" w:cs="Arial"/>
                <w:sz w:val="16"/>
                <w:szCs w:val="16"/>
              </w:rPr>
              <w:t>по 4 попередньо наповнених шприци у внутрішній картонній коробці; по 12 попередньо наповнених шприців (3 внутрішні картонні коробки з 4 попередньо наповненими шприцами кожна) у зовнішній картонній коробці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D57">
              <w:rPr>
                <w:rFonts w:ascii="Arial" w:hAnsi="Arial" w:cs="Arial"/>
                <w:sz w:val="16"/>
                <w:szCs w:val="16"/>
              </w:rPr>
              <w:t xml:space="preserve">Деспіна Фарма Лтд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6D57">
              <w:rPr>
                <w:rFonts w:ascii="Arial" w:hAnsi="Arial" w:cs="Arial"/>
                <w:sz w:val="16"/>
                <w:szCs w:val="16"/>
              </w:rPr>
              <w:t>Сполучене Королiвство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541">
              <w:rPr>
                <w:rFonts w:ascii="Arial" w:hAnsi="Arial" w:cs="Arial"/>
                <w:sz w:val="16"/>
                <w:szCs w:val="16"/>
              </w:rPr>
              <w:t>Мідас Фарма ГмбХ, Німеччина (випуск серій уповноваженою особою); СЕЛЛТРІОН Фарм, Інк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EE4541">
              <w:rPr>
                <w:rFonts w:ascii="Arial" w:hAnsi="Arial" w:cs="Arial"/>
                <w:sz w:val="16"/>
                <w:szCs w:val="16"/>
              </w:rPr>
              <w:t>, Республiка Корея  (виробництво лікарського засобу, первинне пакування, комплектування та вторинне пакування, випробування стабільності лікарського засобу, випробування контролю якості лікарського засобу); СЕЛЛТРІОН, Інк., Республiка Корея  (випробування контролю якості лікарського засобу, випробування стабільності лікарського засобу); СЕЛЛТРІОН, Інк., Республiка Корея  (випробування контролю якості лікарського засобу, випробування стабільності лікарського засобу)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541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Республіка Корея</w:t>
            </w:r>
          </w:p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541">
              <w:rPr>
                <w:rFonts w:ascii="Arial" w:hAnsi="Arial" w:cs="Arial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EE4541" w:rsidRDefault="00D43DC6" w:rsidP="00CA2B9C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E454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C6" w:rsidRPr="00482987" w:rsidRDefault="00D43DC6" w:rsidP="00CA2B9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987">
              <w:rPr>
                <w:rFonts w:ascii="Arial" w:hAnsi="Arial" w:cs="Arial"/>
                <w:sz w:val="16"/>
                <w:szCs w:val="16"/>
              </w:rPr>
              <w:t>UA/21025/01/01</w:t>
            </w:r>
          </w:p>
        </w:tc>
      </w:tr>
    </w:tbl>
    <w:p w:rsidR="00D43DC6" w:rsidRDefault="00D43DC6" w:rsidP="00D43DC6">
      <w:pPr>
        <w:pStyle w:val="Normal"/>
        <w:rPr>
          <w:sz w:val="16"/>
          <w:szCs w:val="16"/>
        </w:rPr>
      </w:pPr>
    </w:p>
    <w:p w:rsidR="00D43DC6" w:rsidRDefault="00D43DC6" w:rsidP="00D43DC6">
      <w:pPr>
        <w:pStyle w:val="Normal"/>
        <w:rPr>
          <w:sz w:val="16"/>
          <w:szCs w:val="16"/>
        </w:rPr>
      </w:pPr>
    </w:p>
    <w:p w:rsidR="00D43DC6" w:rsidRDefault="00D43DC6" w:rsidP="00D43DC6">
      <w:pPr>
        <w:pStyle w:val="Normal"/>
        <w:rPr>
          <w:sz w:val="16"/>
          <w:szCs w:val="16"/>
        </w:rPr>
      </w:pPr>
    </w:p>
    <w:p w:rsidR="00D43DC6" w:rsidRDefault="00D43DC6" w:rsidP="00D43DC6">
      <w:pPr>
        <w:pStyle w:val="Normal"/>
        <w:rPr>
          <w:sz w:val="16"/>
          <w:szCs w:val="16"/>
        </w:rPr>
      </w:pPr>
    </w:p>
    <w:p w:rsidR="00D43DC6" w:rsidRPr="00393322" w:rsidRDefault="00D43DC6" w:rsidP="00D43DC6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D43DC6" w:rsidRPr="00393322" w:rsidRDefault="00D43DC6" w:rsidP="00D43DC6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Олександр ГРІЦЕНКО</w:t>
      </w:r>
    </w:p>
    <w:p w:rsidR="00D43DC6" w:rsidRDefault="00D43DC6" w:rsidP="001C656C">
      <w:pPr>
        <w:rPr>
          <w:b/>
          <w:sz w:val="28"/>
          <w:szCs w:val="28"/>
          <w:lang w:val="uk-UA"/>
        </w:rPr>
        <w:sectPr w:rsidR="00D43DC6" w:rsidSect="008C2C5C">
          <w:headerReference w:type="default" r:id="rId12"/>
          <w:pgSz w:w="16838" w:h="11906" w:orient="landscape"/>
          <w:pgMar w:top="568" w:right="850" w:bottom="426" w:left="850" w:header="708" w:footer="708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23005F" w:rsidRPr="0038600F" w:rsidTr="008C2C5C">
        <w:tc>
          <w:tcPr>
            <w:tcW w:w="3906" w:type="dxa"/>
            <w:shd w:val="clear" w:color="auto" w:fill="auto"/>
          </w:tcPr>
          <w:p w:rsidR="0023005F" w:rsidRPr="00393322" w:rsidRDefault="0023005F" w:rsidP="002B1DF4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lastRenderedPageBreak/>
              <w:t xml:space="preserve">Додаток </w:t>
            </w:r>
            <w:r>
              <w:rPr>
                <w:sz w:val="18"/>
                <w:szCs w:val="18"/>
              </w:rPr>
              <w:t>2</w:t>
            </w:r>
          </w:p>
          <w:p w:rsidR="0023005F" w:rsidRPr="00393322" w:rsidRDefault="0023005F" w:rsidP="002B1DF4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до наказу Міністерства охорони</w:t>
            </w:r>
          </w:p>
          <w:p w:rsidR="0023005F" w:rsidRPr="00393322" w:rsidRDefault="0023005F" w:rsidP="002B1DF4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</w:rPr>
            </w:pPr>
            <w:r w:rsidRPr="00393322">
              <w:rPr>
                <w:sz w:val="18"/>
                <w:szCs w:val="18"/>
              </w:rPr>
              <w:t>здоров’я України «</w:t>
            </w:r>
            <w:r w:rsidRPr="00B30E4F">
              <w:rPr>
                <w:sz w:val="18"/>
                <w:szCs w:val="18"/>
              </w:rPr>
              <w:t>Про державну реєстрацію лікарських засобів, які закуповуються особою, уповноваженою на здійснення закупівель у сфері охорони здоров’я</w:t>
            </w:r>
            <w:r w:rsidRPr="00393322">
              <w:rPr>
                <w:sz w:val="18"/>
                <w:szCs w:val="18"/>
              </w:rPr>
              <w:t>»</w:t>
            </w:r>
          </w:p>
          <w:p w:rsidR="0023005F" w:rsidRPr="0038600F" w:rsidRDefault="0023005F" w:rsidP="002B1DF4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D54306">
              <w:rPr>
                <w:bCs w:val="0"/>
                <w:iCs/>
                <w:sz w:val="18"/>
                <w:szCs w:val="18"/>
                <w:u w:val="single"/>
              </w:rPr>
              <w:t xml:space="preserve">від 02 грудня 2025 року № 1835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23005F" w:rsidRDefault="0023005F" w:rsidP="0023005F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23005F" w:rsidRPr="002B1DF4" w:rsidRDefault="0023005F" w:rsidP="002B1DF4">
      <w:pPr>
        <w:pStyle w:val="4"/>
        <w:tabs>
          <w:tab w:val="left" w:pos="12600"/>
        </w:tabs>
        <w:spacing w:before="0" w:after="0"/>
        <w:jc w:val="center"/>
        <w:rPr>
          <w:rFonts w:ascii="Arial" w:hAnsi="Arial" w:cs="Arial"/>
          <w:caps/>
        </w:rPr>
      </w:pPr>
      <w:r w:rsidRPr="002B1DF4">
        <w:rPr>
          <w:rFonts w:ascii="Arial" w:hAnsi="Arial" w:cs="Arial"/>
        </w:rPr>
        <w:t>ПЕРЕЛІК</w:t>
      </w:r>
    </w:p>
    <w:p w:rsidR="002B1DF4" w:rsidRPr="002B1DF4" w:rsidRDefault="0023005F" w:rsidP="002B1DF4">
      <w:pPr>
        <w:pStyle w:val="4"/>
        <w:tabs>
          <w:tab w:val="left" w:pos="12600"/>
        </w:tabs>
        <w:spacing w:before="0" w:after="0"/>
        <w:jc w:val="center"/>
      </w:pPr>
      <w:r w:rsidRPr="002B1DF4">
        <w:rPr>
          <w:rFonts w:ascii="Arial" w:hAnsi="Arial" w:cs="Arial"/>
          <w:caps/>
        </w:rPr>
        <w:t>зареєстрованих ЛІКАРСЬКИХ ЗАСОБІВ, які вносяться до державного реєстру лікарських засобів З МЕТОЮ ЇХ закупівлі особою, уповноваженою на здійснення закупівель у сфері охорони здоров'я</w:t>
      </w:r>
    </w:p>
    <w:p w:rsidR="0023005F" w:rsidRPr="002B1DF4" w:rsidRDefault="0023005F" w:rsidP="002B1DF4">
      <w:pPr>
        <w:pStyle w:val="Normal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text" w:tblpX="-169" w:tblpY="1"/>
        <w:tblOverlap w:val="never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52"/>
        <w:gridCol w:w="1984"/>
        <w:gridCol w:w="992"/>
        <w:gridCol w:w="851"/>
        <w:gridCol w:w="3793"/>
        <w:gridCol w:w="1452"/>
        <w:gridCol w:w="1276"/>
        <w:gridCol w:w="1134"/>
        <w:gridCol w:w="992"/>
        <w:gridCol w:w="1558"/>
      </w:tblGrid>
      <w:tr w:rsidR="0023005F" w:rsidRPr="009836CB" w:rsidTr="002B1DF4">
        <w:tc>
          <w:tcPr>
            <w:tcW w:w="534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52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992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851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3793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52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8" w:type="dxa"/>
            <w:shd w:val="clear" w:color="auto" w:fill="BFBFBF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836C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23005F" w:rsidRPr="009836CB" w:rsidTr="002B1DF4">
        <w:tc>
          <w:tcPr>
            <w:tcW w:w="534" w:type="dxa"/>
          </w:tcPr>
          <w:p w:rsidR="0023005F" w:rsidRPr="009836CB" w:rsidRDefault="0023005F" w:rsidP="002B1DF4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52" w:type="dxa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93" w:type="dxa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2" w:type="dxa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</w:tcPr>
          <w:p w:rsidR="0023005F" w:rsidRPr="009836CB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3005F" w:rsidRPr="00433059" w:rsidTr="002B1DF4">
        <w:tc>
          <w:tcPr>
            <w:tcW w:w="534" w:type="dxa"/>
          </w:tcPr>
          <w:p w:rsidR="0023005F" w:rsidRPr="007A0992" w:rsidRDefault="0023005F" w:rsidP="002B1DF4">
            <w:pPr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52" w:type="dxa"/>
          </w:tcPr>
          <w:p w:rsidR="0023005F" w:rsidRPr="0017384C" w:rsidRDefault="0023005F" w:rsidP="002B1DF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b/>
                <w:sz w:val="16"/>
                <w:szCs w:val="16"/>
              </w:rPr>
              <w:t>ПЕЛГРАЗ PELGRAZ</w:t>
            </w:r>
          </w:p>
        </w:tc>
        <w:tc>
          <w:tcPr>
            <w:tcW w:w="1984" w:type="dxa"/>
          </w:tcPr>
          <w:p w:rsidR="0023005F" w:rsidRPr="0017384C" w:rsidRDefault="0023005F" w:rsidP="002B1DF4">
            <w:pPr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6 мг/0,6 мл, по 0,6 мл (6 мг) у попередньо наповненому шприці (скло тип I) із стаціонарно закріпленою голкою для ін'єкцій із нержавіючої сталі із захисним кожухом голки, по 1 шприцу у блістері, по 1 блістеру та 1 спиртовій серветці у пачці</w:t>
            </w:r>
          </w:p>
        </w:tc>
        <w:tc>
          <w:tcPr>
            <w:tcW w:w="992" w:type="dxa"/>
          </w:tcPr>
          <w:p w:rsidR="0023005F" w:rsidRPr="0017384C" w:rsidRDefault="0023005F" w:rsidP="002B1DF4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Аккорд Хелскеа С.Л.У.</w:t>
            </w:r>
          </w:p>
        </w:tc>
        <w:tc>
          <w:tcPr>
            <w:tcW w:w="851" w:type="dxa"/>
          </w:tcPr>
          <w:p w:rsidR="0023005F" w:rsidRPr="0017384C" w:rsidRDefault="0023005F" w:rsidP="002B1DF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Іспанiя</w:t>
            </w:r>
          </w:p>
        </w:tc>
        <w:tc>
          <w:tcPr>
            <w:tcW w:w="3793" w:type="dxa"/>
          </w:tcPr>
          <w:p w:rsidR="0023005F" w:rsidRPr="0023005F" w:rsidRDefault="0023005F" w:rsidP="002B1DF4">
            <w:pPr>
              <w:ind w:left="20" w:right="20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3005F">
              <w:rPr>
                <w:rFonts w:ascii="Arial" w:hAnsi="Arial" w:cs="Arial"/>
                <w:sz w:val="16"/>
                <w:szCs w:val="16"/>
                <w:lang w:val="uk-UA"/>
              </w:rPr>
              <w:t>Аккорд Хелскеа Б.В., Нідерланди (імпорт); Аккорд Хелскеа Лімітед, Велика Британ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23005F">
              <w:rPr>
                <w:rFonts w:ascii="Arial" w:hAnsi="Arial" w:cs="Arial"/>
                <w:sz w:val="16"/>
                <w:szCs w:val="16"/>
                <w:lang w:val="uk-UA"/>
              </w:rPr>
              <w:t>я (збірка попередньо заповненого шприца у попередньо заповнений інжектор (інжектор із самодозуванням) вторинне пакування); Аккорд Хелскеа Полска Сп. з о.о. , Польща (випуск серії, імпорт); Аккорд Хелскеа Сінгл Мембер С.А., Грец</w:t>
            </w:r>
            <w:r w:rsidRPr="0017384C">
              <w:rPr>
                <w:rFonts w:ascii="Arial" w:hAnsi="Arial" w:cs="Arial"/>
                <w:sz w:val="16"/>
                <w:szCs w:val="16"/>
              </w:rPr>
              <w:t>i</w:t>
            </w:r>
            <w:r w:rsidRPr="0023005F">
              <w:rPr>
                <w:rFonts w:ascii="Arial" w:hAnsi="Arial" w:cs="Arial"/>
                <w:sz w:val="16"/>
                <w:szCs w:val="16"/>
                <w:lang w:val="uk-UA"/>
              </w:rPr>
              <w:t>я (випуск серії, імпорт, випробування контролю якості); Інтас Фармасьютікалз Лімітед, Індія (виробництво; випробування під час виробництва, випробування для випуску, випробування по стабільності; первинне пакування, маркування шприців, комплектація упаковки та вторинне пакування; третинне пакування; зберігання до відправлення, випробування контролю якості перед відправленням до ЄС ); Лабораторі Фундасіо Дау, Іспан</w:t>
            </w:r>
            <w:r w:rsidRPr="0017384C">
              <w:rPr>
                <w:rFonts w:ascii="Arial" w:hAnsi="Arial" w:cs="Arial"/>
                <w:sz w:val="16"/>
                <w:szCs w:val="16"/>
              </w:rPr>
              <w:t>i</w:t>
            </w:r>
            <w:r w:rsidRPr="0023005F">
              <w:rPr>
                <w:rFonts w:ascii="Arial" w:hAnsi="Arial" w:cs="Arial"/>
                <w:sz w:val="16"/>
                <w:szCs w:val="16"/>
                <w:lang w:val="uk-UA"/>
              </w:rPr>
              <w:t>я (вторинне пакування); ПозЛаб Сп. з о.о., Польща (випробування контролю якості); Селвіта Сервісиз Сп. з о.о., Польща (випробування контролю якості); Синоптиз Індастріал Сп. з о.о., Польща (вторинне пакування, зберігання); СК Фарма Логістікс ГмбХ, Німеччина (вторинне пакування)</w:t>
            </w:r>
          </w:p>
        </w:tc>
        <w:tc>
          <w:tcPr>
            <w:tcW w:w="1452" w:type="dxa"/>
          </w:tcPr>
          <w:p w:rsidR="0023005F" w:rsidRPr="0017384C" w:rsidRDefault="0023005F" w:rsidP="002B1DF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84C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23005F" w:rsidRPr="0017384C" w:rsidRDefault="0023005F" w:rsidP="002B1DF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7384C">
              <w:rPr>
                <w:rFonts w:ascii="Arial" w:hAnsi="Arial" w:cs="Arial"/>
                <w:sz w:val="16"/>
                <w:szCs w:val="16"/>
              </w:rPr>
              <w:t>Велика Британiя/ Польща/ Грецiя/ Індія/ Німеччина/</w:t>
            </w:r>
          </w:p>
          <w:p w:rsidR="0023005F" w:rsidRPr="0017384C" w:rsidRDefault="0023005F" w:rsidP="002B1DF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276" w:type="dxa"/>
          </w:tcPr>
          <w:p w:rsidR="0023005F" w:rsidRPr="0017384C" w:rsidRDefault="0023005F" w:rsidP="002B1DF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</w:tcPr>
          <w:p w:rsidR="0023005F" w:rsidRPr="0017384C" w:rsidRDefault="0023005F" w:rsidP="002B1DF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i/>
                <w:color w:val="000000"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</w:tcPr>
          <w:p w:rsidR="0023005F" w:rsidRPr="0017384C" w:rsidRDefault="0023005F" w:rsidP="002B1DF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7384C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8" w:type="dxa"/>
          </w:tcPr>
          <w:p w:rsidR="0023005F" w:rsidRPr="0017384C" w:rsidRDefault="0023005F" w:rsidP="002B1DF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384C">
              <w:rPr>
                <w:rFonts w:ascii="Arial" w:hAnsi="Arial" w:cs="Arial"/>
                <w:color w:val="000000"/>
                <w:sz w:val="16"/>
                <w:szCs w:val="16"/>
              </w:rPr>
              <w:t>UA/21041/01/01</w:t>
            </w:r>
          </w:p>
        </w:tc>
      </w:tr>
    </w:tbl>
    <w:p w:rsidR="0023005F" w:rsidRDefault="0023005F" w:rsidP="0023005F">
      <w:pPr>
        <w:pStyle w:val="Normal"/>
        <w:rPr>
          <w:sz w:val="16"/>
          <w:szCs w:val="16"/>
        </w:rPr>
      </w:pPr>
    </w:p>
    <w:p w:rsidR="0023005F" w:rsidRDefault="0023005F" w:rsidP="0023005F">
      <w:pPr>
        <w:pStyle w:val="Normal"/>
        <w:rPr>
          <w:sz w:val="16"/>
          <w:szCs w:val="16"/>
        </w:rPr>
      </w:pPr>
    </w:p>
    <w:p w:rsidR="0023005F" w:rsidRDefault="0023005F" w:rsidP="0023005F">
      <w:pPr>
        <w:pStyle w:val="Normal"/>
        <w:rPr>
          <w:sz w:val="16"/>
          <w:szCs w:val="16"/>
        </w:rPr>
      </w:pPr>
    </w:p>
    <w:p w:rsidR="0023005F" w:rsidRPr="00393322" w:rsidRDefault="0023005F" w:rsidP="0023005F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23005F" w:rsidRPr="00393322" w:rsidRDefault="0023005F" w:rsidP="0023005F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</w:t>
      </w:r>
      <w:r w:rsidRPr="00393322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Олександр ГРІЦЕНКО</w:t>
      </w:r>
    </w:p>
    <w:p w:rsidR="00D43DC6" w:rsidRDefault="00D43DC6" w:rsidP="001C656C">
      <w:pPr>
        <w:rPr>
          <w:b/>
          <w:sz w:val="28"/>
          <w:szCs w:val="28"/>
          <w:lang w:val="uk-UA"/>
        </w:rPr>
      </w:pPr>
    </w:p>
    <w:sectPr w:rsidR="00D43DC6" w:rsidSect="008C2C5C">
      <w:headerReference w:type="default" r:id="rId13"/>
      <w:pgSz w:w="16838" w:h="11906" w:orient="landscape"/>
      <w:pgMar w:top="568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5C" w:rsidRDefault="008C2C5C" w:rsidP="00B217C6">
      <w:r>
        <w:separator/>
      </w:r>
    </w:p>
  </w:endnote>
  <w:endnote w:type="continuationSeparator" w:id="0">
    <w:p w:rsidR="008C2C5C" w:rsidRDefault="008C2C5C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5C" w:rsidRDefault="008C2C5C" w:rsidP="00B217C6">
      <w:r>
        <w:separator/>
      </w:r>
    </w:p>
  </w:footnote>
  <w:footnote w:type="continuationSeparator" w:id="0">
    <w:p w:rsidR="008C2C5C" w:rsidRDefault="008C2C5C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5485A" w:rsidRPr="0015485A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C5C" w:rsidRDefault="008C2C5C" w:rsidP="008C2C5C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CA2B9C">
      <w:rPr>
        <w:noProof/>
      </w:rPr>
      <w:t>4</w:t>
    </w:r>
    <w:r>
      <w:fldChar w:fldCharType="end"/>
    </w:r>
    <w:r>
      <w:tab/>
    </w:r>
    <w:r>
      <w:tab/>
      <w:t xml:space="preserve">                Продовження додатка 1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C5C" w:rsidRDefault="008C2C5C" w:rsidP="008C2C5C">
    <w:pPr>
      <w:pStyle w:val="a3"/>
      <w:tabs>
        <w:tab w:val="center" w:pos="7569"/>
        <w:tab w:val="left" w:pos="1171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63A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5392"/>
    <w:rsid w:val="00057DDC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7C1F"/>
    <w:rsid w:val="00093A91"/>
    <w:rsid w:val="000A05F0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257D"/>
    <w:rsid w:val="00144167"/>
    <w:rsid w:val="0014674C"/>
    <w:rsid w:val="001504B0"/>
    <w:rsid w:val="00150A57"/>
    <w:rsid w:val="001511EA"/>
    <w:rsid w:val="00151E7C"/>
    <w:rsid w:val="0015485A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4C59"/>
    <w:rsid w:val="001767C4"/>
    <w:rsid w:val="0018152B"/>
    <w:rsid w:val="0018449E"/>
    <w:rsid w:val="00190F3B"/>
    <w:rsid w:val="00192786"/>
    <w:rsid w:val="001A488A"/>
    <w:rsid w:val="001A4A80"/>
    <w:rsid w:val="001A74A5"/>
    <w:rsid w:val="001B297D"/>
    <w:rsid w:val="001B2983"/>
    <w:rsid w:val="001B38CA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D66FF"/>
    <w:rsid w:val="001E411B"/>
    <w:rsid w:val="001E7B73"/>
    <w:rsid w:val="001F170A"/>
    <w:rsid w:val="001F24C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005F"/>
    <w:rsid w:val="0023725C"/>
    <w:rsid w:val="0023764F"/>
    <w:rsid w:val="002377C2"/>
    <w:rsid w:val="00237B53"/>
    <w:rsid w:val="0024586C"/>
    <w:rsid w:val="002519DF"/>
    <w:rsid w:val="002526C2"/>
    <w:rsid w:val="0025784A"/>
    <w:rsid w:val="0026014E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A57A0"/>
    <w:rsid w:val="002B1DF4"/>
    <w:rsid w:val="002B5D28"/>
    <w:rsid w:val="002B66F3"/>
    <w:rsid w:val="002B6F2B"/>
    <w:rsid w:val="002C2593"/>
    <w:rsid w:val="002C6D6D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142A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6A85"/>
    <w:rsid w:val="00367075"/>
    <w:rsid w:val="00372C7F"/>
    <w:rsid w:val="00372C98"/>
    <w:rsid w:val="003779B1"/>
    <w:rsid w:val="0038260C"/>
    <w:rsid w:val="00383BE6"/>
    <w:rsid w:val="00383E48"/>
    <w:rsid w:val="00386415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C3294"/>
    <w:rsid w:val="003D0BCB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32AF"/>
    <w:rsid w:val="00427953"/>
    <w:rsid w:val="004353DB"/>
    <w:rsid w:val="0043553E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25BE"/>
    <w:rsid w:val="00492A03"/>
    <w:rsid w:val="004A32F4"/>
    <w:rsid w:val="004A464D"/>
    <w:rsid w:val="004A68C7"/>
    <w:rsid w:val="004B12F8"/>
    <w:rsid w:val="004B1BAF"/>
    <w:rsid w:val="004B348E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2B6"/>
    <w:rsid w:val="004F6412"/>
    <w:rsid w:val="00505BC9"/>
    <w:rsid w:val="00505CFE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46C4F"/>
    <w:rsid w:val="005541FB"/>
    <w:rsid w:val="00557ED8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97442"/>
    <w:rsid w:val="005A36EF"/>
    <w:rsid w:val="005A43AF"/>
    <w:rsid w:val="005A5E82"/>
    <w:rsid w:val="005A6654"/>
    <w:rsid w:val="005A7281"/>
    <w:rsid w:val="005B3413"/>
    <w:rsid w:val="005B3DE8"/>
    <w:rsid w:val="005B59B1"/>
    <w:rsid w:val="005B5F7B"/>
    <w:rsid w:val="005B7D18"/>
    <w:rsid w:val="005C321A"/>
    <w:rsid w:val="005C3F7B"/>
    <w:rsid w:val="005C508D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5F5DE2"/>
    <w:rsid w:val="006061F0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77F82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0A90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12E0"/>
    <w:rsid w:val="007729F1"/>
    <w:rsid w:val="00774281"/>
    <w:rsid w:val="0077447D"/>
    <w:rsid w:val="0077662E"/>
    <w:rsid w:val="0077670D"/>
    <w:rsid w:val="00776CD5"/>
    <w:rsid w:val="00776FCD"/>
    <w:rsid w:val="00781DB2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E16E4"/>
    <w:rsid w:val="007F10B9"/>
    <w:rsid w:val="007F2985"/>
    <w:rsid w:val="0080300D"/>
    <w:rsid w:val="0080560A"/>
    <w:rsid w:val="008124F1"/>
    <w:rsid w:val="00813D5B"/>
    <w:rsid w:val="00815476"/>
    <w:rsid w:val="00816425"/>
    <w:rsid w:val="008207A0"/>
    <w:rsid w:val="00820EB5"/>
    <w:rsid w:val="00821636"/>
    <w:rsid w:val="008243EE"/>
    <w:rsid w:val="00824F40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2172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2C5C"/>
    <w:rsid w:val="008C3957"/>
    <w:rsid w:val="008C615F"/>
    <w:rsid w:val="008C6849"/>
    <w:rsid w:val="008D0BD3"/>
    <w:rsid w:val="008D0CC8"/>
    <w:rsid w:val="008D20C8"/>
    <w:rsid w:val="008D28CB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1EE9"/>
    <w:rsid w:val="00902B04"/>
    <w:rsid w:val="009067C3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3521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65E8F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6B73"/>
    <w:rsid w:val="00997A81"/>
    <w:rsid w:val="009A0A5D"/>
    <w:rsid w:val="009A1394"/>
    <w:rsid w:val="009A1CB5"/>
    <w:rsid w:val="009A36FE"/>
    <w:rsid w:val="009A38E2"/>
    <w:rsid w:val="009A6694"/>
    <w:rsid w:val="009A6796"/>
    <w:rsid w:val="009A7EE2"/>
    <w:rsid w:val="009B3931"/>
    <w:rsid w:val="009B4465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DA7"/>
    <w:rsid w:val="00A54F8F"/>
    <w:rsid w:val="00A561A5"/>
    <w:rsid w:val="00A5654A"/>
    <w:rsid w:val="00A56C79"/>
    <w:rsid w:val="00A609BA"/>
    <w:rsid w:val="00A63563"/>
    <w:rsid w:val="00A644EE"/>
    <w:rsid w:val="00A65019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F0DE7"/>
    <w:rsid w:val="00AF330A"/>
    <w:rsid w:val="00AF495A"/>
    <w:rsid w:val="00B03813"/>
    <w:rsid w:val="00B1013D"/>
    <w:rsid w:val="00B217C6"/>
    <w:rsid w:val="00B230E5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50B98"/>
    <w:rsid w:val="00B55111"/>
    <w:rsid w:val="00B554A4"/>
    <w:rsid w:val="00B56F73"/>
    <w:rsid w:val="00B61EC6"/>
    <w:rsid w:val="00B62C23"/>
    <w:rsid w:val="00B64F61"/>
    <w:rsid w:val="00B67707"/>
    <w:rsid w:val="00B724F1"/>
    <w:rsid w:val="00B765BD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0CCA"/>
    <w:rsid w:val="00C014F0"/>
    <w:rsid w:val="00C02F8B"/>
    <w:rsid w:val="00C0563D"/>
    <w:rsid w:val="00C12515"/>
    <w:rsid w:val="00C1533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21B6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52F4"/>
    <w:rsid w:val="00C86D64"/>
    <w:rsid w:val="00C87CA3"/>
    <w:rsid w:val="00CA2B9C"/>
    <w:rsid w:val="00CA39D5"/>
    <w:rsid w:val="00CA78A1"/>
    <w:rsid w:val="00CB0C75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11CD"/>
    <w:rsid w:val="00CC64BC"/>
    <w:rsid w:val="00CD4763"/>
    <w:rsid w:val="00CD6929"/>
    <w:rsid w:val="00CD75DF"/>
    <w:rsid w:val="00CE01A6"/>
    <w:rsid w:val="00CE459B"/>
    <w:rsid w:val="00CE6B51"/>
    <w:rsid w:val="00CF0579"/>
    <w:rsid w:val="00CF1A43"/>
    <w:rsid w:val="00CF1DD3"/>
    <w:rsid w:val="00CF461B"/>
    <w:rsid w:val="00CF4AF2"/>
    <w:rsid w:val="00D03571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30F"/>
    <w:rsid w:val="00D32FD7"/>
    <w:rsid w:val="00D333C9"/>
    <w:rsid w:val="00D3596F"/>
    <w:rsid w:val="00D42B5A"/>
    <w:rsid w:val="00D43DC6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D720D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172D8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50ED8"/>
    <w:rsid w:val="00E51089"/>
    <w:rsid w:val="00E56F95"/>
    <w:rsid w:val="00E61845"/>
    <w:rsid w:val="00E61998"/>
    <w:rsid w:val="00E6234D"/>
    <w:rsid w:val="00E62511"/>
    <w:rsid w:val="00E62890"/>
    <w:rsid w:val="00E645CA"/>
    <w:rsid w:val="00E65B6D"/>
    <w:rsid w:val="00E6629C"/>
    <w:rsid w:val="00E75E5F"/>
    <w:rsid w:val="00E8056D"/>
    <w:rsid w:val="00E82912"/>
    <w:rsid w:val="00E83A0A"/>
    <w:rsid w:val="00EA0943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D7685"/>
    <w:rsid w:val="00EE679E"/>
    <w:rsid w:val="00EE7407"/>
    <w:rsid w:val="00EF2074"/>
    <w:rsid w:val="00EF25B7"/>
    <w:rsid w:val="00EF589F"/>
    <w:rsid w:val="00EF77FB"/>
    <w:rsid w:val="00F04D5A"/>
    <w:rsid w:val="00F056D9"/>
    <w:rsid w:val="00F06E77"/>
    <w:rsid w:val="00F1068C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851E8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CC63FF8-7505-4871-9336-37D95C09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Normal,Обычный11,Звичайний2,Звичайний3"/>
    <w:basedOn w:val="a"/>
    <w:qFormat/>
    <w:rsid w:val="00D43DC6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1145</Words>
  <Characters>6530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2020-07-30T15:32:00Z</cp:lastPrinted>
  <dcterms:created xsi:type="dcterms:W3CDTF">2025-12-04T14:12:00Z</dcterms:created>
  <dcterms:modified xsi:type="dcterms:W3CDTF">2025-12-04T14:12:00Z</dcterms:modified>
</cp:coreProperties>
</file>