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85F" w:rsidRDefault="006D55BF">
      <w:r>
        <w:t xml:space="preserve">                                                                                                                                                         Додаток </w:t>
      </w:r>
      <w:r w:rsidRPr="005905AC">
        <w:rPr>
          <w:lang w:val="ru-RU"/>
        </w:rPr>
        <w:t>1</w:t>
      </w:r>
    </w:p>
    <w:p w:rsidR="00242F1B" w:rsidRDefault="006D55BF">
      <w:pPr>
        <w:ind w:left="9214"/>
        <w:rPr>
          <w:rFonts w:eastAsia="Times New Roman"/>
          <w:szCs w:val="24"/>
        </w:rPr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 w:rsidR="00146C0E">
        <w:rPr>
          <w:rFonts w:eastAsia="Times New Roman"/>
          <w:szCs w:val="24"/>
        </w:rPr>
        <w:t xml:space="preserve"> «</w:t>
      </w:r>
      <w:r w:rsidR="00146C0E" w:rsidRPr="00146C0E">
        <w:rPr>
          <w:rFonts w:eastAsia="Times New Roman"/>
          <w:szCs w:val="24"/>
        </w:rPr>
        <w:t>Про проведення клінічного</w:t>
      </w:r>
      <w:r w:rsidR="00146C0E">
        <w:rPr>
          <w:rFonts w:eastAsia="Times New Roman"/>
          <w:szCs w:val="24"/>
        </w:rPr>
        <w:t xml:space="preserve"> </w:t>
      </w:r>
      <w:r w:rsidR="00146C0E" w:rsidRPr="00146C0E">
        <w:rPr>
          <w:rFonts w:eastAsia="Times New Roman"/>
          <w:szCs w:val="24"/>
        </w:rPr>
        <w:t>випробування лікарського засобу</w:t>
      </w:r>
      <w:r w:rsidR="00146C0E">
        <w:rPr>
          <w:rFonts w:eastAsia="Times New Roman"/>
          <w:szCs w:val="24"/>
        </w:rPr>
        <w:t xml:space="preserve"> </w:t>
      </w:r>
      <w:r w:rsidR="00146C0E" w:rsidRPr="00146C0E">
        <w:rPr>
          <w:rFonts w:eastAsia="Times New Roman"/>
          <w:szCs w:val="24"/>
        </w:rPr>
        <w:t>та затвердження суттєвих поправок</w:t>
      </w:r>
      <w:r w:rsidR="00146C0E">
        <w:rPr>
          <w:rFonts w:eastAsia="Times New Roman"/>
          <w:szCs w:val="24"/>
        </w:rPr>
        <w:t xml:space="preserve">» </w:t>
      </w:r>
    </w:p>
    <w:p w:rsidR="0010485F" w:rsidRDefault="00242F1B">
      <w:pPr>
        <w:ind w:left="9214"/>
      </w:pPr>
      <w:r w:rsidRPr="00242F1B">
        <w:rPr>
          <w:u w:val="single"/>
        </w:rPr>
        <w:t>07.04.2026</w:t>
      </w:r>
      <w:r w:rsidR="006D55BF">
        <w:t xml:space="preserve"> № </w:t>
      </w:r>
      <w:r w:rsidRPr="00242F1B">
        <w:rPr>
          <w:u w:val="single"/>
        </w:rPr>
        <w:t>471</w:t>
      </w:r>
    </w:p>
    <w:p w:rsidR="0010485F" w:rsidRDefault="0010485F">
      <w:pPr>
        <w:rPr>
          <w:lang w:val="ru-RU"/>
        </w:rPr>
      </w:pPr>
    </w:p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1048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Default="006D55BF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Назва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клінічного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, код, </w:t>
            </w:r>
            <w:proofErr w:type="spellStart"/>
            <w:r>
              <w:rPr>
                <w:szCs w:val="24"/>
                <w:lang w:val="ru-RU"/>
              </w:rPr>
              <w:t>версія</w:t>
            </w:r>
            <w:proofErr w:type="spellEnd"/>
            <w:r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5905AC" w:rsidRDefault="001856DD">
            <w:pPr>
              <w:jc w:val="both"/>
            </w:pPr>
            <w:r w:rsidRPr="001856DD">
              <w:rPr>
                <w:color w:val="000000"/>
              </w:rPr>
              <w:t>«</w:t>
            </w:r>
            <w:proofErr w:type="spellStart"/>
            <w:r w:rsidR="006D55BF">
              <w:t>Багатоцентрове</w:t>
            </w:r>
            <w:proofErr w:type="spellEnd"/>
            <w:r w:rsidR="006D55BF">
              <w:t xml:space="preserve"> платформне дослідження ІІ фази з оцінки безпечності, ефективності, </w:t>
            </w:r>
            <w:proofErr w:type="spellStart"/>
            <w:r w:rsidR="006D55BF">
              <w:t>фармакокінетичних</w:t>
            </w:r>
            <w:proofErr w:type="spellEnd"/>
            <w:r w:rsidR="006D55BF">
              <w:t xml:space="preserve"> і </w:t>
            </w:r>
            <w:proofErr w:type="spellStart"/>
            <w:r w:rsidR="006D55BF">
              <w:t>фармакодинамічних</w:t>
            </w:r>
            <w:proofErr w:type="spellEnd"/>
            <w:r w:rsidR="006D55BF">
              <w:t xml:space="preserve"> параметрів при застосуванні різних видів терапії в учасників із хворобою Крона в активній формі чи виразковим колітом в активній формі (кодове позначення: ASCEND-IBD)</w:t>
            </w:r>
            <w:r w:rsidRPr="001856DD">
              <w:rPr>
                <w:color w:val="000000"/>
              </w:rPr>
              <w:t>»</w:t>
            </w:r>
            <w:r w:rsidR="006D55BF" w:rsidRPr="005905AC">
              <w:t xml:space="preserve">, код дослідження </w:t>
            </w:r>
            <w:r w:rsidR="006D55BF">
              <w:t>MT-100-201</w:t>
            </w:r>
            <w:r w:rsidR="006D55BF" w:rsidRPr="005905AC">
              <w:t xml:space="preserve">, </w:t>
            </w:r>
            <w:r w:rsidR="006D55BF">
              <w:t xml:space="preserve">Основний протокол клінічного випробування MT-100-201, остаточна редакція 3.0 від 16 грудня 2025 р.; Додаток щодо певного виду досліджуваної терапії MT-100-201-ISA-MT-201-SOC-PROBECD, остаточна редакція 1.0 від 26 грудня 2025 р. </w:t>
            </w:r>
          </w:p>
        </w:tc>
      </w:tr>
      <w:tr w:rsidR="001048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Default="006D55BF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Default="006D55BF">
            <w:pPr>
              <w:jc w:val="both"/>
            </w:pPr>
            <w:r>
              <w:t>ТОВАРИСТВО З ОБМЕЖЕНОЮ ВІДПОВІДАЛЬНІСТЮ</w:t>
            </w:r>
            <w:r w:rsidR="001856DD" w:rsidRPr="001856DD">
              <w:rPr>
                <w:color w:val="000000"/>
              </w:rPr>
              <w:t xml:space="preserve"> «</w:t>
            </w:r>
            <w:r>
              <w:t>ПІ ЕС АЙ-УКРАЇНА</w:t>
            </w:r>
            <w:r w:rsidR="001856DD" w:rsidRPr="001856DD">
              <w:rPr>
                <w:color w:val="000000"/>
              </w:rPr>
              <w:t>»</w:t>
            </w:r>
          </w:p>
        </w:tc>
      </w:tr>
      <w:tr w:rsidR="001048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Default="006D55BF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Default="001856DD">
            <w:pPr>
              <w:jc w:val="both"/>
            </w:pPr>
            <w:r w:rsidRPr="001856DD">
              <w:rPr>
                <w:color w:val="000000"/>
              </w:rPr>
              <w:t>«</w:t>
            </w:r>
            <w:proofErr w:type="spellStart"/>
            <w:r w:rsidR="006D55BF">
              <w:t>Мірадор</w:t>
            </w:r>
            <w:proofErr w:type="spellEnd"/>
            <w:r w:rsidR="006D55BF">
              <w:t xml:space="preserve"> </w:t>
            </w:r>
            <w:proofErr w:type="spellStart"/>
            <w:r w:rsidR="006D55BF">
              <w:t>Терап’ютікс</w:t>
            </w:r>
            <w:proofErr w:type="spellEnd"/>
            <w:r w:rsidR="006D55BF">
              <w:t>, Інк.</w:t>
            </w:r>
            <w:r w:rsidRPr="001856DD">
              <w:rPr>
                <w:color w:val="000000"/>
              </w:rPr>
              <w:t>»</w:t>
            </w:r>
            <w:r w:rsidR="006D55BF">
              <w:t xml:space="preserve"> [</w:t>
            </w:r>
            <w:proofErr w:type="spellStart"/>
            <w:r w:rsidR="006D55BF">
              <w:t>Mirador</w:t>
            </w:r>
            <w:proofErr w:type="spellEnd"/>
            <w:r w:rsidR="006D55BF">
              <w:t xml:space="preserve"> </w:t>
            </w:r>
            <w:proofErr w:type="spellStart"/>
            <w:r w:rsidR="006D55BF">
              <w:t>Therapeutics</w:t>
            </w:r>
            <w:proofErr w:type="spellEnd"/>
            <w:r w:rsidR="006D55BF">
              <w:t xml:space="preserve">, </w:t>
            </w:r>
            <w:proofErr w:type="spellStart"/>
            <w:r w:rsidR="006D55BF">
              <w:t>Inc</w:t>
            </w:r>
            <w:proofErr w:type="spellEnd"/>
            <w:r w:rsidR="006D55BF">
              <w:t>.], США</w:t>
            </w:r>
          </w:p>
        </w:tc>
      </w:tr>
      <w:tr w:rsidR="00D2596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6A" w:rsidRDefault="00D2596A" w:rsidP="00D2596A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6A" w:rsidRDefault="00D2596A" w:rsidP="00D2596A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MT-201 (MT-201; WBP2850); розчин для ін'єкцій; 100 мг/мл (3 мл/флакон); </w:t>
            </w:r>
            <w:proofErr w:type="spellStart"/>
            <w:r>
              <w:rPr>
                <w:rFonts w:eastAsia="Times New Roman" w:cs="Times New Roman"/>
                <w:szCs w:val="24"/>
              </w:rPr>
              <w:t>WuXi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Biologics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Co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</w:t>
            </w:r>
            <w:proofErr w:type="spellStart"/>
            <w:r>
              <w:rPr>
                <w:rFonts w:eastAsia="Times New Roman" w:cs="Times New Roman"/>
                <w:szCs w:val="24"/>
              </w:rPr>
              <w:t>Ltd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., Китай; </w:t>
            </w:r>
            <w:proofErr w:type="spellStart"/>
            <w:r>
              <w:rPr>
                <w:rFonts w:eastAsia="Times New Roman" w:cs="Times New Roman"/>
                <w:szCs w:val="24"/>
              </w:rPr>
              <w:t>Almac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Limited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Велика Британія </w:t>
            </w:r>
          </w:p>
          <w:p w:rsidR="00D2596A" w:rsidRDefault="00D2596A" w:rsidP="00D2596A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  <w:tr w:rsidR="0010485F" w:rsidTr="00146C0E">
        <w:trPr>
          <w:trHeight w:val="322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Default="006D55BF">
            <w:pPr>
              <w:rPr>
                <w:szCs w:val="24"/>
                <w:lang w:val="ru-RU"/>
              </w:rPr>
            </w:pPr>
            <w:proofErr w:type="spellStart"/>
            <w:r>
              <w:rPr>
                <w:rFonts w:eastAsia="Times New Roman"/>
                <w:szCs w:val="24"/>
                <w:lang w:val="ru-RU"/>
              </w:rPr>
              <w:t>Відповідальний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(і)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дослідник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(и) та </w:t>
            </w:r>
            <w:proofErr w:type="spellStart"/>
            <w:r>
              <w:rPr>
                <w:rFonts w:eastAsia="Times New Roman"/>
                <w:szCs w:val="24"/>
                <w:lang w:val="ru-RU"/>
              </w:rPr>
              <w:t>місце</w:t>
            </w:r>
            <w:proofErr w:type="spellEnd"/>
            <w:r>
              <w:rPr>
                <w:rFonts w:eastAsia="Times New Roman"/>
                <w:szCs w:val="24"/>
                <w:lang w:val="ru-RU"/>
              </w:rPr>
              <w:t xml:space="preserve"> (я)</w:t>
            </w:r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проведення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випробування</w:t>
            </w:r>
            <w:proofErr w:type="spellEnd"/>
            <w:r>
              <w:rPr>
                <w:szCs w:val="24"/>
                <w:lang w:val="ru-RU"/>
              </w:rPr>
              <w:t xml:space="preserve"> в </w:t>
            </w:r>
            <w:proofErr w:type="spellStart"/>
            <w:r>
              <w:rPr>
                <w:szCs w:val="24"/>
                <w:lang w:val="ru-RU"/>
              </w:rPr>
              <w:t>Україні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6A" w:rsidRPr="00D2596A" w:rsidRDefault="00D2596A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D2596A">
              <w:rPr>
                <w:rFonts w:cs="Times New Roman"/>
                <w:szCs w:val="24"/>
                <w:lang w:val="ru-RU"/>
              </w:rPr>
              <w:t xml:space="preserve">1)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лікар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Марчук Ю.В.</w:t>
            </w:r>
          </w:p>
          <w:p w:rsidR="00D2596A" w:rsidRPr="00D2596A" w:rsidRDefault="00D2596A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Комунальне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підприємство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Волинська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обласна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клінічна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лікарня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»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Волинської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обласної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ради,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хірургічне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ендокринної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абдомінальної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патології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проктологічними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ліжками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, м.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Луцьк</w:t>
            </w:r>
            <w:proofErr w:type="spellEnd"/>
          </w:p>
          <w:p w:rsidR="00D2596A" w:rsidRPr="00D2596A" w:rsidRDefault="00D2596A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D2596A">
              <w:rPr>
                <w:rFonts w:cs="Times New Roman"/>
                <w:szCs w:val="24"/>
                <w:lang w:val="ru-RU"/>
              </w:rPr>
              <w:t xml:space="preserve">2)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лікар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Скибало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С.А.</w:t>
            </w:r>
          </w:p>
          <w:p w:rsidR="00D2596A" w:rsidRPr="00D2596A" w:rsidRDefault="00D2596A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Товариство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обмеженою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відповідальністю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Міжнародний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інститут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клінічних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досліджень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відділ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гастроентерології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та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гепатології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стаціонарного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Медичного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центру «</w:t>
            </w:r>
            <w:proofErr w:type="spellStart"/>
            <w:proofErr w:type="gramStart"/>
            <w:r w:rsidRPr="00D2596A">
              <w:rPr>
                <w:rFonts w:cs="Times New Roman"/>
                <w:szCs w:val="24"/>
                <w:lang w:val="ru-RU"/>
              </w:rPr>
              <w:t>ОК!Клінік</w:t>
            </w:r>
            <w:proofErr w:type="spellEnd"/>
            <w:proofErr w:type="gramEnd"/>
            <w:r w:rsidRPr="00D2596A">
              <w:rPr>
                <w:rFonts w:cs="Times New Roman"/>
                <w:szCs w:val="24"/>
                <w:lang w:val="ru-RU"/>
              </w:rPr>
              <w:t xml:space="preserve">+», м.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Київ</w:t>
            </w:r>
            <w:proofErr w:type="spellEnd"/>
          </w:p>
          <w:p w:rsidR="00D2596A" w:rsidRPr="00D2596A" w:rsidRDefault="00D2596A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D2596A">
              <w:rPr>
                <w:rFonts w:cs="Times New Roman"/>
                <w:szCs w:val="24"/>
                <w:lang w:val="ru-RU"/>
              </w:rPr>
              <w:t xml:space="preserve">3)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лікар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Донець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Д.Г.</w:t>
            </w:r>
          </w:p>
          <w:p w:rsidR="0010485F" w:rsidRPr="001856DD" w:rsidRDefault="00D2596A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Товариство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обмеженою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відповідальністю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Медбуд-Клінік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спеціалізоване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гастроентерологічне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лікувально-профілактичного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підрозділу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Медичного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центру, м.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Київ</w:t>
            </w:r>
            <w:proofErr w:type="spellEnd"/>
          </w:p>
        </w:tc>
      </w:tr>
    </w:tbl>
    <w:p w:rsidR="00146C0E" w:rsidRDefault="00146C0E">
      <w:r>
        <w:br w:type="page"/>
      </w:r>
    </w:p>
    <w:p w:rsidR="00146C0E" w:rsidRDefault="00146C0E">
      <w:r>
        <w:lastRenderedPageBreak/>
        <w:t xml:space="preserve">                                                                                                                    2                                                 </w:t>
      </w:r>
      <w:r w:rsidR="003D5D55">
        <w:t xml:space="preserve">  </w:t>
      </w:r>
      <w:r>
        <w:t xml:space="preserve">             продовження додатка 1</w:t>
      </w:r>
    </w:p>
    <w:p w:rsidR="00146C0E" w:rsidRDefault="00146C0E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146C0E">
        <w:trPr>
          <w:trHeight w:val="11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0E" w:rsidRDefault="00146C0E" w:rsidP="00146C0E">
            <w:pPr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D2596A">
              <w:rPr>
                <w:rFonts w:cs="Times New Roman"/>
                <w:szCs w:val="24"/>
                <w:lang w:val="ru-RU"/>
              </w:rPr>
              <w:t xml:space="preserve">4) к.м.н.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Петрина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В.О.</w:t>
            </w:r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Комунальне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некомерційне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підприємство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Обласна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клінічна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лікарня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Івано-Франківської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обласної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гастроентерологічне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, м.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Івано-Франківськ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D2596A">
              <w:rPr>
                <w:rFonts w:cs="Times New Roman"/>
                <w:szCs w:val="24"/>
                <w:lang w:val="ru-RU"/>
              </w:rPr>
              <w:t>5) к.м.н. Герасименко О.М.</w:t>
            </w:r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Товариство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обмеженою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відповідальністю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Медичний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центр «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Консиліум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Медікал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стаціонарне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гастроентерологічними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палатами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Медичного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центру, м.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Київ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D2596A">
              <w:rPr>
                <w:rFonts w:cs="Times New Roman"/>
                <w:szCs w:val="24"/>
                <w:lang w:val="ru-RU"/>
              </w:rPr>
              <w:t xml:space="preserve">6) зав.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Білоткач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О.У.</w:t>
            </w:r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Товариство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обмеженою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відповідальністю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Едельвейс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Медікс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спеціалізоване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гастроентерологічне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Медичного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центру, м.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Київ</w:t>
            </w:r>
            <w:proofErr w:type="spellEnd"/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D2596A">
              <w:rPr>
                <w:rFonts w:cs="Times New Roman"/>
                <w:szCs w:val="24"/>
                <w:lang w:val="ru-RU"/>
              </w:rPr>
              <w:t xml:space="preserve">7) зав.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Зборівський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Я.М.</w:t>
            </w:r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Університетська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лікарня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державного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некомерційного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підприємства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Львівський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національний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медичний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університет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імені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Данила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Галицького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клініка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хірургії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хірургічне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№1 кампусу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імені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Мар’яна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Панчишина, м.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Львів</w:t>
            </w:r>
            <w:proofErr w:type="spellEnd"/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D2596A">
              <w:rPr>
                <w:rFonts w:cs="Times New Roman"/>
                <w:szCs w:val="24"/>
                <w:lang w:val="ru-RU"/>
              </w:rPr>
              <w:t xml:space="preserve">8) д.м.н., проф.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Станіславчук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М.А.</w:t>
            </w:r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Комунальне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некомерційне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підприємство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Вінницька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обласна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клінічна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лікарня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Cs w:val="24"/>
                <w:lang w:val="ru-RU"/>
              </w:rPr>
              <w:t xml:space="preserve">                                  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ім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. М.І. Пирогова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Вінницької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D2596A">
              <w:rPr>
                <w:rFonts w:cs="Times New Roman"/>
                <w:szCs w:val="24"/>
                <w:lang w:val="ru-RU"/>
              </w:rPr>
              <w:t>обласної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Ради</w:t>
            </w:r>
            <w:proofErr w:type="gramEnd"/>
            <w:r w:rsidRPr="00D2596A">
              <w:rPr>
                <w:rFonts w:cs="Times New Roman"/>
                <w:szCs w:val="24"/>
                <w:lang w:val="ru-RU"/>
              </w:rPr>
              <w:t xml:space="preserve">»,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Обласний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спеціалізований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клінічний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гастроентерологічний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центр,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Вінницький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національний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медичний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університет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               </w:t>
            </w:r>
            <w:r>
              <w:rPr>
                <w:rFonts w:cs="Times New Roman"/>
                <w:szCs w:val="24"/>
                <w:lang w:val="ru-RU"/>
              </w:rPr>
              <w:t xml:space="preserve">                  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ім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. М.І. Пирогова, кафедра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внутрішньої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</w:t>
            </w:r>
            <w:r>
              <w:rPr>
                <w:rFonts w:cs="Times New Roman"/>
                <w:szCs w:val="24"/>
                <w:lang w:val="ru-RU"/>
              </w:rPr>
              <w:t>едицини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№1, </w:t>
            </w:r>
            <w:r w:rsidRPr="00D2596A">
              <w:rPr>
                <w:rFonts w:cs="Times New Roman"/>
                <w:szCs w:val="24"/>
                <w:lang w:val="ru-RU"/>
              </w:rPr>
              <w:t xml:space="preserve">м.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Вінниця</w:t>
            </w:r>
            <w:proofErr w:type="spellEnd"/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D2596A">
              <w:rPr>
                <w:rFonts w:cs="Times New Roman"/>
                <w:szCs w:val="24"/>
                <w:lang w:val="ru-RU"/>
              </w:rPr>
              <w:t xml:space="preserve">9) к.м.н.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Бабаніна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М.Ю.</w:t>
            </w:r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Комунальне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підприємство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Полтавська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обласна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клінічна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лікарня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ім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. М.В.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Скліфосовського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Полтавської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обласної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ради»,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обласний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лікувально-діагностичний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гастроентерол</w:t>
            </w:r>
            <w:r>
              <w:rPr>
                <w:rFonts w:cs="Times New Roman"/>
                <w:szCs w:val="24"/>
                <w:lang w:val="ru-RU"/>
              </w:rPr>
              <w:t>огічний</w:t>
            </w:r>
            <w:proofErr w:type="spellEnd"/>
            <w:r>
              <w:rPr>
                <w:rFonts w:cs="Times New Roman"/>
                <w:szCs w:val="24"/>
                <w:lang w:val="ru-RU"/>
              </w:rPr>
              <w:t xml:space="preserve"> центр, </w:t>
            </w:r>
            <w:r w:rsidRPr="00D2596A">
              <w:rPr>
                <w:rFonts w:cs="Times New Roman"/>
                <w:szCs w:val="24"/>
                <w:lang w:val="ru-RU"/>
              </w:rPr>
              <w:t>м. Полтава</w:t>
            </w:r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r w:rsidRPr="00D2596A">
              <w:rPr>
                <w:rFonts w:cs="Times New Roman"/>
                <w:szCs w:val="24"/>
                <w:lang w:val="ru-RU"/>
              </w:rPr>
              <w:t xml:space="preserve">10)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лікар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Пугач М.М.</w:t>
            </w:r>
          </w:p>
          <w:p w:rsidR="00146C0E" w:rsidRPr="00D2596A" w:rsidRDefault="00146C0E" w:rsidP="00D2596A">
            <w:pPr>
              <w:jc w:val="both"/>
              <w:rPr>
                <w:rFonts w:cs="Times New Roman"/>
                <w:szCs w:val="24"/>
                <w:lang w:val="ru-RU"/>
              </w:rPr>
            </w:pP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Товариство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з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обмеженою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відповідальністю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«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Медичний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центр «АРТЕС МЕДІКУМ»,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лікувально-діагностичне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відділення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Медичного</w:t>
            </w:r>
            <w:proofErr w:type="spellEnd"/>
            <w:r w:rsidRPr="00D2596A">
              <w:rPr>
                <w:rFonts w:cs="Times New Roman"/>
                <w:szCs w:val="24"/>
                <w:lang w:val="ru-RU"/>
              </w:rPr>
              <w:t xml:space="preserve"> центру, м. </w:t>
            </w:r>
            <w:proofErr w:type="spellStart"/>
            <w:r w:rsidRPr="00D2596A">
              <w:rPr>
                <w:rFonts w:cs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10485F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Default="006D55BF">
            <w:pPr>
              <w:rPr>
                <w:szCs w:val="24"/>
                <w:lang w:val="ru-RU"/>
              </w:rPr>
            </w:pPr>
            <w:proofErr w:type="spellStart"/>
            <w:r>
              <w:rPr>
                <w:szCs w:val="24"/>
                <w:lang w:val="ru-RU"/>
              </w:rPr>
              <w:t>Препарати</w:t>
            </w:r>
            <w:proofErr w:type="spellEnd"/>
            <w:r>
              <w:rPr>
                <w:szCs w:val="24"/>
                <w:lang w:val="ru-RU"/>
              </w:rPr>
              <w:t xml:space="preserve"> </w:t>
            </w:r>
            <w:proofErr w:type="spellStart"/>
            <w:r>
              <w:rPr>
                <w:szCs w:val="24"/>
                <w:lang w:val="ru-RU"/>
              </w:rPr>
              <w:t>порівняння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виробник</w:t>
            </w:r>
            <w:proofErr w:type="spellEnd"/>
            <w:r>
              <w:rPr>
                <w:szCs w:val="24"/>
                <w:lang w:val="ru-RU"/>
              </w:rPr>
              <w:t xml:space="preserve"> та </w:t>
            </w:r>
            <w:proofErr w:type="spellStart"/>
            <w:r>
              <w:rPr>
                <w:szCs w:val="24"/>
                <w:lang w:val="ru-RU"/>
              </w:rPr>
              <w:t>країна</w:t>
            </w:r>
            <w:proofErr w:type="spellEnd"/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Default="006D55BF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</w:tbl>
    <w:p w:rsidR="003D5D55" w:rsidRDefault="003D5D55">
      <w:r>
        <w:br w:type="page"/>
      </w:r>
    </w:p>
    <w:p w:rsidR="003D5D55" w:rsidRDefault="003D5D55">
      <w:r>
        <w:lastRenderedPageBreak/>
        <w:t xml:space="preserve">                                                                                                                    3                                                                продовження додатка 1</w:t>
      </w:r>
    </w:p>
    <w:p w:rsidR="003D5D55" w:rsidRDefault="003D5D55"/>
    <w:tbl>
      <w:tblPr>
        <w:tblStyle w:val="af1"/>
        <w:tblW w:w="0" w:type="auto"/>
        <w:tblInd w:w="0" w:type="dxa"/>
        <w:tblLook w:val="04A0" w:firstRow="1" w:lastRow="0" w:firstColumn="1" w:lastColumn="0" w:noHBand="0" w:noVBand="1"/>
      </w:tblPr>
      <w:tblGrid>
        <w:gridCol w:w="3823"/>
        <w:gridCol w:w="9633"/>
      </w:tblGrid>
      <w:tr w:rsidR="00D2596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6A" w:rsidRDefault="00D2596A" w:rsidP="00D2596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Супутні матеріали/препарати супутньої терапії/юридична або фізична особа, яка діє за довіреністю, яку надав спонсор чи заявник на ввезення досліджуваних лікарських засобів та супутніх матеріалів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96A" w:rsidRDefault="00D2596A" w:rsidP="00D2596A">
            <w:pPr>
              <w:jc w:val="both"/>
              <w:rPr>
                <w:rFonts w:eastAsia="Times New Roman" w:cs="Times New Roman"/>
                <w:szCs w:val="24"/>
              </w:rPr>
            </w:pPr>
            <w:proofErr w:type="spellStart"/>
            <w:r>
              <w:rPr>
                <w:rFonts w:eastAsia="Times New Roman" w:cs="Times New Roman"/>
                <w:szCs w:val="24"/>
              </w:rPr>
              <w:t>Skyrizi</w:t>
            </w:r>
            <w:proofErr w:type="spellEnd"/>
            <w:r>
              <w:rPr>
                <w:rFonts w:eastAsia="Times New Roman" w:cs="Times New Roman"/>
                <w:szCs w:val="24"/>
              </w:rPr>
              <w:t>®; (</w:t>
            </w:r>
            <w:proofErr w:type="spellStart"/>
            <w:r>
              <w:rPr>
                <w:rFonts w:eastAsia="Times New Roman" w:cs="Times New Roman"/>
                <w:szCs w:val="24"/>
              </w:rPr>
              <w:t>Risankizumab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); концентрат для розчину для </w:t>
            </w:r>
            <w:proofErr w:type="spellStart"/>
            <w:r>
              <w:rPr>
                <w:rFonts w:eastAsia="Times New Roman" w:cs="Times New Roman"/>
                <w:szCs w:val="24"/>
              </w:rPr>
              <w:t>інфузій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; 600 мг/10 мл (60 мг/мл); </w:t>
            </w:r>
            <w:proofErr w:type="spellStart"/>
            <w:r>
              <w:rPr>
                <w:rFonts w:eastAsia="Times New Roman" w:cs="Times New Roman"/>
                <w:szCs w:val="24"/>
              </w:rPr>
              <w:t>Almac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Clinical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Services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</w:rPr>
              <w:t>Limited</w:t>
            </w:r>
            <w:proofErr w:type="spellEnd"/>
            <w:r>
              <w:rPr>
                <w:rFonts w:eastAsia="Times New Roman" w:cs="Times New Roman"/>
                <w:szCs w:val="24"/>
              </w:rPr>
              <w:t xml:space="preserve">, Велика Британія </w:t>
            </w:r>
          </w:p>
          <w:p w:rsidR="00D2596A" w:rsidRDefault="00D2596A" w:rsidP="00D2596A">
            <w:pPr>
              <w:jc w:val="both"/>
              <w:rPr>
                <w:rFonts w:eastAsia="Times New Roman" w:cs="Times New Roman"/>
                <w:szCs w:val="24"/>
              </w:rPr>
            </w:pPr>
          </w:p>
        </w:tc>
      </w:tr>
    </w:tbl>
    <w:p w:rsidR="0010485F" w:rsidRDefault="0010485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10485F" w:rsidRDefault="0010485F">
      <w:pPr>
        <w:tabs>
          <w:tab w:val="clear" w:pos="708"/>
        </w:tabs>
        <w:rPr>
          <w:b/>
          <w:lang w:eastAsia="en-US"/>
        </w:rPr>
        <w:sectPr w:rsidR="0010485F">
          <w:headerReference w:type="default" r:id="rId7"/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10485F" w:rsidRDefault="006D55BF">
      <w:r>
        <w:lastRenderedPageBreak/>
        <w:t xml:space="preserve">                                                                                                                                                       Додаток 2</w:t>
      </w:r>
    </w:p>
    <w:p w:rsidR="0010485F" w:rsidRDefault="00146C0E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146C0E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0485F" w:rsidRDefault="005A0179">
      <w:pPr>
        <w:ind w:left="9072"/>
      </w:pPr>
      <w:r w:rsidRPr="00242F1B">
        <w:rPr>
          <w:u w:val="single"/>
        </w:rPr>
        <w:t>07.04.2026</w:t>
      </w:r>
      <w:r>
        <w:t xml:space="preserve"> № </w:t>
      </w:r>
      <w:r w:rsidRPr="00242F1B">
        <w:rPr>
          <w:u w:val="single"/>
        </w:rPr>
        <w:t>471</w:t>
      </w:r>
    </w:p>
    <w:p w:rsidR="0010485F" w:rsidRDefault="0010485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jc w:val="both"/>
              <w:rPr>
                <w:rFonts w:asciiTheme="minorHAnsi" w:hAnsiTheme="minorHAnsi"/>
                <w:sz w:val="22"/>
              </w:rPr>
            </w:pPr>
            <w:r w:rsidRPr="001856DD">
              <w:t xml:space="preserve">Досьє досліджуваного лікарського засобу MB11, версія 02 від лютого 2026 р., англійською мовою; Подовження терміну придатності досліджуваного лікарського засобу </w:t>
            </w:r>
            <w:r w:rsidR="0021491A">
              <w:t xml:space="preserve">                                 </w:t>
            </w:r>
            <w:r w:rsidRPr="001856DD">
              <w:t>MB11 (</w:t>
            </w:r>
            <w:proofErr w:type="spellStart"/>
            <w:r w:rsidRPr="001856DD">
              <w:t>Nivolumab</w:t>
            </w:r>
            <w:proofErr w:type="spellEnd"/>
            <w:r w:rsidRPr="001856DD">
              <w:t xml:space="preserve">) до 24 місяців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r w:rsidRPr="001856DD">
              <w:rPr>
                <w:szCs w:val="24"/>
                <w:lang w:val="ru-RU"/>
              </w:rPr>
              <w:t xml:space="preserve">Номер та дата наказу МОЗ </w:t>
            </w:r>
            <w:r w:rsidRPr="001856DD">
              <w:rPr>
                <w:szCs w:val="24"/>
              </w:rPr>
              <w:t>про</w:t>
            </w:r>
            <w:r w:rsidRPr="001856DD">
              <w:rPr>
                <w:szCs w:val="24"/>
                <w:lang w:val="ru-RU"/>
              </w:rPr>
              <w:t xml:space="preserve"> </w:t>
            </w:r>
            <w:r w:rsidRPr="001856DD">
              <w:rPr>
                <w:szCs w:val="24"/>
              </w:rPr>
              <w:t>проведення</w:t>
            </w:r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№ 1433 від 16.09.2025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proofErr w:type="spellStart"/>
            <w:r w:rsidRPr="001856DD">
              <w:rPr>
                <w:szCs w:val="24"/>
                <w:lang w:val="ru-RU"/>
              </w:rPr>
              <w:t>Назва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  <w:r w:rsidRPr="001856DD">
              <w:rPr>
                <w:szCs w:val="24"/>
                <w:lang w:val="ru-RU"/>
              </w:rPr>
              <w:t xml:space="preserve">, код, </w:t>
            </w:r>
            <w:proofErr w:type="spellStart"/>
            <w:r w:rsidRPr="001856DD">
              <w:rPr>
                <w:szCs w:val="24"/>
                <w:lang w:val="ru-RU"/>
              </w:rPr>
              <w:t>версія</w:t>
            </w:r>
            <w:proofErr w:type="spellEnd"/>
            <w:r w:rsidRPr="001856D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  <w:rPr>
                <w:lang w:val="ru-RU"/>
              </w:rPr>
            </w:pPr>
            <w:r w:rsidRPr="001856DD">
              <w:rPr>
                <w:color w:val="000000"/>
              </w:rPr>
              <w:t>«</w:t>
            </w:r>
            <w:proofErr w:type="spellStart"/>
            <w:r w:rsidR="006D55BF" w:rsidRPr="001856DD">
              <w:t>Рандомізоване</w:t>
            </w:r>
            <w:proofErr w:type="spellEnd"/>
            <w:r w:rsidR="006D55BF" w:rsidRPr="001856DD">
              <w:t xml:space="preserve">, </w:t>
            </w:r>
            <w:proofErr w:type="spellStart"/>
            <w:r w:rsidR="006D55BF" w:rsidRPr="001856DD">
              <w:t>багатоцентрове</w:t>
            </w:r>
            <w:proofErr w:type="spellEnd"/>
            <w:r w:rsidR="006D55BF" w:rsidRPr="001856DD">
              <w:t xml:space="preserve">, міжнародне, подвійне сліпе комплексне дослідження для порівняння фармакокінетики, ефективності, безпечності та </w:t>
            </w:r>
            <w:proofErr w:type="spellStart"/>
            <w:r w:rsidR="006D55BF" w:rsidRPr="001856DD">
              <w:t>імуногенності</w:t>
            </w:r>
            <w:proofErr w:type="spellEnd"/>
            <w:r w:rsidR="006D55BF" w:rsidRPr="001856DD">
              <w:t xml:space="preserve"> препарату MB11 (запропонований </w:t>
            </w:r>
            <w:proofErr w:type="spellStart"/>
            <w:r w:rsidR="006D55BF" w:rsidRPr="001856DD">
              <w:t>біосиміляр</w:t>
            </w:r>
            <w:proofErr w:type="spellEnd"/>
            <w:r w:rsidR="006D55BF" w:rsidRPr="001856DD">
              <w:t xml:space="preserve"> </w:t>
            </w:r>
            <w:proofErr w:type="spellStart"/>
            <w:r w:rsidR="006D55BF" w:rsidRPr="001856DD">
              <w:t>ніволумабу</w:t>
            </w:r>
            <w:proofErr w:type="spellEnd"/>
            <w:r w:rsidR="006D55BF" w:rsidRPr="001856DD">
              <w:t xml:space="preserve">) в порівнянні із зареєстрованим у ЄС та США лікарським засобом </w:t>
            </w:r>
            <w:proofErr w:type="spellStart"/>
            <w:r w:rsidR="006D55BF" w:rsidRPr="001856DD">
              <w:t>Опдіво</w:t>
            </w:r>
            <w:proofErr w:type="spellEnd"/>
            <w:r w:rsidR="006D55BF" w:rsidRPr="001856DD">
              <w:t xml:space="preserve"> (</w:t>
            </w:r>
            <w:proofErr w:type="spellStart"/>
            <w:r w:rsidR="006D55BF" w:rsidRPr="001856DD">
              <w:t>Opdivo</w:t>
            </w:r>
            <w:proofErr w:type="spellEnd"/>
            <w:r w:rsidR="006D55BF" w:rsidRPr="001856DD">
              <w:t xml:space="preserve">®) в пацієнтів з раніше </w:t>
            </w:r>
            <w:proofErr w:type="spellStart"/>
            <w:r w:rsidR="006D55BF" w:rsidRPr="001856DD">
              <w:t>нелікованою</w:t>
            </w:r>
            <w:proofErr w:type="spellEnd"/>
            <w:r w:rsidR="006D55BF" w:rsidRPr="001856DD">
              <w:t xml:space="preserve"> прогресуючою (</w:t>
            </w:r>
            <w:proofErr w:type="spellStart"/>
            <w:r w:rsidR="006D55BF" w:rsidRPr="001856DD">
              <w:t>нерезектабельною</w:t>
            </w:r>
            <w:proofErr w:type="spellEnd"/>
            <w:r w:rsidR="006D55BF" w:rsidRPr="001856DD">
              <w:t xml:space="preserve"> або метастатичною) меланомою (дослідження LEON)</w:t>
            </w:r>
            <w:r w:rsidRPr="001856DD">
              <w:rPr>
                <w:color w:val="000000"/>
              </w:rPr>
              <w:t>»</w:t>
            </w:r>
            <w:r w:rsidR="006D55BF" w:rsidRPr="001856DD">
              <w:t>, MB11-C-01-25, версія 1.1 (поправка 1) від 04 червня 2025 р.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  <w:lang w:val="ru-RU"/>
              </w:rPr>
              <w:t>За</w:t>
            </w:r>
            <w:proofErr w:type="spellStart"/>
            <w:r w:rsidRPr="001856DD">
              <w:rPr>
                <w:szCs w:val="24"/>
              </w:rPr>
              <w:t>явник</w:t>
            </w:r>
            <w:proofErr w:type="spellEnd"/>
            <w:r w:rsidRPr="001856D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>ТОВАРИСТВО З ОБМЕЖЕНОЮ ВІДПОВІДАЛЬНІСТЮ</w:t>
            </w:r>
            <w:r w:rsidR="001856DD" w:rsidRPr="001856DD">
              <w:rPr>
                <w:color w:val="000000"/>
              </w:rPr>
              <w:t xml:space="preserve"> «</w:t>
            </w:r>
            <w:proofErr w:type="spellStart"/>
            <w:r w:rsidRPr="001856DD">
              <w:t>ПіПіДі</w:t>
            </w:r>
            <w:proofErr w:type="spellEnd"/>
            <w:r w:rsidRPr="001856DD">
              <w:t xml:space="preserve"> ЮКРЕЙН</w:t>
            </w:r>
            <w:r w:rsidR="001856DD" w:rsidRPr="001856DD">
              <w:rPr>
                <w:color w:val="000000"/>
              </w:rPr>
              <w:t>»</w:t>
            </w:r>
            <w:r w:rsidRPr="001856DD">
              <w:t>, Україна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proofErr w:type="spellStart"/>
            <w:r w:rsidRPr="001856DD">
              <w:t>мАбксайєнс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Ресерч</w:t>
            </w:r>
            <w:proofErr w:type="spellEnd"/>
            <w:r w:rsidRPr="001856DD">
              <w:t xml:space="preserve"> С.Л., Іспанія (</w:t>
            </w:r>
            <w:proofErr w:type="spellStart"/>
            <w:r w:rsidRPr="001856DD">
              <w:t>mAbxience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Research</w:t>
            </w:r>
            <w:proofErr w:type="spellEnd"/>
            <w:r w:rsidRPr="001856DD">
              <w:t xml:space="preserve"> S.L., </w:t>
            </w:r>
            <w:proofErr w:type="spellStart"/>
            <w:r w:rsidRPr="001856DD">
              <w:t>Spain</w:t>
            </w:r>
            <w:proofErr w:type="spellEnd"/>
            <w:r w:rsidRPr="001856DD">
              <w:t>)</w:t>
            </w:r>
          </w:p>
        </w:tc>
      </w:tr>
    </w:tbl>
    <w:p w:rsidR="0010485F" w:rsidRDefault="0010485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10485F" w:rsidRDefault="0010485F">
      <w:pPr>
        <w:tabs>
          <w:tab w:val="clear" w:pos="708"/>
        </w:tabs>
        <w:rPr>
          <w:lang w:val="ru-RU" w:eastAsia="en-US"/>
        </w:rPr>
        <w:sectPr w:rsidR="001048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0485F" w:rsidRDefault="006D55BF">
      <w:r>
        <w:lastRenderedPageBreak/>
        <w:t xml:space="preserve">                                                                                                                                                       Додаток 3</w:t>
      </w:r>
    </w:p>
    <w:p w:rsidR="0010485F" w:rsidRDefault="00146C0E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146C0E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0485F" w:rsidRDefault="005A0179">
      <w:pPr>
        <w:ind w:left="9072"/>
      </w:pPr>
      <w:r w:rsidRPr="00242F1B">
        <w:rPr>
          <w:u w:val="single"/>
        </w:rPr>
        <w:t>07.04.2026</w:t>
      </w:r>
      <w:r>
        <w:t xml:space="preserve"> № </w:t>
      </w:r>
      <w:r w:rsidRPr="00242F1B">
        <w:rPr>
          <w:u w:val="single"/>
        </w:rPr>
        <w:t>471</w:t>
      </w:r>
    </w:p>
    <w:p w:rsidR="0010485F" w:rsidRDefault="0010485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jc w:val="both"/>
              <w:rPr>
                <w:rFonts w:asciiTheme="minorHAnsi" w:hAnsiTheme="minorHAnsi"/>
                <w:sz w:val="22"/>
              </w:rPr>
            </w:pPr>
            <w:r w:rsidRPr="001856DD">
              <w:t xml:space="preserve">Оновлені Розділи Досьє досліджуваного лікарського засобу </w:t>
            </w:r>
            <w:proofErr w:type="spellStart"/>
            <w:r w:rsidRPr="001856DD">
              <w:t>Іметельстат</w:t>
            </w:r>
            <w:proofErr w:type="spellEnd"/>
            <w:r w:rsidRPr="001856DD">
              <w:t xml:space="preserve"> (GRN163L): </w:t>
            </w:r>
            <w:r w:rsidR="0021491A">
              <w:t xml:space="preserve">                     </w:t>
            </w:r>
            <w:r w:rsidRPr="001856DD">
              <w:t xml:space="preserve">Розділ 2.3 </w:t>
            </w:r>
            <w:proofErr w:type="spellStart"/>
            <w:r w:rsidRPr="001856DD">
              <w:t>Introduction</w:t>
            </w:r>
            <w:proofErr w:type="spellEnd"/>
            <w:r w:rsidRPr="001856DD">
              <w:t xml:space="preserve">, Досьє досліджуваного лікарського засобу </w:t>
            </w:r>
            <w:proofErr w:type="spellStart"/>
            <w:r w:rsidRPr="001856DD">
              <w:t>Іметельстат</w:t>
            </w:r>
            <w:proofErr w:type="spellEnd"/>
            <w:r w:rsidRPr="001856DD">
              <w:t xml:space="preserve"> (GRN163L), </w:t>
            </w:r>
            <w:r w:rsidR="0021491A">
              <w:t xml:space="preserve">                              </w:t>
            </w:r>
            <w:r w:rsidRPr="001856DD">
              <w:t xml:space="preserve">від 27 лютого 2026 року; Розділ 3.2.S </w:t>
            </w:r>
            <w:proofErr w:type="spellStart"/>
            <w:r w:rsidRPr="001856DD">
              <w:t>Drug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Substance</w:t>
            </w:r>
            <w:proofErr w:type="spellEnd"/>
            <w:r w:rsidRPr="001856DD">
              <w:t xml:space="preserve">, Досьє досліджуваного лікарського засобу </w:t>
            </w:r>
            <w:proofErr w:type="spellStart"/>
            <w:r w:rsidRPr="001856DD">
              <w:t>Іметельстат</w:t>
            </w:r>
            <w:proofErr w:type="spellEnd"/>
            <w:r w:rsidRPr="001856DD">
              <w:t xml:space="preserve"> (GRN163L), глобальна версія 4.0 від 26 лютого 2026 року; Розділ 3.2.P </w:t>
            </w:r>
            <w:proofErr w:type="spellStart"/>
            <w:r w:rsidRPr="001856DD">
              <w:t>Drug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Product</w:t>
            </w:r>
            <w:proofErr w:type="spellEnd"/>
            <w:r w:rsidRPr="001856DD">
              <w:t xml:space="preserve">, Досьє досліджуваного лікарського засобу </w:t>
            </w:r>
            <w:proofErr w:type="spellStart"/>
            <w:r w:rsidRPr="001856DD">
              <w:t>Іметельстат</w:t>
            </w:r>
            <w:proofErr w:type="spellEnd"/>
            <w:r w:rsidRPr="001856DD">
              <w:t xml:space="preserve"> (GRN163L), глобальна версія 5.0 від 25 лютого 2026 року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r w:rsidRPr="001856DD">
              <w:rPr>
                <w:szCs w:val="24"/>
                <w:lang w:val="ru-RU"/>
              </w:rPr>
              <w:t xml:space="preserve">Номер та дата наказу МОЗ </w:t>
            </w:r>
            <w:r w:rsidRPr="001856DD">
              <w:rPr>
                <w:szCs w:val="24"/>
              </w:rPr>
              <w:t>про</w:t>
            </w:r>
            <w:r w:rsidRPr="001856DD">
              <w:rPr>
                <w:szCs w:val="24"/>
                <w:lang w:val="ru-RU"/>
              </w:rPr>
              <w:t xml:space="preserve"> </w:t>
            </w:r>
            <w:r w:rsidRPr="001856DD">
              <w:rPr>
                <w:szCs w:val="24"/>
              </w:rPr>
              <w:t>проведення</w:t>
            </w:r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№ 2777 від 02.12.2020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proofErr w:type="spellStart"/>
            <w:r w:rsidRPr="001856DD">
              <w:rPr>
                <w:szCs w:val="24"/>
                <w:lang w:val="ru-RU"/>
              </w:rPr>
              <w:t>Назва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  <w:r w:rsidRPr="001856DD">
              <w:rPr>
                <w:szCs w:val="24"/>
                <w:lang w:val="ru-RU"/>
              </w:rPr>
              <w:t xml:space="preserve">, код, </w:t>
            </w:r>
            <w:proofErr w:type="spellStart"/>
            <w:r w:rsidRPr="001856DD">
              <w:rPr>
                <w:szCs w:val="24"/>
                <w:lang w:val="ru-RU"/>
              </w:rPr>
              <w:t>версія</w:t>
            </w:r>
            <w:proofErr w:type="spellEnd"/>
            <w:r w:rsidRPr="001856D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  <w:rPr>
                <w:lang w:val="ru-RU"/>
              </w:rPr>
            </w:pPr>
            <w:r w:rsidRPr="001856DD">
              <w:rPr>
                <w:color w:val="000000"/>
              </w:rPr>
              <w:t>«</w:t>
            </w:r>
            <w:r w:rsidR="006D55BF" w:rsidRPr="001856DD">
              <w:t xml:space="preserve">Дослідження з оцінки препарату </w:t>
            </w:r>
            <w:proofErr w:type="spellStart"/>
            <w:r w:rsidR="006D55BF" w:rsidRPr="001856DD">
              <w:t>Іметельстат</w:t>
            </w:r>
            <w:proofErr w:type="spellEnd"/>
            <w:r w:rsidR="006D55BF" w:rsidRPr="001856DD">
              <w:t xml:space="preserve"> (GRN163L) у лікуванні залежних від трансфузій пацієнтів з </w:t>
            </w:r>
            <w:proofErr w:type="spellStart"/>
            <w:r w:rsidR="006D55BF" w:rsidRPr="001856DD">
              <w:t>мієлодиспластичним</w:t>
            </w:r>
            <w:proofErr w:type="spellEnd"/>
            <w:r w:rsidR="006D55BF" w:rsidRPr="001856DD">
              <w:t xml:space="preserve"> синдромом (МДС) з</w:t>
            </w:r>
            <w:r w:rsidRPr="001856DD">
              <w:rPr>
                <w:color w:val="000000"/>
              </w:rPr>
              <w:t xml:space="preserve"> «</w:t>
            </w:r>
            <w:r w:rsidR="006D55BF" w:rsidRPr="001856DD">
              <w:t>низьким</w:t>
            </w:r>
            <w:r w:rsidRPr="001856DD">
              <w:rPr>
                <w:color w:val="000000"/>
              </w:rPr>
              <w:t>»</w:t>
            </w:r>
            <w:r w:rsidR="006D55BF" w:rsidRPr="001856DD">
              <w:t xml:space="preserve"> або</w:t>
            </w:r>
            <w:r w:rsidRPr="001856DD">
              <w:rPr>
                <w:color w:val="000000"/>
              </w:rPr>
              <w:t xml:space="preserve"> «</w:t>
            </w:r>
            <w:r w:rsidR="006D55BF" w:rsidRPr="001856DD">
              <w:t>проміжним-1</w:t>
            </w:r>
            <w:r w:rsidRPr="001856DD">
              <w:rPr>
                <w:color w:val="000000"/>
              </w:rPr>
              <w:t>»</w:t>
            </w:r>
            <w:r w:rsidR="006D55BF" w:rsidRPr="001856DD">
              <w:t xml:space="preserve"> ступенем ризику за шкалою IPSS, з прогресуванням або відсутністю відповіді на терапію </w:t>
            </w:r>
            <w:proofErr w:type="spellStart"/>
            <w:r w:rsidR="006D55BF" w:rsidRPr="001856DD">
              <w:t>еритропоез</w:t>
            </w:r>
            <w:proofErr w:type="spellEnd"/>
            <w:r w:rsidR="006D55BF" w:rsidRPr="001856DD">
              <w:t>-стимулюючими агентами (ЕСА)</w:t>
            </w:r>
            <w:r w:rsidRPr="001856DD">
              <w:rPr>
                <w:color w:val="000000"/>
              </w:rPr>
              <w:t>»</w:t>
            </w:r>
            <w:r w:rsidR="006D55BF" w:rsidRPr="001856DD">
              <w:t xml:space="preserve">, 63935937MDS3001, з поправкою 8 від </w:t>
            </w:r>
            <w:r w:rsidR="0021491A">
              <w:t xml:space="preserve">                           </w:t>
            </w:r>
            <w:r w:rsidR="006D55BF" w:rsidRPr="001856DD">
              <w:t>30 листопада 2022 року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  <w:lang w:val="ru-RU"/>
              </w:rPr>
              <w:t>За</w:t>
            </w:r>
            <w:proofErr w:type="spellStart"/>
            <w:r w:rsidRPr="001856DD">
              <w:rPr>
                <w:szCs w:val="24"/>
              </w:rPr>
              <w:t>явник</w:t>
            </w:r>
            <w:proofErr w:type="spellEnd"/>
            <w:r w:rsidRPr="001856D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>ТОВ</w:t>
            </w:r>
            <w:r w:rsidR="001856DD" w:rsidRPr="001856DD">
              <w:rPr>
                <w:color w:val="000000"/>
              </w:rPr>
              <w:t xml:space="preserve"> «</w:t>
            </w:r>
            <w:r w:rsidRPr="001856DD">
              <w:t>ПАРЕКСЕЛ Україна</w:t>
            </w:r>
            <w:r w:rsidR="001856DD" w:rsidRPr="001856DD">
              <w:rPr>
                <w:color w:val="000000"/>
              </w:rPr>
              <w:t>»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proofErr w:type="spellStart"/>
            <w:r w:rsidRPr="001856DD">
              <w:t>Герон</w:t>
            </w:r>
            <w:proofErr w:type="spellEnd"/>
            <w:r w:rsidRPr="001856DD">
              <w:t xml:space="preserve"> Корпорейшн, США / </w:t>
            </w:r>
            <w:proofErr w:type="spellStart"/>
            <w:r w:rsidRPr="001856DD">
              <w:t>Geron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Corporation</w:t>
            </w:r>
            <w:proofErr w:type="spellEnd"/>
            <w:r w:rsidRPr="001856DD">
              <w:t>, USA</w:t>
            </w:r>
          </w:p>
        </w:tc>
      </w:tr>
    </w:tbl>
    <w:p w:rsidR="0010485F" w:rsidRDefault="0010485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10485F" w:rsidRDefault="0010485F">
      <w:pPr>
        <w:tabs>
          <w:tab w:val="clear" w:pos="708"/>
        </w:tabs>
        <w:rPr>
          <w:lang w:val="ru-RU" w:eastAsia="en-US"/>
        </w:rPr>
        <w:sectPr w:rsidR="001048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0485F" w:rsidRDefault="006D55BF">
      <w:r>
        <w:lastRenderedPageBreak/>
        <w:t xml:space="preserve">                                                                                                                                                       Додаток 4</w:t>
      </w:r>
    </w:p>
    <w:p w:rsidR="0010485F" w:rsidRDefault="00146C0E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146C0E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0485F" w:rsidRDefault="005A0179">
      <w:pPr>
        <w:ind w:left="9072"/>
      </w:pPr>
      <w:r w:rsidRPr="00242F1B">
        <w:rPr>
          <w:u w:val="single"/>
        </w:rPr>
        <w:t>07.04.2026</w:t>
      </w:r>
      <w:r>
        <w:t xml:space="preserve"> № </w:t>
      </w:r>
      <w:r w:rsidRPr="00242F1B">
        <w:rPr>
          <w:u w:val="single"/>
        </w:rPr>
        <w:t>471</w:t>
      </w:r>
    </w:p>
    <w:p w:rsidR="0010485F" w:rsidRDefault="0010485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jc w:val="both"/>
              <w:rPr>
                <w:rFonts w:asciiTheme="minorHAnsi" w:hAnsiTheme="minorHAnsi"/>
                <w:sz w:val="22"/>
              </w:rPr>
            </w:pPr>
            <w:r w:rsidRPr="001856DD">
              <w:t xml:space="preserve">Комплект матеріалів для пацієнтів: </w:t>
            </w:r>
            <w:proofErr w:type="spellStart"/>
            <w:r w:rsidRPr="001856DD">
              <w:t>Trialbee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Digital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Marketing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Content</w:t>
            </w:r>
            <w:proofErr w:type="spellEnd"/>
            <w:r w:rsidRPr="001856DD">
              <w:t>, версія 1.0 від 01 жовтня 2025 року українською та англійською мовами (</w:t>
            </w:r>
            <w:proofErr w:type="spellStart"/>
            <w:r w:rsidRPr="001856DD">
              <w:t>GZPW_Trialbee_Digital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Marketing</w:t>
            </w:r>
            <w:proofErr w:type="spellEnd"/>
            <w:r w:rsidRPr="001856DD">
              <w:t xml:space="preserve"> Content_V1.0_01Oct2025_uk-UA); </w:t>
            </w:r>
            <w:proofErr w:type="spellStart"/>
            <w:r w:rsidRPr="001856DD">
              <w:t>Trialbee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Landing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Page</w:t>
            </w:r>
            <w:proofErr w:type="spellEnd"/>
            <w:r w:rsidRPr="001856DD">
              <w:t>, версія 1.0 від 30 вересня 2025 року українською та англійською мовами (</w:t>
            </w:r>
            <w:proofErr w:type="spellStart"/>
            <w:r w:rsidRPr="001856DD">
              <w:t>GZPW_Trialbee_Landing</w:t>
            </w:r>
            <w:proofErr w:type="spellEnd"/>
            <w:r w:rsidRPr="001856DD">
              <w:t xml:space="preserve"> Page_V1.0_30Sep2025_uk-UA); </w:t>
            </w:r>
            <w:proofErr w:type="spellStart"/>
            <w:r w:rsidRPr="001856DD">
              <w:t>Trialbee</w:t>
            </w:r>
            <w:proofErr w:type="spellEnd"/>
            <w:r w:rsidRPr="001856DD">
              <w:t xml:space="preserve">_ </w:t>
            </w:r>
            <w:proofErr w:type="spellStart"/>
            <w:r w:rsidRPr="001856DD">
              <w:t>Self_Assessment</w:t>
            </w:r>
            <w:proofErr w:type="spellEnd"/>
            <w:r w:rsidRPr="001856DD">
              <w:t xml:space="preserve">, версія 1.0 від 30 вересня 2025 року українською та англійською мовами (GZPW_ </w:t>
            </w:r>
            <w:proofErr w:type="spellStart"/>
            <w:r w:rsidRPr="001856DD">
              <w:t>Trialbee_Self_Assessment</w:t>
            </w:r>
            <w:proofErr w:type="spellEnd"/>
            <w:r w:rsidRPr="001856DD">
              <w:t xml:space="preserve">_ V1.0_30Sep2025_uk-UA); </w:t>
            </w:r>
            <w:proofErr w:type="spellStart"/>
            <w:r w:rsidRPr="001856DD">
              <w:t>Trialbee_Global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Privacy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Policy</w:t>
            </w:r>
            <w:proofErr w:type="spellEnd"/>
            <w:r w:rsidRPr="001856DD">
              <w:t xml:space="preserve"> Глобальна політика конфіденційності, версія від листопада 2024 року українською та англійською мовами (</w:t>
            </w:r>
            <w:proofErr w:type="spellStart"/>
            <w:r w:rsidRPr="001856DD">
              <w:t>Trialbee_Global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Privacy</w:t>
            </w:r>
            <w:proofErr w:type="spellEnd"/>
            <w:r w:rsidRPr="001856DD">
              <w:t xml:space="preserve"> Policy_Nov2024_uk-UA); </w:t>
            </w:r>
            <w:proofErr w:type="spellStart"/>
            <w:r w:rsidRPr="001856DD">
              <w:t>Trialbee</w:t>
            </w:r>
            <w:proofErr w:type="spellEnd"/>
            <w:r w:rsidRPr="001856DD">
              <w:t xml:space="preserve">_ </w:t>
            </w:r>
            <w:proofErr w:type="spellStart"/>
            <w:r w:rsidRPr="001856DD">
              <w:t>Secondary_Assessment</w:t>
            </w:r>
            <w:proofErr w:type="spellEnd"/>
            <w:r w:rsidRPr="001856DD">
              <w:t>, версія 1.0 від 30 вересня 2025 року українською та англійською мовами (</w:t>
            </w:r>
            <w:proofErr w:type="spellStart"/>
            <w:r w:rsidRPr="001856DD">
              <w:t>GZPW_Trialbee</w:t>
            </w:r>
            <w:proofErr w:type="spellEnd"/>
            <w:r w:rsidRPr="001856DD">
              <w:t>_ Seco</w:t>
            </w:r>
            <w:r w:rsidR="005905AC">
              <w:t>ndary_Assessment_V1.0_30Sep2025</w:t>
            </w:r>
            <w:r w:rsidR="005905AC" w:rsidRPr="005905AC">
              <w:t xml:space="preserve"> </w:t>
            </w:r>
            <w:proofErr w:type="spellStart"/>
            <w:r w:rsidRPr="001856DD">
              <w:t>uk</w:t>
            </w:r>
            <w:proofErr w:type="spellEnd"/>
            <w:r w:rsidRPr="001856DD">
              <w:t xml:space="preserve">-UA)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r w:rsidRPr="001856DD">
              <w:rPr>
                <w:szCs w:val="24"/>
                <w:lang w:val="ru-RU"/>
              </w:rPr>
              <w:t xml:space="preserve">Номер та дата наказу МОЗ </w:t>
            </w:r>
            <w:r w:rsidRPr="001856DD">
              <w:rPr>
                <w:szCs w:val="24"/>
              </w:rPr>
              <w:t>про</w:t>
            </w:r>
            <w:r w:rsidRPr="001856DD">
              <w:rPr>
                <w:szCs w:val="24"/>
                <w:lang w:val="ru-RU"/>
              </w:rPr>
              <w:t xml:space="preserve"> </w:t>
            </w:r>
            <w:r w:rsidRPr="001856DD">
              <w:rPr>
                <w:szCs w:val="24"/>
              </w:rPr>
              <w:t>проведення</w:t>
            </w:r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№ 52 від 15.01.2026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proofErr w:type="spellStart"/>
            <w:r w:rsidRPr="001856DD">
              <w:rPr>
                <w:szCs w:val="24"/>
                <w:lang w:val="ru-RU"/>
              </w:rPr>
              <w:t>Назва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  <w:r w:rsidRPr="001856DD">
              <w:rPr>
                <w:szCs w:val="24"/>
                <w:lang w:val="ru-RU"/>
              </w:rPr>
              <w:t xml:space="preserve">, код, </w:t>
            </w:r>
            <w:proofErr w:type="spellStart"/>
            <w:r w:rsidRPr="001856DD">
              <w:rPr>
                <w:szCs w:val="24"/>
                <w:lang w:val="ru-RU"/>
              </w:rPr>
              <w:t>версія</w:t>
            </w:r>
            <w:proofErr w:type="spellEnd"/>
            <w:r w:rsidRPr="001856D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  <w:rPr>
                <w:lang w:val="ru-RU"/>
              </w:rPr>
            </w:pPr>
            <w:r w:rsidRPr="001856DD">
              <w:rPr>
                <w:color w:val="000000"/>
              </w:rPr>
              <w:t>«</w:t>
            </w:r>
            <w:proofErr w:type="spellStart"/>
            <w:r w:rsidR="006D55BF" w:rsidRPr="001856DD">
              <w:t>Рандомізоване</w:t>
            </w:r>
            <w:proofErr w:type="spellEnd"/>
            <w:r w:rsidR="006D55BF" w:rsidRPr="001856DD">
              <w:t xml:space="preserve">, подвійне сліпе, плацебо-контрольоване, </w:t>
            </w:r>
            <w:proofErr w:type="spellStart"/>
            <w:r w:rsidR="006D55BF" w:rsidRPr="001856DD">
              <w:t>подійно</w:t>
            </w:r>
            <w:proofErr w:type="spellEnd"/>
            <w:r w:rsidR="006D55BF" w:rsidRPr="001856DD">
              <w:t xml:space="preserve">-орієнтоване дослідження ІІІ фази з метою вивчення впливу </w:t>
            </w:r>
            <w:proofErr w:type="spellStart"/>
            <w:r w:rsidR="006D55BF" w:rsidRPr="001856DD">
              <w:t>орфоргліпрону</w:t>
            </w:r>
            <w:proofErr w:type="spellEnd"/>
            <w:r w:rsidR="006D55BF" w:rsidRPr="001856DD">
              <w:t xml:space="preserve"> на частоту виникнення значних несприятливих явищ з боку серцево-судинної системи у пацієнтів з встановленим атеросклеротичним серцево-судинним захворюванням і/або хронічним захворюванням нирок (ATTAIN-</w:t>
            </w:r>
            <w:proofErr w:type="spellStart"/>
            <w:r w:rsidR="006D55BF" w:rsidRPr="001856DD">
              <w:t>Outcomes</w:t>
            </w:r>
            <w:proofErr w:type="spellEnd"/>
            <w:r w:rsidR="006D55BF" w:rsidRPr="001856DD">
              <w:t>)</w:t>
            </w:r>
            <w:r w:rsidRPr="001856DD">
              <w:rPr>
                <w:color w:val="000000"/>
              </w:rPr>
              <w:t>»</w:t>
            </w:r>
            <w:r w:rsidR="006D55BF" w:rsidRPr="001856DD">
              <w:t>, J2A-MC-GZPW, версія з поправкою (а) від 26 вересня 2025 року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  <w:lang w:val="ru-RU"/>
              </w:rPr>
              <w:t>За</w:t>
            </w:r>
            <w:proofErr w:type="spellStart"/>
            <w:r w:rsidRPr="001856DD">
              <w:rPr>
                <w:szCs w:val="24"/>
              </w:rPr>
              <w:t>явник</w:t>
            </w:r>
            <w:proofErr w:type="spellEnd"/>
            <w:r w:rsidRPr="001856D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</w:pPr>
            <w:r w:rsidRPr="001856DD">
              <w:rPr>
                <w:color w:val="000000"/>
              </w:rPr>
              <w:t>«</w:t>
            </w:r>
            <w:r w:rsidR="006D55BF" w:rsidRPr="001856DD">
              <w:t>Елі Ліллі Восток СА</w:t>
            </w:r>
            <w:r w:rsidRPr="001856DD">
              <w:rPr>
                <w:color w:val="000000"/>
              </w:rPr>
              <w:t>»</w:t>
            </w:r>
            <w:r w:rsidR="006D55BF" w:rsidRPr="001856DD">
              <w:t>, Швейцарія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Елі Ліллі </w:t>
            </w:r>
            <w:proofErr w:type="spellStart"/>
            <w:r w:rsidRPr="001856DD">
              <w:t>енд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Компані</w:t>
            </w:r>
            <w:proofErr w:type="spellEnd"/>
            <w:r w:rsidRPr="001856DD">
              <w:t xml:space="preserve">, США / </w:t>
            </w:r>
            <w:proofErr w:type="spellStart"/>
            <w:r w:rsidRPr="001856DD">
              <w:t>Eli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Lilly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and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Company</w:t>
            </w:r>
            <w:proofErr w:type="spellEnd"/>
            <w:r w:rsidRPr="001856DD">
              <w:t>, USA</w:t>
            </w:r>
          </w:p>
        </w:tc>
      </w:tr>
    </w:tbl>
    <w:p w:rsidR="0010485F" w:rsidRDefault="0010485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10485F" w:rsidRDefault="0010485F">
      <w:pPr>
        <w:tabs>
          <w:tab w:val="clear" w:pos="708"/>
        </w:tabs>
        <w:rPr>
          <w:lang w:val="ru-RU" w:eastAsia="en-US"/>
        </w:rPr>
        <w:sectPr w:rsidR="001048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0485F" w:rsidRDefault="006D55BF">
      <w:r>
        <w:lastRenderedPageBreak/>
        <w:t xml:space="preserve">                                                                                                                                                       Додаток 5</w:t>
      </w:r>
    </w:p>
    <w:p w:rsidR="0010485F" w:rsidRDefault="00146C0E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146C0E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0485F" w:rsidRDefault="005A0179">
      <w:pPr>
        <w:ind w:left="9072"/>
      </w:pPr>
      <w:r w:rsidRPr="00242F1B">
        <w:rPr>
          <w:u w:val="single"/>
        </w:rPr>
        <w:t>07.04.2026</w:t>
      </w:r>
      <w:r>
        <w:t xml:space="preserve"> № </w:t>
      </w:r>
      <w:r w:rsidRPr="00242F1B">
        <w:rPr>
          <w:u w:val="single"/>
        </w:rPr>
        <w:t>471</w:t>
      </w:r>
    </w:p>
    <w:p w:rsidR="0010485F" w:rsidRDefault="0010485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856DD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56DD" w:rsidRPr="001856DD" w:rsidRDefault="001856DD">
            <w:pPr>
              <w:rPr>
                <w:szCs w:val="24"/>
              </w:rPr>
            </w:pPr>
            <w:r w:rsidRPr="001856D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1856DD" w:rsidRPr="0021491A" w:rsidRDefault="001856DD" w:rsidP="0021491A">
            <w:pPr>
              <w:jc w:val="both"/>
              <w:rPr>
                <w:rFonts w:asciiTheme="minorHAnsi" w:hAnsiTheme="minorHAnsi"/>
                <w:sz w:val="22"/>
              </w:rPr>
            </w:pPr>
            <w:r w:rsidRPr="001856DD">
              <w:t xml:space="preserve">Інформація для пацієнта дослідження та Форма Інформованої Згоди для використання в Україні, версія № 7.0 українською мовою від 26 лютого 2026 року; Форма дозволу на зарахування коштів на рахунок, версія 5.0 від 26 лютого 2026 року українською мовою; </w:t>
            </w:r>
            <w:r w:rsidR="0021491A">
              <w:t xml:space="preserve">                </w:t>
            </w:r>
            <w:r w:rsidRPr="001856DD">
              <w:t>Зміна назви місця про</w:t>
            </w:r>
            <w:r w:rsidR="0021491A">
              <w:t>ведення клінічного випробування</w:t>
            </w:r>
            <w:r w:rsidRPr="001856D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1856DD" w:rsidRPr="001856DD" w:rsidTr="00067DE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2e86d3a6"/>
                  </w:pPr>
                  <w:r w:rsidRPr="001856DD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2e86d3a6"/>
                  </w:pPr>
                  <w:r w:rsidRPr="001856DD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1856DD" w:rsidRPr="001856DD" w:rsidTr="00067DE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80d9435b"/>
                  </w:pPr>
                  <w:proofErr w:type="spellStart"/>
                  <w:r w:rsidRPr="001856DD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зав.від</w:t>
                  </w:r>
                  <w:proofErr w:type="spellEnd"/>
                  <w:r w:rsidRPr="001856DD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. Зборівський Я.М.</w:t>
                  </w:r>
                </w:p>
                <w:p w:rsidR="001856DD" w:rsidRPr="001856DD" w:rsidRDefault="001856DD" w:rsidP="001856DD">
                  <w:pPr>
                    <w:pStyle w:val="cs80d9435b"/>
                  </w:pPr>
                  <w:r w:rsidRPr="001856D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Львівської обласної ради «Львівська обласна клінічна лікарня», хірургічне відділення №1</w:t>
                  </w:r>
                  <w:r w:rsidRPr="001856DD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80d9435b"/>
                  </w:pPr>
                  <w:proofErr w:type="spellStart"/>
                  <w:r w:rsidRPr="001856DD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зав.від</w:t>
                  </w:r>
                  <w:proofErr w:type="spellEnd"/>
                  <w:r w:rsidRPr="001856DD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. Зборівський Я.М.</w:t>
                  </w:r>
                </w:p>
                <w:p w:rsidR="001856DD" w:rsidRPr="001856DD" w:rsidRDefault="001856DD" w:rsidP="001856DD">
                  <w:pPr>
                    <w:pStyle w:val="cs80d9435b"/>
                  </w:pPr>
                  <w:r w:rsidRPr="001856D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 xml:space="preserve">Університетська лікарня державного некомерційного товариства «Львівський національний медичний університет                          імені Данила Галицького», клініка хірургії, хірургічне відділення №1 </w:t>
                  </w:r>
                  <w:proofErr w:type="spellStart"/>
                  <w:r w:rsidRPr="001856D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кампусу</w:t>
                  </w:r>
                  <w:proofErr w:type="spellEnd"/>
                  <w:r w:rsidRPr="001856DD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 xml:space="preserve">                             імені Мар`яна Панчишина</w:t>
                  </w:r>
                  <w:r w:rsidRPr="001856DD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м. Львів</w:t>
                  </w:r>
                </w:p>
              </w:tc>
            </w:tr>
          </w:tbl>
          <w:p w:rsidR="001856DD" w:rsidRPr="001856DD" w:rsidRDefault="001856DD" w:rsidP="001C3931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r w:rsidRPr="001856DD">
              <w:rPr>
                <w:szCs w:val="24"/>
                <w:lang w:val="ru-RU"/>
              </w:rPr>
              <w:t xml:space="preserve">Номер та дата наказу МОЗ </w:t>
            </w:r>
            <w:r w:rsidRPr="001856DD">
              <w:rPr>
                <w:szCs w:val="24"/>
              </w:rPr>
              <w:t>про</w:t>
            </w:r>
            <w:r w:rsidRPr="001856DD">
              <w:rPr>
                <w:szCs w:val="24"/>
                <w:lang w:val="ru-RU"/>
              </w:rPr>
              <w:t xml:space="preserve"> </w:t>
            </w:r>
            <w:r w:rsidRPr="001856DD">
              <w:rPr>
                <w:szCs w:val="24"/>
              </w:rPr>
              <w:t>проведення</w:t>
            </w:r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№ 1753 від 06.08.2019 </w:t>
            </w: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proofErr w:type="spellStart"/>
            <w:r w:rsidRPr="001856DD">
              <w:rPr>
                <w:szCs w:val="24"/>
                <w:lang w:val="ru-RU"/>
              </w:rPr>
              <w:t>Назва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  <w:r w:rsidRPr="001856DD">
              <w:rPr>
                <w:szCs w:val="24"/>
                <w:lang w:val="ru-RU"/>
              </w:rPr>
              <w:t xml:space="preserve">, код, </w:t>
            </w:r>
            <w:proofErr w:type="spellStart"/>
            <w:r w:rsidRPr="001856DD">
              <w:rPr>
                <w:szCs w:val="24"/>
                <w:lang w:val="ru-RU"/>
              </w:rPr>
              <w:t>версія</w:t>
            </w:r>
            <w:proofErr w:type="spellEnd"/>
            <w:r w:rsidRPr="001856D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  <w:rPr>
                <w:lang w:val="ru-RU"/>
              </w:rPr>
            </w:pPr>
            <w:r w:rsidRPr="001856DD">
              <w:rPr>
                <w:color w:val="000000"/>
              </w:rPr>
              <w:t>«</w:t>
            </w:r>
            <w:proofErr w:type="spellStart"/>
            <w:r w:rsidR="006D55BF" w:rsidRPr="001856DD">
              <w:t>Багатоцентрове</w:t>
            </w:r>
            <w:proofErr w:type="spellEnd"/>
            <w:r w:rsidR="006D55BF" w:rsidRPr="001856DD">
              <w:t xml:space="preserve">, Відкрите, Подовжене Дослідження III Фази для Оцінки Довготривалої Ефективності та Безпечності Застосування </w:t>
            </w:r>
            <w:proofErr w:type="spellStart"/>
            <w:r w:rsidR="006D55BF" w:rsidRPr="001856DD">
              <w:t>Мірікізумабу</w:t>
            </w:r>
            <w:proofErr w:type="spellEnd"/>
            <w:r w:rsidR="006D55BF" w:rsidRPr="001856DD">
              <w:t xml:space="preserve"> у Пацієнтів із Виразковим Колітом Помірного та Тяжкого Перебігу (LUCENT 3)</w:t>
            </w:r>
            <w:r w:rsidRPr="001856DD">
              <w:rPr>
                <w:color w:val="000000"/>
              </w:rPr>
              <w:t>»</w:t>
            </w:r>
            <w:r w:rsidR="006D55BF" w:rsidRPr="001856DD">
              <w:t>, I6T-MC-AMAP, з інкорпорованою поправкою (е) від 31 жовтня 2023 року</w:t>
            </w: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  <w:lang w:val="ru-RU"/>
              </w:rPr>
              <w:t>За</w:t>
            </w:r>
            <w:proofErr w:type="spellStart"/>
            <w:r w:rsidRPr="001856DD">
              <w:rPr>
                <w:szCs w:val="24"/>
              </w:rPr>
              <w:t>явник</w:t>
            </w:r>
            <w:proofErr w:type="spellEnd"/>
            <w:r w:rsidRPr="001856D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</w:pPr>
            <w:r w:rsidRPr="001856DD">
              <w:rPr>
                <w:color w:val="000000"/>
              </w:rPr>
              <w:t>«</w:t>
            </w:r>
            <w:r w:rsidR="006D55BF" w:rsidRPr="001856DD">
              <w:t>Елі Ліллі Восток СА</w:t>
            </w:r>
            <w:r w:rsidRPr="001856DD">
              <w:rPr>
                <w:color w:val="000000"/>
              </w:rPr>
              <w:t>»</w:t>
            </w:r>
            <w:r w:rsidR="006D55BF" w:rsidRPr="001856DD">
              <w:t>, Швейцарія</w:t>
            </w: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Елі Ліллі </w:t>
            </w:r>
            <w:proofErr w:type="spellStart"/>
            <w:r w:rsidRPr="001856DD">
              <w:t>енд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Компані</w:t>
            </w:r>
            <w:proofErr w:type="spellEnd"/>
            <w:r w:rsidRPr="001856DD">
              <w:t xml:space="preserve">, США / </w:t>
            </w:r>
            <w:proofErr w:type="spellStart"/>
            <w:r w:rsidRPr="001856DD">
              <w:t>Eli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Lilly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and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Company</w:t>
            </w:r>
            <w:proofErr w:type="spellEnd"/>
            <w:r w:rsidRPr="001856DD">
              <w:t>, USA</w:t>
            </w:r>
          </w:p>
        </w:tc>
      </w:tr>
    </w:tbl>
    <w:p w:rsidR="0010485F" w:rsidRDefault="0010485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10485F" w:rsidRDefault="0010485F">
      <w:pPr>
        <w:tabs>
          <w:tab w:val="clear" w:pos="708"/>
        </w:tabs>
        <w:rPr>
          <w:lang w:val="ru-RU" w:eastAsia="en-US"/>
        </w:rPr>
        <w:sectPr w:rsidR="001048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0485F" w:rsidRDefault="006D55BF">
      <w:r>
        <w:lastRenderedPageBreak/>
        <w:t xml:space="preserve">                                                                                                                                                       Додаток 6</w:t>
      </w:r>
    </w:p>
    <w:p w:rsidR="0010485F" w:rsidRDefault="00146C0E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146C0E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0485F" w:rsidRDefault="005A0179">
      <w:pPr>
        <w:ind w:left="9072"/>
      </w:pPr>
      <w:r w:rsidRPr="00242F1B">
        <w:rPr>
          <w:u w:val="single"/>
        </w:rPr>
        <w:t>07.04.2026</w:t>
      </w:r>
      <w:r>
        <w:t xml:space="preserve"> № </w:t>
      </w:r>
      <w:r w:rsidRPr="00242F1B">
        <w:rPr>
          <w:u w:val="single"/>
        </w:rPr>
        <w:t>471</w:t>
      </w:r>
    </w:p>
    <w:p w:rsidR="0010485F" w:rsidRDefault="0010485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856DD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56DD" w:rsidRPr="001856DD" w:rsidRDefault="001856DD">
            <w:pPr>
              <w:rPr>
                <w:szCs w:val="24"/>
              </w:rPr>
            </w:pPr>
            <w:r w:rsidRPr="001856D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1856DD" w:rsidRPr="000F090C" w:rsidRDefault="001856DD" w:rsidP="000F090C">
            <w:pPr>
              <w:jc w:val="both"/>
              <w:rPr>
                <w:rFonts w:asciiTheme="minorHAnsi" w:hAnsiTheme="minorHAnsi"/>
                <w:sz w:val="22"/>
              </w:rPr>
            </w:pPr>
            <w:r w:rsidRPr="001856DD">
              <w:t>Зміна назви місця про</w:t>
            </w:r>
            <w:r w:rsidR="000F090C">
              <w:t>ведення клінічного випробування</w:t>
            </w:r>
            <w:r w:rsidRPr="001856D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1856DD" w:rsidRPr="001856DD" w:rsidTr="00067DE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2e86d3a6"/>
                  </w:pPr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2e86d3a6"/>
                  </w:pPr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1856DD" w:rsidRPr="001856DD" w:rsidTr="00067DEB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80d9435b"/>
                  </w:pPr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Скибало</w:t>
                  </w:r>
                  <w:proofErr w:type="spellEnd"/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С.А.</w:t>
                  </w:r>
                </w:p>
                <w:p w:rsidR="001856DD" w:rsidRPr="001856DD" w:rsidRDefault="001856DD" w:rsidP="001856DD">
                  <w:pPr>
                    <w:pStyle w:val="cs80d9435b"/>
                  </w:pPr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      </w:r>
                  <w:r w:rsidRPr="001856DD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>відділення клінічних досліджень на спецфонді</w:t>
                  </w:r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80d9435b"/>
                  </w:pPr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лікар </w:t>
                  </w:r>
                  <w:proofErr w:type="spellStart"/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Скибало</w:t>
                  </w:r>
                  <w:proofErr w:type="spellEnd"/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 С.А.</w:t>
                  </w:r>
                </w:p>
                <w:p w:rsidR="001856DD" w:rsidRPr="001856DD" w:rsidRDefault="001856DD" w:rsidP="001856DD">
                  <w:pPr>
                    <w:pStyle w:val="cs80d9435b"/>
                  </w:pPr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 xml:space="preserve">Комунальне некомерційне підприємство «Київська міська клінічна лікарня №1» виконавчого органу Київської міської ради (Київської міської державної адміністрації), </w:t>
                  </w:r>
                  <w:r w:rsidRPr="001856DD">
                    <w:rPr>
                      <w:rStyle w:val="cs5e98e9305"/>
                      <w:rFonts w:ascii="Times New Roman" w:hAnsi="Times New Roman" w:cs="Times New Roman"/>
                      <w:b w:val="0"/>
                      <w:sz w:val="24"/>
                    </w:rPr>
                    <w:t>Центр клінічних досліджень на спеціальному фонді</w:t>
                  </w:r>
                  <w:r w:rsidRPr="001856DD">
                    <w:rPr>
                      <w:rStyle w:val="csa16174ba5"/>
                      <w:rFonts w:ascii="Times New Roman" w:hAnsi="Times New Roman" w:cs="Times New Roman"/>
                      <w:sz w:val="24"/>
                    </w:rPr>
                    <w:t>, м. Київ</w:t>
                  </w:r>
                </w:p>
              </w:tc>
            </w:tr>
          </w:tbl>
          <w:p w:rsidR="001856DD" w:rsidRPr="001856DD" w:rsidRDefault="001856DD" w:rsidP="001E71A9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r w:rsidRPr="001856DD">
              <w:rPr>
                <w:szCs w:val="24"/>
                <w:lang w:val="ru-RU"/>
              </w:rPr>
              <w:t xml:space="preserve">Номер та дата наказу МОЗ </w:t>
            </w:r>
            <w:r w:rsidRPr="001856DD">
              <w:rPr>
                <w:szCs w:val="24"/>
              </w:rPr>
              <w:t>про</w:t>
            </w:r>
            <w:r w:rsidRPr="001856DD">
              <w:rPr>
                <w:szCs w:val="24"/>
                <w:lang w:val="ru-RU"/>
              </w:rPr>
              <w:t xml:space="preserve"> </w:t>
            </w:r>
            <w:r w:rsidRPr="001856DD">
              <w:rPr>
                <w:szCs w:val="24"/>
              </w:rPr>
              <w:t>проведення</w:t>
            </w:r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№ 1896 від 27.08.2019 </w:t>
            </w: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proofErr w:type="spellStart"/>
            <w:r w:rsidRPr="001856DD">
              <w:rPr>
                <w:szCs w:val="24"/>
                <w:lang w:val="ru-RU"/>
              </w:rPr>
              <w:t>Назва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  <w:r w:rsidRPr="001856DD">
              <w:rPr>
                <w:szCs w:val="24"/>
                <w:lang w:val="ru-RU"/>
              </w:rPr>
              <w:t xml:space="preserve">, код, </w:t>
            </w:r>
            <w:proofErr w:type="spellStart"/>
            <w:r w:rsidRPr="001856DD">
              <w:rPr>
                <w:szCs w:val="24"/>
                <w:lang w:val="ru-RU"/>
              </w:rPr>
              <w:t>версія</w:t>
            </w:r>
            <w:proofErr w:type="spellEnd"/>
            <w:r w:rsidRPr="001856D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  <w:rPr>
                <w:lang w:val="ru-RU"/>
              </w:rPr>
            </w:pPr>
            <w:r w:rsidRPr="001856DD">
              <w:rPr>
                <w:color w:val="000000"/>
              </w:rPr>
              <w:t>«</w:t>
            </w:r>
            <w:r w:rsidR="006D55BF" w:rsidRPr="001856DD">
              <w:t xml:space="preserve">Відкрите розширене дослідження </w:t>
            </w:r>
            <w:proofErr w:type="spellStart"/>
            <w:r w:rsidR="006D55BF" w:rsidRPr="001856DD">
              <w:t>етрасімоду</w:t>
            </w:r>
            <w:proofErr w:type="spellEnd"/>
            <w:r w:rsidR="006D55BF" w:rsidRPr="001856DD">
              <w:t xml:space="preserve"> в пацієнтів із активним виразковим колітом від помірного до важкого ступеня тяжкості</w:t>
            </w:r>
            <w:r w:rsidRPr="001856DD">
              <w:rPr>
                <w:color w:val="000000"/>
              </w:rPr>
              <w:t>»</w:t>
            </w:r>
            <w:r w:rsidR="006D55BF" w:rsidRPr="001856DD">
              <w:t>, APD334-303, з інкорпорованою поправкою 4.0 від 20 лютого 2023 року</w:t>
            </w: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  <w:lang w:val="ru-RU"/>
              </w:rPr>
              <w:t>За</w:t>
            </w:r>
            <w:proofErr w:type="spellStart"/>
            <w:r w:rsidRPr="001856DD">
              <w:rPr>
                <w:szCs w:val="24"/>
              </w:rPr>
              <w:t>явник</w:t>
            </w:r>
            <w:proofErr w:type="spellEnd"/>
            <w:r w:rsidRPr="001856D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proofErr w:type="spellStart"/>
            <w:r w:rsidRPr="001856DD">
              <w:t>Пфайзер</w:t>
            </w:r>
            <w:proofErr w:type="spellEnd"/>
            <w:r w:rsidRPr="001856DD">
              <w:t xml:space="preserve"> Інк., США</w:t>
            </w: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</w:pPr>
            <w:r w:rsidRPr="001856DD">
              <w:rPr>
                <w:color w:val="000000"/>
              </w:rPr>
              <w:t>«</w:t>
            </w:r>
            <w:r w:rsidR="006D55BF" w:rsidRPr="001856DD">
              <w:t xml:space="preserve">Арена </w:t>
            </w:r>
            <w:proofErr w:type="spellStart"/>
            <w:r w:rsidR="006D55BF" w:rsidRPr="001856DD">
              <w:t>Фармасьютікалз</w:t>
            </w:r>
            <w:proofErr w:type="spellEnd"/>
            <w:r w:rsidR="006D55BF" w:rsidRPr="001856DD">
              <w:t>, Інк.</w:t>
            </w:r>
            <w:r w:rsidRPr="001856DD">
              <w:rPr>
                <w:color w:val="000000"/>
              </w:rPr>
              <w:t>»</w:t>
            </w:r>
            <w:r w:rsidR="006D55BF" w:rsidRPr="001856DD">
              <w:t>, дочірня компанія, що повністю належить компанії</w:t>
            </w:r>
            <w:r w:rsidRPr="001856DD">
              <w:rPr>
                <w:color w:val="000000"/>
              </w:rPr>
              <w:t xml:space="preserve"> </w:t>
            </w:r>
            <w:r w:rsidR="000F090C">
              <w:rPr>
                <w:color w:val="000000"/>
              </w:rPr>
              <w:t xml:space="preserve">                </w:t>
            </w:r>
            <w:r w:rsidRPr="001856DD">
              <w:rPr>
                <w:color w:val="000000"/>
              </w:rPr>
              <w:t>«</w:t>
            </w:r>
            <w:proofErr w:type="spellStart"/>
            <w:r w:rsidR="006D55BF" w:rsidRPr="001856DD">
              <w:t>Пфайзер</w:t>
            </w:r>
            <w:proofErr w:type="spellEnd"/>
            <w:r w:rsidR="006D55BF" w:rsidRPr="001856DD">
              <w:t xml:space="preserve"> Інк.</w:t>
            </w:r>
            <w:r w:rsidRPr="001856DD">
              <w:rPr>
                <w:color w:val="000000"/>
              </w:rPr>
              <w:t>»</w:t>
            </w:r>
            <w:r w:rsidR="006D55BF" w:rsidRPr="001856DD">
              <w:t>, США</w:t>
            </w:r>
          </w:p>
        </w:tc>
      </w:tr>
    </w:tbl>
    <w:p w:rsidR="0010485F" w:rsidRDefault="0010485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10485F" w:rsidRDefault="0010485F">
      <w:pPr>
        <w:tabs>
          <w:tab w:val="clear" w:pos="708"/>
        </w:tabs>
        <w:rPr>
          <w:lang w:val="ru-RU" w:eastAsia="en-US"/>
        </w:rPr>
        <w:sectPr w:rsidR="001048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0485F" w:rsidRDefault="006D55BF">
      <w:r>
        <w:lastRenderedPageBreak/>
        <w:t xml:space="preserve">                                                                                                                                                       Додаток 7</w:t>
      </w:r>
    </w:p>
    <w:p w:rsidR="0010485F" w:rsidRDefault="00146C0E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146C0E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 xml:space="preserve">» </w:t>
      </w:r>
      <w:r w:rsidR="006D55BF">
        <w:t xml:space="preserve"> </w:t>
      </w:r>
    </w:p>
    <w:p w:rsidR="0010485F" w:rsidRDefault="005A0179">
      <w:pPr>
        <w:ind w:left="9072"/>
      </w:pPr>
      <w:r w:rsidRPr="00242F1B">
        <w:rPr>
          <w:u w:val="single"/>
        </w:rPr>
        <w:t>07.04.2026</w:t>
      </w:r>
      <w:r>
        <w:t xml:space="preserve"> № </w:t>
      </w:r>
      <w:r w:rsidRPr="00242F1B">
        <w:rPr>
          <w:u w:val="single"/>
        </w:rPr>
        <w:t>471</w:t>
      </w:r>
    </w:p>
    <w:p w:rsidR="0010485F" w:rsidRDefault="0010485F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856DD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856DD" w:rsidRPr="001856DD" w:rsidRDefault="001856DD">
            <w:pPr>
              <w:rPr>
                <w:szCs w:val="24"/>
              </w:rPr>
            </w:pPr>
            <w:r w:rsidRPr="001856D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1856DD" w:rsidRPr="000F090C" w:rsidRDefault="001856DD" w:rsidP="000F090C">
            <w:pPr>
              <w:jc w:val="both"/>
              <w:rPr>
                <w:rFonts w:asciiTheme="minorHAnsi" w:hAnsiTheme="minorHAnsi"/>
                <w:sz w:val="22"/>
              </w:rPr>
            </w:pPr>
            <w:r w:rsidRPr="001856DD">
              <w:t>Зміна назв</w:t>
            </w:r>
            <w:r w:rsidR="000F090C">
              <w:t>и місця проведення випробування</w:t>
            </w:r>
            <w:r w:rsidRPr="001856DD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1856DD" w:rsidRPr="001856DD" w:rsidTr="00067DEB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2e86d3a6"/>
                  </w:pPr>
                  <w:r w:rsidRPr="001856D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2e86d3a6"/>
                  </w:pPr>
                  <w:r w:rsidRPr="001856D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 xml:space="preserve">СТАЛО </w:t>
                  </w:r>
                </w:p>
              </w:tc>
            </w:tr>
            <w:tr w:rsidR="001856DD" w:rsidRPr="001856DD" w:rsidTr="00067DEB"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80d9435b"/>
                  </w:pPr>
                  <w:proofErr w:type="spellStart"/>
                  <w:r w:rsidRPr="001856D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1856D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. Олійник О.І.</w:t>
                  </w:r>
                </w:p>
                <w:p w:rsidR="001856DD" w:rsidRPr="001856DD" w:rsidRDefault="001856DD" w:rsidP="001856DD">
                  <w:pPr>
                    <w:pStyle w:val="cs80d9435b"/>
                  </w:pPr>
                  <w:r w:rsidRPr="001856D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«Міська лікарня №6» Запорізької міської ради, відділення терапії</w:t>
                  </w:r>
                  <w:r w:rsidRPr="001856D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 м. Запоріжжя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856DD" w:rsidRPr="001856DD" w:rsidRDefault="001856DD" w:rsidP="001856DD">
                  <w:pPr>
                    <w:pStyle w:val="cs80d9435b"/>
                  </w:pPr>
                  <w:proofErr w:type="spellStart"/>
                  <w:r w:rsidRPr="001856D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1856D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. Олійник О.І.</w:t>
                  </w:r>
                </w:p>
                <w:p w:rsidR="001856DD" w:rsidRPr="001856DD" w:rsidRDefault="001856DD" w:rsidP="001856DD">
                  <w:pPr>
                    <w:jc w:val="both"/>
                    <w:rPr>
                      <w:rFonts w:cs="Times New Roman"/>
                    </w:rPr>
                  </w:pPr>
                  <w:r w:rsidRPr="001856DD">
                    <w:rPr>
                      <w:rStyle w:val="cs5e98e9306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 «Міська лікарня екстреної та швидкої медичної допомоги» Запорізької міської ради, відділення терапії лікувального підрозділу</w:t>
                  </w:r>
                  <w:r w:rsidR="00D81967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>,</w:t>
                  </w:r>
                  <w:r w:rsidR="009F40A0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1856DD">
                    <w:rPr>
                      <w:rStyle w:val="csa16174ba6"/>
                      <w:rFonts w:ascii="Times New Roman" w:hAnsi="Times New Roman" w:cs="Times New Roman"/>
                      <w:sz w:val="24"/>
                    </w:rPr>
                    <w:t xml:space="preserve">м. Запоріжжя </w:t>
                  </w:r>
                </w:p>
              </w:tc>
            </w:tr>
          </w:tbl>
          <w:p w:rsidR="001856DD" w:rsidRPr="001856DD" w:rsidRDefault="001856DD" w:rsidP="00F275D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r w:rsidRPr="001856DD">
              <w:rPr>
                <w:szCs w:val="24"/>
                <w:lang w:val="ru-RU"/>
              </w:rPr>
              <w:t xml:space="preserve">Номер та дата наказу МОЗ </w:t>
            </w:r>
            <w:r w:rsidRPr="001856DD">
              <w:rPr>
                <w:szCs w:val="24"/>
              </w:rPr>
              <w:t>про</w:t>
            </w:r>
            <w:r w:rsidRPr="001856DD">
              <w:rPr>
                <w:szCs w:val="24"/>
                <w:lang w:val="ru-RU"/>
              </w:rPr>
              <w:t xml:space="preserve"> </w:t>
            </w:r>
            <w:r w:rsidRPr="001856DD">
              <w:rPr>
                <w:szCs w:val="24"/>
              </w:rPr>
              <w:t>проведення</w:t>
            </w:r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№ 1962 від 29.10.2018 </w:t>
            </w: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proofErr w:type="spellStart"/>
            <w:r w:rsidRPr="001856DD">
              <w:rPr>
                <w:szCs w:val="24"/>
                <w:lang w:val="ru-RU"/>
              </w:rPr>
              <w:t>Назва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  <w:r w:rsidRPr="001856DD">
              <w:rPr>
                <w:szCs w:val="24"/>
                <w:lang w:val="ru-RU"/>
              </w:rPr>
              <w:t xml:space="preserve">, код, </w:t>
            </w:r>
            <w:proofErr w:type="spellStart"/>
            <w:r w:rsidRPr="001856DD">
              <w:rPr>
                <w:szCs w:val="24"/>
                <w:lang w:val="ru-RU"/>
              </w:rPr>
              <w:t>версія</w:t>
            </w:r>
            <w:proofErr w:type="spellEnd"/>
            <w:r w:rsidRPr="001856D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  <w:rPr>
                <w:lang w:val="ru-RU"/>
              </w:rPr>
            </w:pPr>
            <w:r w:rsidRPr="001856DD">
              <w:rPr>
                <w:color w:val="000000"/>
              </w:rPr>
              <w:t>«</w:t>
            </w:r>
            <w:proofErr w:type="spellStart"/>
            <w:r w:rsidR="006D55BF" w:rsidRPr="001856DD">
              <w:t>Рандомізоване</w:t>
            </w:r>
            <w:proofErr w:type="spellEnd"/>
            <w:r w:rsidR="006D55BF" w:rsidRPr="001856DD">
              <w:t xml:space="preserve">, подвійне сліпе, плацебо-контрольоване та з активним контролем, </w:t>
            </w:r>
            <w:proofErr w:type="spellStart"/>
            <w:r w:rsidR="006D55BF" w:rsidRPr="001856DD">
              <w:t>багатоцентрове</w:t>
            </w:r>
            <w:proofErr w:type="spellEnd"/>
            <w:r w:rsidR="006D55BF" w:rsidRPr="001856DD">
              <w:t xml:space="preserve"> дослідження фази 2/3, що проводиться у паралельних групах з метою оцінки ефективності та безпечності </w:t>
            </w:r>
            <w:proofErr w:type="spellStart"/>
            <w:r w:rsidR="006D55BF" w:rsidRPr="001856DD">
              <w:t>гуселькумабу</w:t>
            </w:r>
            <w:proofErr w:type="spellEnd"/>
            <w:r w:rsidR="006D55BF" w:rsidRPr="001856DD">
              <w:t xml:space="preserve"> у пацієнтів із хворобою Крона в активній фазі від середнього до важкого ступеня тяжкості</w:t>
            </w:r>
            <w:r w:rsidRPr="001856DD">
              <w:rPr>
                <w:color w:val="000000"/>
              </w:rPr>
              <w:t>»</w:t>
            </w:r>
            <w:r w:rsidR="006D55BF" w:rsidRPr="001856DD">
              <w:t>, CNTO1959CRD3001, з поправкою 5 від 12 липня 2022 року</w:t>
            </w: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  <w:lang w:val="ru-RU"/>
              </w:rPr>
              <w:t>За</w:t>
            </w:r>
            <w:proofErr w:type="spellStart"/>
            <w:r w:rsidRPr="001856DD">
              <w:rPr>
                <w:szCs w:val="24"/>
              </w:rPr>
              <w:t>явник</w:t>
            </w:r>
            <w:proofErr w:type="spellEnd"/>
            <w:r w:rsidRPr="001856D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>ТОВ</w:t>
            </w:r>
            <w:r w:rsidR="001856DD" w:rsidRPr="001856DD">
              <w:rPr>
                <w:color w:val="000000"/>
              </w:rPr>
              <w:t xml:space="preserve"> «</w:t>
            </w:r>
            <w:r w:rsidRPr="001856DD">
              <w:t>ПАРЕКСЕЛ Україна</w:t>
            </w:r>
            <w:r w:rsidR="001856DD" w:rsidRPr="001856DD">
              <w:rPr>
                <w:color w:val="000000"/>
              </w:rPr>
              <w:t>»</w:t>
            </w:r>
          </w:p>
        </w:tc>
      </w:tr>
      <w:tr w:rsidR="0010485F" w:rsidRPr="001856DD" w:rsidTr="001856DD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proofErr w:type="spellStart"/>
            <w:r w:rsidRPr="001856DD">
              <w:t>Janssen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Pharmaceutica</w:t>
            </w:r>
            <w:proofErr w:type="spellEnd"/>
            <w:r w:rsidRPr="001856DD">
              <w:t xml:space="preserve"> NV, </w:t>
            </w:r>
            <w:proofErr w:type="spellStart"/>
            <w:r w:rsidRPr="001856DD">
              <w:t>Belgium</w:t>
            </w:r>
            <w:proofErr w:type="spellEnd"/>
            <w:r w:rsidRPr="001856DD">
              <w:t xml:space="preserve"> / </w:t>
            </w:r>
            <w:proofErr w:type="spellStart"/>
            <w:r w:rsidRPr="001856DD">
              <w:t>Янссен</w:t>
            </w:r>
            <w:proofErr w:type="spellEnd"/>
            <w:r w:rsidRPr="001856DD">
              <w:t xml:space="preserve"> Фармацевтика НВ, Бельгія</w:t>
            </w:r>
          </w:p>
        </w:tc>
      </w:tr>
    </w:tbl>
    <w:p w:rsidR="0010485F" w:rsidRDefault="0010485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10485F" w:rsidRDefault="0010485F">
      <w:pPr>
        <w:tabs>
          <w:tab w:val="clear" w:pos="708"/>
        </w:tabs>
        <w:rPr>
          <w:lang w:val="ru-RU" w:eastAsia="en-US"/>
        </w:rPr>
        <w:sectPr w:rsidR="001048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0485F" w:rsidRDefault="006D55BF">
      <w:r>
        <w:lastRenderedPageBreak/>
        <w:t xml:space="preserve">                                                                                                                                                       Додаток 8</w:t>
      </w:r>
    </w:p>
    <w:p w:rsidR="0010485F" w:rsidRDefault="00146C0E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146C0E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0485F" w:rsidRDefault="005A0179">
      <w:pPr>
        <w:ind w:left="9072"/>
      </w:pPr>
      <w:r w:rsidRPr="00242F1B">
        <w:rPr>
          <w:u w:val="single"/>
        </w:rPr>
        <w:t>07.04.2026</w:t>
      </w:r>
      <w:r>
        <w:t xml:space="preserve"> № </w:t>
      </w:r>
      <w:r w:rsidRPr="00242F1B">
        <w:rPr>
          <w:u w:val="single"/>
        </w:rPr>
        <w:t>471</w:t>
      </w:r>
    </w:p>
    <w:p w:rsidR="0010485F" w:rsidRDefault="0010485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jc w:val="both"/>
              <w:rPr>
                <w:rFonts w:asciiTheme="minorHAnsi" w:hAnsiTheme="minorHAnsi"/>
                <w:sz w:val="22"/>
              </w:rPr>
            </w:pPr>
            <w:r w:rsidRPr="001856DD">
              <w:t>Інформаційний листок для учасника та форма інформованої згоди, версія 2.0 від 17 лютого 2026 р., українською мовою; Залучення додаткової компанії, відповідальної за відшкодування витрат на проїзд: ТОВ</w:t>
            </w:r>
            <w:r w:rsidR="001856DD" w:rsidRPr="001856DD">
              <w:rPr>
                <w:color w:val="000000"/>
              </w:rPr>
              <w:t xml:space="preserve"> «</w:t>
            </w:r>
            <w:proofErr w:type="spellStart"/>
            <w:r w:rsidRPr="001856DD">
              <w:t>НеСПаТ</w:t>
            </w:r>
            <w:proofErr w:type="spellEnd"/>
            <w:r w:rsidR="001856DD" w:rsidRPr="001856DD">
              <w:rPr>
                <w:color w:val="000000"/>
              </w:rPr>
              <w:t>»</w:t>
            </w:r>
            <w:r w:rsidRPr="001856DD">
              <w:t xml:space="preserve"> [</w:t>
            </w:r>
            <w:proofErr w:type="spellStart"/>
            <w:r w:rsidRPr="001856DD">
              <w:t>NeSPaT</w:t>
            </w:r>
            <w:proofErr w:type="spellEnd"/>
            <w:r w:rsidRPr="001856DD">
              <w:t xml:space="preserve"> LLC]; Форма дозволу на зарахування коштів на рахунок та Згода на обробку персональних даних, версія 5.0 від 22 серпня 2025 року, українською мовою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r w:rsidRPr="001856DD">
              <w:rPr>
                <w:szCs w:val="24"/>
                <w:lang w:val="ru-RU"/>
              </w:rPr>
              <w:t xml:space="preserve">Номер та дата наказу МОЗ </w:t>
            </w:r>
            <w:r w:rsidRPr="001856DD">
              <w:rPr>
                <w:szCs w:val="24"/>
              </w:rPr>
              <w:t>про</w:t>
            </w:r>
            <w:r w:rsidRPr="001856DD">
              <w:rPr>
                <w:szCs w:val="24"/>
                <w:lang w:val="ru-RU"/>
              </w:rPr>
              <w:t xml:space="preserve"> </w:t>
            </w:r>
            <w:r w:rsidRPr="001856DD">
              <w:rPr>
                <w:szCs w:val="24"/>
              </w:rPr>
              <w:t>проведення</w:t>
            </w:r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№ 299 від 09.03.2026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proofErr w:type="spellStart"/>
            <w:r w:rsidRPr="001856DD">
              <w:rPr>
                <w:szCs w:val="24"/>
                <w:lang w:val="ru-RU"/>
              </w:rPr>
              <w:t>Назва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  <w:r w:rsidRPr="001856DD">
              <w:rPr>
                <w:szCs w:val="24"/>
                <w:lang w:val="ru-RU"/>
              </w:rPr>
              <w:t xml:space="preserve">, код, </w:t>
            </w:r>
            <w:proofErr w:type="spellStart"/>
            <w:r w:rsidRPr="001856DD">
              <w:rPr>
                <w:szCs w:val="24"/>
                <w:lang w:val="ru-RU"/>
              </w:rPr>
              <w:t>версія</w:t>
            </w:r>
            <w:proofErr w:type="spellEnd"/>
            <w:r w:rsidRPr="001856D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  <w:rPr>
                <w:lang w:val="ru-RU"/>
              </w:rPr>
            </w:pPr>
            <w:r w:rsidRPr="001856DD">
              <w:rPr>
                <w:color w:val="000000"/>
              </w:rPr>
              <w:t>«</w:t>
            </w:r>
            <w:proofErr w:type="spellStart"/>
            <w:r w:rsidR="006D55BF" w:rsidRPr="001856DD">
              <w:t>Багатоцентрове</w:t>
            </w:r>
            <w:proofErr w:type="spellEnd"/>
            <w:r w:rsidR="006D55BF" w:rsidRPr="001856DD">
              <w:t>, подвійне сліпе, плацебо-контрольоване дослідження фази 1b/2a для оцінки безпечності, ефективності та фармакокінетики препарату MB-001 у пацієнтів із активним виразковим колітом від помірного до важкого ступеня тяжкості</w:t>
            </w:r>
            <w:r w:rsidRPr="001856DD">
              <w:rPr>
                <w:color w:val="000000"/>
              </w:rPr>
              <w:t>»</w:t>
            </w:r>
            <w:r w:rsidR="006D55BF" w:rsidRPr="001856DD">
              <w:t>, MB-001-102, версія 02 від 21 листопада 2025 року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  <w:lang w:val="ru-RU"/>
              </w:rPr>
              <w:t>За</w:t>
            </w:r>
            <w:proofErr w:type="spellStart"/>
            <w:r w:rsidRPr="001856DD">
              <w:rPr>
                <w:szCs w:val="24"/>
              </w:rPr>
              <w:t>явник</w:t>
            </w:r>
            <w:proofErr w:type="spellEnd"/>
            <w:r w:rsidRPr="001856D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>ТОВ</w:t>
            </w:r>
            <w:r w:rsidR="001856DD" w:rsidRPr="001856DD">
              <w:rPr>
                <w:color w:val="000000"/>
              </w:rPr>
              <w:t xml:space="preserve"> «</w:t>
            </w:r>
            <w:proofErr w:type="spellStart"/>
            <w:r w:rsidRPr="001856DD">
              <w:t>Біомапас</w:t>
            </w:r>
            <w:proofErr w:type="spellEnd"/>
            <w:r w:rsidR="001856DD" w:rsidRPr="001856DD">
              <w:rPr>
                <w:color w:val="000000"/>
              </w:rPr>
              <w:t>»</w:t>
            </w:r>
            <w:r w:rsidRPr="001856DD">
              <w:t>, Україна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</w:pPr>
            <w:r w:rsidRPr="001856DD">
              <w:rPr>
                <w:color w:val="000000"/>
              </w:rPr>
              <w:t>«</w:t>
            </w:r>
            <w:proofErr w:type="spellStart"/>
            <w:r w:rsidR="006D55BF" w:rsidRPr="001856DD">
              <w:t>Мейдж</w:t>
            </w:r>
            <w:proofErr w:type="spellEnd"/>
            <w:r w:rsidR="006D55BF" w:rsidRPr="001856DD">
              <w:t xml:space="preserve"> </w:t>
            </w:r>
            <w:proofErr w:type="spellStart"/>
            <w:r w:rsidR="006D55BF" w:rsidRPr="001856DD">
              <w:t>Байолоджікс</w:t>
            </w:r>
            <w:proofErr w:type="spellEnd"/>
            <w:r w:rsidR="006D55BF" w:rsidRPr="001856DD">
              <w:t xml:space="preserve"> Інк./</w:t>
            </w:r>
            <w:proofErr w:type="spellStart"/>
            <w:r w:rsidR="006D55BF" w:rsidRPr="001856DD">
              <w:t>Mage</w:t>
            </w:r>
            <w:proofErr w:type="spellEnd"/>
            <w:r w:rsidR="006D55BF" w:rsidRPr="001856DD">
              <w:t xml:space="preserve"> </w:t>
            </w:r>
            <w:proofErr w:type="spellStart"/>
            <w:r w:rsidR="006D55BF" w:rsidRPr="001856DD">
              <w:t>Biologics</w:t>
            </w:r>
            <w:proofErr w:type="spellEnd"/>
            <w:r w:rsidR="006D55BF" w:rsidRPr="001856DD">
              <w:t xml:space="preserve"> </w:t>
            </w:r>
            <w:proofErr w:type="spellStart"/>
            <w:r w:rsidR="006D55BF" w:rsidRPr="001856DD">
              <w:t>Inc</w:t>
            </w:r>
            <w:proofErr w:type="spellEnd"/>
            <w:r w:rsidR="006D55BF" w:rsidRPr="001856DD">
              <w:t>., США</w:t>
            </w:r>
          </w:p>
        </w:tc>
      </w:tr>
    </w:tbl>
    <w:p w:rsidR="0010485F" w:rsidRDefault="0010485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10485F" w:rsidRDefault="0010485F">
      <w:pPr>
        <w:tabs>
          <w:tab w:val="clear" w:pos="708"/>
        </w:tabs>
        <w:rPr>
          <w:lang w:val="ru-RU" w:eastAsia="en-US"/>
        </w:rPr>
        <w:sectPr w:rsidR="001048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0485F" w:rsidRDefault="006D55BF">
      <w:r>
        <w:lastRenderedPageBreak/>
        <w:t xml:space="preserve">                                                                                                                                                       Додаток 9</w:t>
      </w:r>
    </w:p>
    <w:p w:rsidR="0010485F" w:rsidRDefault="00146C0E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146C0E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0485F" w:rsidRDefault="005A0179">
      <w:pPr>
        <w:ind w:left="9072"/>
      </w:pPr>
      <w:r w:rsidRPr="00242F1B">
        <w:rPr>
          <w:u w:val="single"/>
        </w:rPr>
        <w:t>07.04.2026</w:t>
      </w:r>
      <w:r>
        <w:t xml:space="preserve"> № </w:t>
      </w:r>
      <w:r w:rsidRPr="00242F1B">
        <w:rPr>
          <w:u w:val="single"/>
        </w:rPr>
        <w:t>471</w:t>
      </w:r>
    </w:p>
    <w:p w:rsidR="0010485F" w:rsidRDefault="0010485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jc w:val="both"/>
              <w:rPr>
                <w:rFonts w:asciiTheme="minorHAnsi" w:hAnsiTheme="minorHAnsi"/>
                <w:sz w:val="22"/>
              </w:rPr>
            </w:pPr>
            <w:r w:rsidRPr="001856DD">
              <w:t xml:space="preserve">Оновлення розділів Досьє досліджуваного лікарського засобу AZD6793 таблетки, вкриті плівковою оболонкою, англійською мовою: Титульна сторінка Якість-Зміст, версія 1.0 від </w:t>
            </w:r>
            <w:r w:rsidR="000F090C">
              <w:t xml:space="preserve">                 </w:t>
            </w:r>
            <w:r w:rsidRPr="001856DD">
              <w:t>22 грудня 2025 року; Вступ, версія 1.0 від 22 грудня 2025 року; Р.8 Стабільність для досліджуваного лікарського засобу AZD6793 таблетки, вкриті плівковою оболонкою:</w:t>
            </w:r>
            <w:r w:rsidRPr="001856DD">
              <w:br/>
              <w:t xml:space="preserve">Р.8.1 А Короткий опис стабільності досліджуваного лікарського засобу, версія 2.0 від </w:t>
            </w:r>
            <w:r w:rsidR="000F090C">
              <w:t xml:space="preserve">                         </w:t>
            </w:r>
            <w:r w:rsidRPr="001856DD">
              <w:t xml:space="preserve">22 грудня 2025 року; Р.8.1 В Висновок щодо стабільності досліджуваного лікарського засобу, версія 2.0 від 22 грудня 2025 року; Р.8.3 Дані щодо стабільності досліджуваного лікарського засобу, версія 2.0 від 22 грудня 2025 року; Препарат плацебо до досліджуваного лікарського засобу AZD6793 таблетки, вкриті плівковою оболонкою, версія 2.0 від 22 грудня 2025 року; Збільшення терміну придатності досліджуваних лікарських засобів з 24 до 36 місяців: AZD6793 таблетки, вкриті плівковою оболонкою; AZD6793 таблетки, вкриті плівковою оболонкою; AZD6793 таблетки, вкриті плівковою оболонкою; Плацебо до AZD6793 таблетки, вкриті плівковою оболонкою; Плацебо до AZD6793 таблетки, вкриті плівковою оболонкою; Плацебо до AZD6793 таблетки, вкриті плівковою оболонкою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r w:rsidRPr="001856DD">
              <w:rPr>
                <w:szCs w:val="24"/>
                <w:lang w:val="ru-RU"/>
              </w:rPr>
              <w:t xml:space="preserve">Номер та дата наказу МОЗ </w:t>
            </w:r>
            <w:r w:rsidRPr="001856DD">
              <w:rPr>
                <w:szCs w:val="24"/>
              </w:rPr>
              <w:t>про</w:t>
            </w:r>
            <w:r w:rsidRPr="001856DD">
              <w:rPr>
                <w:szCs w:val="24"/>
                <w:lang w:val="ru-RU"/>
              </w:rPr>
              <w:t xml:space="preserve"> </w:t>
            </w:r>
            <w:r w:rsidRPr="001856DD">
              <w:rPr>
                <w:szCs w:val="24"/>
              </w:rPr>
              <w:t>проведення</w:t>
            </w:r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№ 1104 від 11.07.2025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proofErr w:type="spellStart"/>
            <w:r w:rsidRPr="001856DD">
              <w:rPr>
                <w:szCs w:val="24"/>
                <w:lang w:val="ru-RU"/>
              </w:rPr>
              <w:t>Назва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  <w:r w:rsidRPr="001856DD">
              <w:rPr>
                <w:szCs w:val="24"/>
                <w:lang w:val="ru-RU"/>
              </w:rPr>
              <w:t xml:space="preserve">, код, </w:t>
            </w:r>
            <w:proofErr w:type="spellStart"/>
            <w:r w:rsidRPr="001856DD">
              <w:rPr>
                <w:szCs w:val="24"/>
                <w:lang w:val="ru-RU"/>
              </w:rPr>
              <w:t>версія</w:t>
            </w:r>
            <w:proofErr w:type="spellEnd"/>
            <w:r w:rsidRPr="001856D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  <w:rPr>
                <w:lang w:val="ru-RU"/>
              </w:rPr>
            </w:pPr>
            <w:r w:rsidRPr="001856DD">
              <w:rPr>
                <w:color w:val="000000"/>
              </w:rPr>
              <w:t>«</w:t>
            </w:r>
            <w:proofErr w:type="spellStart"/>
            <w:r w:rsidR="006D55BF" w:rsidRPr="001856DD">
              <w:t>Багатоцентрове</w:t>
            </w:r>
            <w:proofErr w:type="spellEnd"/>
            <w:r w:rsidR="006D55BF" w:rsidRPr="001856DD">
              <w:t xml:space="preserve">, в паралельних групах, </w:t>
            </w:r>
            <w:proofErr w:type="spellStart"/>
            <w:r w:rsidR="006D55BF" w:rsidRPr="001856DD">
              <w:t>рандомізоване</w:t>
            </w:r>
            <w:proofErr w:type="spellEnd"/>
            <w:r w:rsidR="006D55BF" w:rsidRPr="001856DD">
              <w:t>, подвійне сліпе, плацебо контрольоване дослідження фази 2b, що проводиться у 4 групах впродовж 24-х тижнів для оцінки ефективності та безпеки AZD6793 у формі таблеток серед дорослих учасників з хронічним обструктивним захворюванням легень від середнього до дуже тяжкого ступеню (PRESTO)</w:t>
            </w:r>
            <w:r w:rsidRPr="001856DD">
              <w:rPr>
                <w:color w:val="000000"/>
              </w:rPr>
              <w:t>»</w:t>
            </w:r>
            <w:r w:rsidR="006D55BF" w:rsidRPr="001856DD">
              <w:t>, D7860C00006, версія 1.0 від 19 березня 2025 року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  <w:lang w:val="ru-RU"/>
              </w:rPr>
              <w:t>За</w:t>
            </w:r>
            <w:proofErr w:type="spellStart"/>
            <w:r w:rsidRPr="001856DD">
              <w:rPr>
                <w:szCs w:val="24"/>
              </w:rPr>
              <w:t>явник</w:t>
            </w:r>
            <w:proofErr w:type="spellEnd"/>
            <w:r w:rsidRPr="001856D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>ТОВ</w:t>
            </w:r>
            <w:r w:rsidR="001856DD" w:rsidRPr="001856DD">
              <w:rPr>
                <w:color w:val="000000"/>
              </w:rPr>
              <w:t xml:space="preserve"> «</w:t>
            </w:r>
            <w:r w:rsidRPr="001856DD">
              <w:t>АСТРАЗЕНЕКА УКРАЇНА</w:t>
            </w:r>
            <w:r w:rsidR="001856DD" w:rsidRPr="001856DD">
              <w:rPr>
                <w:color w:val="000000"/>
              </w:rPr>
              <w:t>»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proofErr w:type="spellStart"/>
            <w:r w:rsidRPr="001856DD">
              <w:t>AstraZeneca</w:t>
            </w:r>
            <w:proofErr w:type="spellEnd"/>
            <w:r w:rsidRPr="001856DD">
              <w:t xml:space="preserve"> AB, </w:t>
            </w:r>
            <w:proofErr w:type="spellStart"/>
            <w:r w:rsidRPr="001856DD">
              <w:t>Sweden</w:t>
            </w:r>
            <w:proofErr w:type="spellEnd"/>
          </w:p>
        </w:tc>
      </w:tr>
    </w:tbl>
    <w:p w:rsidR="0010485F" w:rsidRDefault="0010485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10485F" w:rsidRDefault="0010485F">
      <w:pPr>
        <w:tabs>
          <w:tab w:val="clear" w:pos="708"/>
        </w:tabs>
        <w:rPr>
          <w:lang w:val="ru-RU" w:eastAsia="en-US"/>
        </w:rPr>
        <w:sectPr w:rsidR="001048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0485F" w:rsidRDefault="006D55BF">
      <w:r>
        <w:lastRenderedPageBreak/>
        <w:t xml:space="preserve">                                                                                                                                                       Додаток 10</w:t>
      </w:r>
    </w:p>
    <w:p w:rsidR="0010485F" w:rsidRDefault="00146C0E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146C0E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0485F" w:rsidRDefault="005A0179">
      <w:pPr>
        <w:ind w:left="9072"/>
      </w:pPr>
      <w:r w:rsidRPr="00242F1B">
        <w:rPr>
          <w:u w:val="single"/>
        </w:rPr>
        <w:t>07.04.2026</w:t>
      </w:r>
      <w:r>
        <w:t xml:space="preserve"> № </w:t>
      </w:r>
      <w:r w:rsidRPr="00242F1B">
        <w:rPr>
          <w:u w:val="single"/>
        </w:rPr>
        <w:t>471</w:t>
      </w:r>
    </w:p>
    <w:p w:rsidR="0010485F" w:rsidRDefault="0010485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jc w:val="both"/>
              <w:rPr>
                <w:rFonts w:asciiTheme="minorHAnsi" w:hAnsiTheme="minorHAnsi"/>
                <w:sz w:val="22"/>
              </w:rPr>
            </w:pPr>
            <w:r w:rsidRPr="001856DD">
              <w:t>Інформація для пацієнта і форма інформованої згоди на участь у науковому клінічному дослідженні MOG001, версія-модель для України, версія 8.0 від 26 лютого 2026 року, українською та російською мовами; Матеріали для пацієнтів: Інформаційна брошура</w:t>
            </w:r>
            <w:r w:rsidR="001856DD" w:rsidRPr="001856DD">
              <w:rPr>
                <w:color w:val="000000"/>
              </w:rPr>
              <w:t xml:space="preserve"> «</w:t>
            </w:r>
            <w:r w:rsidRPr="001856DD">
              <w:t xml:space="preserve">Послуги з організації поїздок учасників від компанії </w:t>
            </w:r>
            <w:proofErr w:type="spellStart"/>
            <w:r w:rsidRPr="001856DD">
              <w:t>Scout</w:t>
            </w:r>
            <w:proofErr w:type="spellEnd"/>
            <w:r w:rsidR="001856DD" w:rsidRPr="001856DD">
              <w:rPr>
                <w:color w:val="000000"/>
              </w:rPr>
              <w:t>»</w:t>
            </w:r>
            <w:r w:rsidRPr="001856DD">
              <w:t xml:space="preserve"> [PFD_TR </w:t>
            </w:r>
            <w:proofErr w:type="spellStart"/>
            <w:r w:rsidRPr="001856DD">
              <w:t>Scout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Brochure</w:t>
            </w:r>
            <w:proofErr w:type="spellEnd"/>
            <w:r w:rsidRPr="001856DD">
              <w:t>, V1.0_UK-UA, 27FEB2026], версія 1.0 від 27 лютого 2026 року, українською мовою; Примірник електронного листа для подання запиту на поїздку [</w:t>
            </w:r>
            <w:proofErr w:type="spellStart"/>
            <w:r w:rsidRPr="001856DD">
              <w:t>PFD_TR_Patient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Restricted_Email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Communication</w:t>
            </w:r>
            <w:proofErr w:type="spellEnd"/>
            <w:r w:rsidRPr="001856DD">
              <w:t xml:space="preserve">, V1.0_UK-UK, 27FEB2026], версія 1.0 від 27 лютого </w:t>
            </w:r>
            <w:r w:rsidR="0000203D">
              <w:t xml:space="preserve">                   </w:t>
            </w:r>
            <w:r w:rsidRPr="001856DD">
              <w:t xml:space="preserve">2026 року, українською мовою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r w:rsidRPr="001856DD">
              <w:rPr>
                <w:szCs w:val="24"/>
                <w:lang w:val="ru-RU"/>
              </w:rPr>
              <w:t xml:space="preserve">Номер та дата наказу МОЗ </w:t>
            </w:r>
            <w:r w:rsidRPr="001856DD">
              <w:rPr>
                <w:szCs w:val="24"/>
              </w:rPr>
              <w:t>про</w:t>
            </w:r>
            <w:r w:rsidRPr="001856DD">
              <w:rPr>
                <w:szCs w:val="24"/>
                <w:lang w:val="ru-RU"/>
              </w:rPr>
              <w:t xml:space="preserve"> </w:t>
            </w:r>
            <w:r w:rsidRPr="001856DD">
              <w:rPr>
                <w:szCs w:val="24"/>
              </w:rPr>
              <w:t>проведення</w:t>
            </w:r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№ 254 від 08.02.2022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proofErr w:type="spellStart"/>
            <w:r w:rsidRPr="001856DD">
              <w:rPr>
                <w:szCs w:val="24"/>
                <w:lang w:val="ru-RU"/>
              </w:rPr>
              <w:t>Назва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  <w:r w:rsidRPr="001856DD">
              <w:rPr>
                <w:szCs w:val="24"/>
                <w:lang w:val="ru-RU"/>
              </w:rPr>
              <w:t xml:space="preserve">, код, </w:t>
            </w:r>
            <w:proofErr w:type="spellStart"/>
            <w:r w:rsidRPr="001856DD">
              <w:rPr>
                <w:szCs w:val="24"/>
                <w:lang w:val="ru-RU"/>
              </w:rPr>
              <w:t>версія</w:t>
            </w:r>
            <w:proofErr w:type="spellEnd"/>
            <w:r w:rsidRPr="001856D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  <w:rPr>
                <w:lang w:val="ru-RU"/>
              </w:rPr>
            </w:pPr>
            <w:r w:rsidRPr="001856DD">
              <w:rPr>
                <w:color w:val="000000"/>
              </w:rPr>
              <w:t>«</w:t>
            </w:r>
            <w:proofErr w:type="spellStart"/>
            <w:r w:rsidR="006D55BF" w:rsidRPr="001856DD">
              <w:t>Рандомізоване</w:t>
            </w:r>
            <w:proofErr w:type="spellEnd"/>
            <w:r w:rsidR="006D55BF" w:rsidRPr="001856DD">
              <w:t xml:space="preserve">, подвійне сліпе, плацебо-контрольоване, </w:t>
            </w:r>
            <w:proofErr w:type="spellStart"/>
            <w:r w:rsidR="006D55BF" w:rsidRPr="001856DD">
              <w:t>багатоцентрове</w:t>
            </w:r>
            <w:proofErr w:type="spellEnd"/>
            <w:r w:rsidR="006D55BF" w:rsidRPr="001856DD">
              <w:t xml:space="preserve"> дослідження фази 3 з продовженим відкритим періодом лікування для оцінки ефективності та безпечності препарату </w:t>
            </w:r>
            <w:proofErr w:type="spellStart"/>
            <w:r w:rsidR="006D55BF" w:rsidRPr="001856DD">
              <w:t>розаноліксізумаб</w:t>
            </w:r>
            <w:proofErr w:type="spellEnd"/>
            <w:r w:rsidR="006D55BF" w:rsidRPr="001856DD">
              <w:t xml:space="preserve"> у дорослих з мієлін-</w:t>
            </w:r>
            <w:proofErr w:type="spellStart"/>
            <w:r w:rsidR="006D55BF" w:rsidRPr="001856DD">
              <w:t>олігодендроцитарним</w:t>
            </w:r>
            <w:proofErr w:type="spellEnd"/>
            <w:r w:rsidR="006D55BF" w:rsidRPr="001856DD">
              <w:t xml:space="preserve"> </w:t>
            </w:r>
            <w:proofErr w:type="spellStart"/>
            <w:r w:rsidR="006D55BF" w:rsidRPr="001856DD">
              <w:t>глікопротеїн</w:t>
            </w:r>
            <w:proofErr w:type="spellEnd"/>
            <w:r w:rsidR="006D55BF" w:rsidRPr="001856DD">
              <w:t xml:space="preserve"> </w:t>
            </w:r>
            <w:r w:rsidR="0000203D">
              <w:t xml:space="preserve">                    </w:t>
            </w:r>
            <w:r w:rsidR="006D55BF" w:rsidRPr="001856DD">
              <w:t>(MOG)-</w:t>
            </w:r>
            <w:proofErr w:type="spellStart"/>
            <w:r w:rsidR="006D55BF" w:rsidRPr="001856DD">
              <w:t>IgG</w:t>
            </w:r>
            <w:proofErr w:type="spellEnd"/>
            <w:r w:rsidR="006D55BF" w:rsidRPr="001856DD">
              <w:t xml:space="preserve">-асоційованим </w:t>
            </w:r>
            <w:proofErr w:type="spellStart"/>
            <w:r w:rsidR="006D55BF" w:rsidRPr="001856DD">
              <w:t>демієлінізуючим</w:t>
            </w:r>
            <w:proofErr w:type="spellEnd"/>
            <w:r w:rsidR="006D55BF" w:rsidRPr="001856DD">
              <w:t xml:space="preserve"> захворюванням</w:t>
            </w:r>
            <w:r w:rsidRPr="001856DD">
              <w:rPr>
                <w:color w:val="000000"/>
              </w:rPr>
              <w:t>»</w:t>
            </w:r>
            <w:r w:rsidR="0000203D">
              <w:t>, MOG001</w:t>
            </w:r>
            <w:r w:rsidR="006D55BF" w:rsidRPr="001856DD">
              <w:t>, з інкорпорованою поправкою 6 від 30 вересня 2024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  <w:lang w:val="ru-RU"/>
              </w:rPr>
              <w:t>За</w:t>
            </w:r>
            <w:proofErr w:type="spellStart"/>
            <w:r w:rsidRPr="001856DD">
              <w:rPr>
                <w:szCs w:val="24"/>
              </w:rPr>
              <w:t>явник</w:t>
            </w:r>
            <w:proofErr w:type="spellEnd"/>
            <w:r w:rsidRPr="001856D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>ТОВ</w:t>
            </w:r>
            <w:r w:rsidR="001856DD" w:rsidRPr="001856DD">
              <w:rPr>
                <w:color w:val="000000"/>
              </w:rPr>
              <w:t xml:space="preserve"> «</w:t>
            </w:r>
            <w:r w:rsidRPr="001856DD">
              <w:t>ПАРЕКСЕЛ Україна</w:t>
            </w:r>
            <w:r w:rsidR="001856DD" w:rsidRPr="001856DD">
              <w:rPr>
                <w:color w:val="000000"/>
              </w:rPr>
              <w:t>»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proofErr w:type="spellStart"/>
            <w:r w:rsidRPr="001856DD">
              <w:t>ЮСіБі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Біофарма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ЕсАрЕл</w:t>
            </w:r>
            <w:proofErr w:type="spellEnd"/>
            <w:r w:rsidRPr="001856DD">
              <w:t xml:space="preserve">, Бельгія / UCB </w:t>
            </w:r>
            <w:proofErr w:type="spellStart"/>
            <w:r w:rsidRPr="001856DD">
              <w:t>Biopharma</w:t>
            </w:r>
            <w:proofErr w:type="spellEnd"/>
            <w:r w:rsidRPr="001856DD">
              <w:t xml:space="preserve"> SRL, </w:t>
            </w:r>
            <w:proofErr w:type="spellStart"/>
            <w:r w:rsidRPr="001856DD">
              <w:t>Belgium</w:t>
            </w:r>
            <w:proofErr w:type="spellEnd"/>
          </w:p>
        </w:tc>
      </w:tr>
    </w:tbl>
    <w:p w:rsidR="0010485F" w:rsidRDefault="0010485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10485F" w:rsidRDefault="0010485F">
      <w:pPr>
        <w:tabs>
          <w:tab w:val="clear" w:pos="708"/>
        </w:tabs>
        <w:rPr>
          <w:lang w:val="ru-RU" w:eastAsia="en-US"/>
        </w:rPr>
        <w:sectPr w:rsidR="0010485F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10485F" w:rsidRDefault="006D55BF">
      <w:r>
        <w:lastRenderedPageBreak/>
        <w:t xml:space="preserve">                                                                                                                                                       Додаток 11</w:t>
      </w:r>
    </w:p>
    <w:p w:rsidR="0010485F" w:rsidRDefault="00146C0E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146C0E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0485F" w:rsidRDefault="005A0179">
      <w:pPr>
        <w:ind w:left="9072"/>
      </w:pPr>
      <w:r w:rsidRPr="00242F1B">
        <w:rPr>
          <w:u w:val="single"/>
        </w:rPr>
        <w:t>07.04.2026</w:t>
      </w:r>
      <w:r>
        <w:t xml:space="preserve"> № </w:t>
      </w:r>
      <w:r w:rsidRPr="00242F1B">
        <w:rPr>
          <w:u w:val="single"/>
        </w:rPr>
        <w:t>471</w:t>
      </w: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0485F" w:rsidRPr="001856DD" w:rsidTr="00496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jc w:val="both"/>
              <w:rPr>
                <w:rFonts w:asciiTheme="minorHAnsi" w:hAnsiTheme="minorHAnsi"/>
                <w:sz w:val="22"/>
              </w:rPr>
            </w:pPr>
            <w:r w:rsidRPr="001856DD">
              <w:t xml:space="preserve">D5180C00016, Україна, Форма згоди для участі в дослідженні для пацієнтів віком від 5 до </w:t>
            </w:r>
            <w:r w:rsidR="00E70712">
              <w:t xml:space="preserve">                 </w:t>
            </w:r>
            <w:r w:rsidRPr="001856DD">
              <w:t xml:space="preserve">6 років українською мовою, версія 2.0 від 24 грудня 2025 р., на основі майстер-версії Форми згоди для участі в дослідженні для пацієнтів дитячого віку, майстер-версія 2.0 від 01 серпня 2025 р. (українською мовою); D5180C00016, Україна, Форма згоди для участі в дослідженні для пацієнтів віком від 7 до 10 років українською мовою, версія 2.0 від 24 грудня 2025 р., на основі майстер-версії Форми згоди для участі в дослідженні для пацієнтів дитячого віку, майстер-версія 1.2 від 01 серпня 2025 р. (українською мовою); D5180C00016, Україна, Форма згоди для участі в дослідженні для пацієнтів віком від 11 до 13 років українською мовою, версія 2.0 від 24 грудня 2025 р., на основі майстер-версії Форми згоди для участі в дослідженні для пацієнтів дитячого віку, майстер-версія 2.0 від 01 серпня 2025 р. (українською мовою); D5180C00016, Україна, Форма згоди для участі в дослідженні для пацієнтів віком 14 років українською мовою, версія 1.0 від 04 лютого 2026 р., на основі майстер-версії Форми згоди для участі в дослідженні для пацієнтів дитячого віку, майстер-версія 2.0 від 01 серпня 2025 р. (українською мовою); D5180C00016, Україна, Інформація і Форма інформованої згоди для батьків учасника дослідження українською мовою, версія 2.0 від 24 грудня 2025 р., на основі майстер-версії Інформації і Форми згоди для батьків учасника дослідження, майстер-версія 4.0 від 01 серпня 2025 р. (українською мовою); D5180C00016, Україна, Інформація і Форма інформованої згоди для вагітних партнерок учасників дослідження українською мовою, версія 2.0 від 24 грудня 2025 р., на основі майстер-версії 3.0 від 01 серпня 2025 р. (українською мовою) </w:t>
            </w:r>
          </w:p>
        </w:tc>
      </w:tr>
      <w:tr w:rsidR="0010485F" w:rsidRPr="001856DD" w:rsidTr="00496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r w:rsidRPr="001856DD">
              <w:rPr>
                <w:szCs w:val="24"/>
                <w:lang w:val="ru-RU"/>
              </w:rPr>
              <w:t xml:space="preserve">Номер та дата наказу МОЗ </w:t>
            </w:r>
            <w:r w:rsidRPr="001856DD">
              <w:rPr>
                <w:szCs w:val="24"/>
              </w:rPr>
              <w:t>про</w:t>
            </w:r>
            <w:r w:rsidRPr="001856DD">
              <w:rPr>
                <w:szCs w:val="24"/>
                <w:lang w:val="ru-RU"/>
              </w:rPr>
              <w:t xml:space="preserve"> </w:t>
            </w:r>
            <w:r w:rsidRPr="001856DD">
              <w:rPr>
                <w:szCs w:val="24"/>
              </w:rPr>
              <w:t>проведення</w:t>
            </w:r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№ 1433 від 16.09.2025 </w:t>
            </w:r>
          </w:p>
        </w:tc>
      </w:tr>
      <w:tr w:rsidR="0010485F" w:rsidRPr="001856DD" w:rsidTr="00496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proofErr w:type="spellStart"/>
            <w:r w:rsidRPr="001856DD">
              <w:rPr>
                <w:szCs w:val="24"/>
                <w:lang w:val="ru-RU"/>
              </w:rPr>
              <w:t>Назва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  <w:r w:rsidRPr="001856DD">
              <w:rPr>
                <w:szCs w:val="24"/>
                <w:lang w:val="ru-RU"/>
              </w:rPr>
              <w:t xml:space="preserve">, код, </w:t>
            </w:r>
            <w:proofErr w:type="spellStart"/>
            <w:r w:rsidRPr="001856DD">
              <w:rPr>
                <w:szCs w:val="24"/>
                <w:lang w:val="ru-RU"/>
              </w:rPr>
              <w:t>версія</w:t>
            </w:r>
            <w:proofErr w:type="spellEnd"/>
            <w:r w:rsidRPr="001856D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  <w:rPr>
                <w:lang w:val="ru-RU"/>
              </w:rPr>
            </w:pPr>
            <w:r w:rsidRPr="001856DD">
              <w:rPr>
                <w:color w:val="000000"/>
              </w:rPr>
              <w:t>«</w:t>
            </w:r>
            <w:proofErr w:type="spellStart"/>
            <w:r w:rsidR="006D55BF" w:rsidRPr="001856DD">
              <w:t>Багатоцентрове</w:t>
            </w:r>
            <w:proofErr w:type="spellEnd"/>
            <w:r w:rsidR="006D55BF" w:rsidRPr="001856DD">
              <w:t xml:space="preserve">, </w:t>
            </w:r>
            <w:proofErr w:type="spellStart"/>
            <w:r w:rsidR="006D55BF" w:rsidRPr="001856DD">
              <w:t>рандомізоване</w:t>
            </w:r>
            <w:proofErr w:type="spellEnd"/>
            <w:r w:rsidR="006D55BF" w:rsidRPr="001856DD">
              <w:t xml:space="preserve">, подвійне сліпе, в паралельних групах, плацебо-контрольоване дослідження фази 3 ефективності та безпеки </w:t>
            </w:r>
            <w:proofErr w:type="spellStart"/>
            <w:r w:rsidR="006D55BF" w:rsidRPr="001856DD">
              <w:t>тезепелумабу</w:t>
            </w:r>
            <w:proofErr w:type="spellEnd"/>
            <w:r w:rsidR="006D55BF" w:rsidRPr="001856DD">
              <w:t xml:space="preserve"> у дітей віком від </w:t>
            </w:r>
            <w:r w:rsidR="00E70712">
              <w:t xml:space="preserve">             </w:t>
            </w:r>
            <w:r w:rsidR="006D55BF" w:rsidRPr="001856DD">
              <w:t>5 до &lt; 12 років з тяжкою неконтрольованою астмою (HORIZON)</w:t>
            </w:r>
            <w:r w:rsidRPr="001856DD">
              <w:rPr>
                <w:color w:val="000000"/>
              </w:rPr>
              <w:t>»</w:t>
            </w:r>
            <w:r w:rsidR="006D55BF" w:rsidRPr="001856DD">
              <w:t>, D5180C00016, версія 2.0 від 7 липня 2025 року</w:t>
            </w:r>
          </w:p>
        </w:tc>
      </w:tr>
      <w:tr w:rsidR="0010485F" w:rsidRPr="001856DD" w:rsidTr="00496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  <w:lang w:val="ru-RU"/>
              </w:rPr>
              <w:t>За</w:t>
            </w:r>
            <w:proofErr w:type="spellStart"/>
            <w:r w:rsidRPr="001856DD">
              <w:rPr>
                <w:szCs w:val="24"/>
              </w:rPr>
              <w:t>явник</w:t>
            </w:r>
            <w:proofErr w:type="spellEnd"/>
            <w:r w:rsidRPr="001856D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>ТОВ</w:t>
            </w:r>
            <w:r w:rsidR="001856DD" w:rsidRPr="001856DD">
              <w:rPr>
                <w:color w:val="000000"/>
              </w:rPr>
              <w:t xml:space="preserve"> «</w:t>
            </w:r>
            <w:r w:rsidRPr="001856DD">
              <w:t>ПАРЕКСЕЛ Україна</w:t>
            </w:r>
            <w:r w:rsidR="001856DD" w:rsidRPr="001856DD">
              <w:rPr>
                <w:color w:val="000000"/>
              </w:rPr>
              <w:t>»</w:t>
            </w:r>
          </w:p>
        </w:tc>
      </w:tr>
      <w:tr w:rsidR="0010485F" w:rsidRPr="001856DD" w:rsidTr="00496A9E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proofErr w:type="spellStart"/>
            <w:r w:rsidRPr="001856DD">
              <w:t>AstraZeneca</w:t>
            </w:r>
            <w:proofErr w:type="spellEnd"/>
            <w:r w:rsidRPr="001856DD">
              <w:t xml:space="preserve"> AB, </w:t>
            </w:r>
            <w:proofErr w:type="spellStart"/>
            <w:r w:rsidRPr="001856DD">
              <w:t>Sweden</w:t>
            </w:r>
            <w:proofErr w:type="spellEnd"/>
            <w:r w:rsidRPr="001856DD">
              <w:t xml:space="preserve"> (</w:t>
            </w:r>
            <w:proofErr w:type="spellStart"/>
            <w:r w:rsidRPr="001856DD">
              <w:t>АстраЗенека</w:t>
            </w:r>
            <w:proofErr w:type="spellEnd"/>
            <w:r w:rsidRPr="001856DD">
              <w:t xml:space="preserve"> АБ, Швеція)</w:t>
            </w:r>
          </w:p>
        </w:tc>
      </w:tr>
    </w:tbl>
    <w:tbl>
      <w:tblPr>
        <w:tblStyle w:val="af0"/>
        <w:tblW w:w="13467" w:type="dxa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 w:rsidTr="00496A9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 w:rsidTr="00496A9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10485F" w:rsidRDefault="0010485F">
      <w:pPr>
        <w:tabs>
          <w:tab w:val="clear" w:pos="708"/>
        </w:tabs>
        <w:rPr>
          <w:lang w:val="ru-RU" w:eastAsia="en-US"/>
        </w:rPr>
        <w:sectPr w:rsidR="0010485F" w:rsidSect="00E70712">
          <w:pgSz w:w="16838" w:h="11906" w:orient="landscape"/>
          <w:pgMar w:top="426" w:right="1245" w:bottom="851" w:left="2127" w:header="709" w:footer="709" w:gutter="0"/>
          <w:cols w:space="720"/>
          <w:titlePg/>
        </w:sectPr>
      </w:pPr>
    </w:p>
    <w:p w:rsidR="0010485F" w:rsidRDefault="006D55BF">
      <w:r>
        <w:lastRenderedPageBreak/>
        <w:t xml:space="preserve">                                                                                                                                                       Додаток 12</w:t>
      </w:r>
    </w:p>
    <w:p w:rsidR="0010485F" w:rsidRDefault="00146C0E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 «</w:t>
      </w:r>
      <w:r w:rsidRPr="00146C0E">
        <w:rPr>
          <w:rFonts w:eastAsia="Times New Roman"/>
          <w:szCs w:val="24"/>
        </w:rPr>
        <w:t>Про проведення клінічного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випробування лікарського засобу</w:t>
      </w:r>
      <w:r>
        <w:rPr>
          <w:rFonts w:eastAsia="Times New Roman"/>
          <w:szCs w:val="24"/>
        </w:rPr>
        <w:t xml:space="preserve"> </w:t>
      </w:r>
      <w:r w:rsidRPr="00146C0E">
        <w:rPr>
          <w:rFonts w:eastAsia="Times New Roman"/>
          <w:szCs w:val="24"/>
        </w:rPr>
        <w:t>та затвердження суттєвих поправок</w:t>
      </w:r>
      <w:r>
        <w:rPr>
          <w:rFonts w:eastAsia="Times New Roman"/>
          <w:szCs w:val="24"/>
        </w:rPr>
        <w:t>»</w:t>
      </w:r>
    </w:p>
    <w:p w:rsidR="0010485F" w:rsidRDefault="005A0179">
      <w:pPr>
        <w:ind w:left="9072"/>
      </w:pPr>
      <w:r w:rsidRPr="00242F1B">
        <w:rPr>
          <w:u w:val="single"/>
        </w:rPr>
        <w:t>07.04.2026</w:t>
      </w:r>
      <w:r>
        <w:t xml:space="preserve"> № </w:t>
      </w:r>
      <w:r w:rsidRPr="00242F1B">
        <w:rPr>
          <w:u w:val="single"/>
        </w:rPr>
        <w:t>471</w:t>
      </w:r>
      <w:bookmarkStart w:id="0" w:name="_GoBack"/>
      <w:bookmarkEnd w:id="0"/>
    </w:p>
    <w:p w:rsidR="0010485F" w:rsidRDefault="0010485F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10485F" w:rsidRPr="001856DD" w:rsidRDefault="006D55BF">
            <w:pPr>
              <w:jc w:val="both"/>
              <w:rPr>
                <w:rFonts w:asciiTheme="minorHAnsi" w:hAnsiTheme="minorHAnsi"/>
                <w:sz w:val="22"/>
              </w:rPr>
            </w:pPr>
            <w:r w:rsidRPr="001856DD">
              <w:t xml:space="preserve">Опитувальник Оцінка тяжкості депресії — діти віком 11–17 років _ адаптовано з PHQ 9, модифікований для підлітків (PHQ A) (J. </w:t>
            </w:r>
            <w:proofErr w:type="spellStart"/>
            <w:r w:rsidRPr="001856DD">
              <w:t>Johnson</w:t>
            </w:r>
            <w:proofErr w:type="spellEnd"/>
            <w:r w:rsidRPr="001856DD">
              <w:t xml:space="preserve">, 2002), англійською мовою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r w:rsidRPr="001856DD">
              <w:rPr>
                <w:szCs w:val="24"/>
                <w:lang w:val="ru-RU"/>
              </w:rPr>
              <w:t xml:space="preserve">Номер та дата наказу МОЗ </w:t>
            </w:r>
            <w:r w:rsidRPr="001856DD">
              <w:rPr>
                <w:szCs w:val="24"/>
              </w:rPr>
              <w:t>про</w:t>
            </w:r>
            <w:r w:rsidRPr="001856DD">
              <w:rPr>
                <w:szCs w:val="24"/>
                <w:lang w:val="ru-RU"/>
              </w:rPr>
              <w:t xml:space="preserve"> </w:t>
            </w:r>
            <w:r w:rsidRPr="001856DD">
              <w:rPr>
                <w:szCs w:val="24"/>
              </w:rPr>
              <w:t>проведення</w:t>
            </w:r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№ 1187 від 29.07.2025 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  <w:lang w:val="ru-RU"/>
              </w:rPr>
            </w:pPr>
            <w:proofErr w:type="spellStart"/>
            <w:r w:rsidRPr="001856DD">
              <w:rPr>
                <w:szCs w:val="24"/>
                <w:lang w:val="ru-RU"/>
              </w:rPr>
              <w:t>Назва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клінічного</w:t>
            </w:r>
            <w:proofErr w:type="spellEnd"/>
            <w:r w:rsidRPr="001856DD">
              <w:rPr>
                <w:szCs w:val="24"/>
                <w:lang w:val="ru-RU"/>
              </w:rPr>
              <w:t xml:space="preserve"> </w:t>
            </w:r>
            <w:proofErr w:type="spellStart"/>
            <w:r w:rsidRPr="001856DD">
              <w:rPr>
                <w:szCs w:val="24"/>
                <w:lang w:val="ru-RU"/>
              </w:rPr>
              <w:t>випробування</w:t>
            </w:r>
            <w:proofErr w:type="spellEnd"/>
            <w:r w:rsidRPr="001856DD">
              <w:rPr>
                <w:szCs w:val="24"/>
                <w:lang w:val="ru-RU"/>
              </w:rPr>
              <w:t xml:space="preserve">, код, </w:t>
            </w:r>
            <w:proofErr w:type="spellStart"/>
            <w:r w:rsidRPr="001856DD">
              <w:rPr>
                <w:szCs w:val="24"/>
                <w:lang w:val="ru-RU"/>
              </w:rPr>
              <w:t>версія</w:t>
            </w:r>
            <w:proofErr w:type="spellEnd"/>
            <w:r w:rsidRPr="001856DD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1856DD">
            <w:pPr>
              <w:jc w:val="both"/>
              <w:rPr>
                <w:lang w:val="ru-RU"/>
              </w:rPr>
            </w:pPr>
            <w:r w:rsidRPr="001856DD">
              <w:rPr>
                <w:color w:val="000000"/>
              </w:rPr>
              <w:t>«</w:t>
            </w:r>
            <w:r w:rsidR="006D55BF" w:rsidRPr="001856DD">
              <w:t xml:space="preserve">Відкрите дослідження з однією групою для оцінки фармакокінетики, </w:t>
            </w:r>
            <w:proofErr w:type="spellStart"/>
            <w:r w:rsidR="006D55BF" w:rsidRPr="001856DD">
              <w:t>фармакодинамічних</w:t>
            </w:r>
            <w:proofErr w:type="spellEnd"/>
            <w:r w:rsidR="006D55BF" w:rsidRPr="001856DD">
              <w:t xml:space="preserve"> ефектів, безпечності та переносимості </w:t>
            </w:r>
            <w:proofErr w:type="spellStart"/>
            <w:r w:rsidR="006D55BF" w:rsidRPr="001856DD">
              <w:t>фенебрутинібу</w:t>
            </w:r>
            <w:proofErr w:type="spellEnd"/>
            <w:r w:rsidR="006D55BF" w:rsidRPr="001856DD">
              <w:t xml:space="preserve"> у дітей та підлітків з </w:t>
            </w:r>
            <w:proofErr w:type="spellStart"/>
            <w:r w:rsidR="006D55BF" w:rsidRPr="001856DD">
              <w:t>рецидивуючим</w:t>
            </w:r>
            <w:proofErr w:type="spellEnd"/>
            <w:r w:rsidR="006D55BF" w:rsidRPr="001856DD">
              <w:t xml:space="preserve"> розсіяним склерозом</w:t>
            </w:r>
            <w:r w:rsidRPr="001856DD">
              <w:rPr>
                <w:color w:val="000000"/>
              </w:rPr>
              <w:t>»</w:t>
            </w:r>
            <w:r w:rsidR="006D55BF" w:rsidRPr="001856DD">
              <w:t>, CN45847, версія 2 від 12 липня 2025 року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  <w:lang w:val="ru-RU"/>
              </w:rPr>
              <w:t>За</w:t>
            </w:r>
            <w:proofErr w:type="spellStart"/>
            <w:r w:rsidRPr="001856DD">
              <w:rPr>
                <w:szCs w:val="24"/>
              </w:rPr>
              <w:t>явник</w:t>
            </w:r>
            <w:proofErr w:type="spellEnd"/>
            <w:r w:rsidRPr="001856DD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>Підприємство з 100% іноземною інвестицією</w:t>
            </w:r>
            <w:r w:rsidR="001856DD" w:rsidRPr="001856DD">
              <w:rPr>
                <w:color w:val="000000"/>
              </w:rPr>
              <w:t xml:space="preserve"> «</w:t>
            </w:r>
            <w:r w:rsidRPr="001856DD">
              <w:t>АЙК’ЮВІА РДС Україна</w:t>
            </w:r>
            <w:r w:rsidR="001856DD" w:rsidRPr="001856DD">
              <w:rPr>
                <w:color w:val="000000"/>
              </w:rPr>
              <w:t>»</w:t>
            </w:r>
          </w:p>
        </w:tc>
      </w:tr>
      <w:tr w:rsidR="0010485F" w:rsidRPr="001856DD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rPr>
                <w:szCs w:val="24"/>
              </w:rPr>
            </w:pPr>
            <w:r w:rsidRPr="001856DD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85F" w:rsidRPr="001856DD" w:rsidRDefault="006D55BF">
            <w:pPr>
              <w:jc w:val="both"/>
            </w:pPr>
            <w:r w:rsidRPr="001856DD">
              <w:t xml:space="preserve">F. </w:t>
            </w:r>
            <w:proofErr w:type="spellStart"/>
            <w:r w:rsidRPr="001856DD">
              <w:t>Hoffmann-La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Roche</w:t>
            </w:r>
            <w:proofErr w:type="spellEnd"/>
            <w:r w:rsidRPr="001856DD">
              <w:t xml:space="preserve"> </w:t>
            </w:r>
            <w:proofErr w:type="spellStart"/>
            <w:r w:rsidRPr="001856DD">
              <w:t>Ltd</w:t>
            </w:r>
            <w:proofErr w:type="spellEnd"/>
            <w:r w:rsidRPr="001856DD">
              <w:t>, Швейцарія</w:t>
            </w:r>
          </w:p>
        </w:tc>
      </w:tr>
    </w:tbl>
    <w:p w:rsidR="0010485F" w:rsidRDefault="0010485F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0485F" w:rsidRDefault="006D55BF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10485F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485F" w:rsidRDefault="0010485F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485F" w:rsidRDefault="006D55B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6D55BF" w:rsidRDefault="006D55BF" w:rsidP="00241C90"/>
    <w:sectPr w:rsidR="006D55BF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5BF" w:rsidRDefault="006D55BF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6D55BF" w:rsidRDefault="006D55BF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5BF" w:rsidRDefault="006D55BF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6D55BF" w:rsidRDefault="006D55BF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85F" w:rsidRDefault="006D55BF">
    <w:pPr>
      <w:jc w:val="right"/>
    </w:pPr>
    <w:r>
      <w:rPr>
        <w:lang w:val="ru-RU"/>
      </w:rPr>
      <w:fldChar w:fldCharType="begin"/>
    </w:r>
    <w:r>
      <w:rPr>
        <w:lang w:val="ru-RU"/>
      </w:rPr>
      <w:instrText xml:space="preserve"> TITLE   \* MERGEFORMAT </w:instrText>
    </w:r>
    <w:r>
      <w:rPr>
        <w:lang w:val="ru-RU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813"/>
    <w:rsid w:val="0000203D"/>
    <w:rsid w:val="000F090C"/>
    <w:rsid w:val="0010485F"/>
    <w:rsid w:val="00146C0E"/>
    <w:rsid w:val="001856DD"/>
    <w:rsid w:val="0018589E"/>
    <w:rsid w:val="001F473A"/>
    <w:rsid w:val="0021491A"/>
    <w:rsid w:val="00241C90"/>
    <w:rsid w:val="00242F1B"/>
    <w:rsid w:val="00330813"/>
    <w:rsid w:val="003D5D55"/>
    <w:rsid w:val="00496A9E"/>
    <w:rsid w:val="004D649C"/>
    <w:rsid w:val="005905AC"/>
    <w:rsid w:val="005A0179"/>
    <w:rsid w:val="006D55BF"/>
    <w:rsid w:val="009065A2"/>
    <w:rsid w:val="009F40A0"/>
    <w:rsid w:val="00BE539E"/>
    <w:rsid w:val="00D2596A"/>
    <w:rsid w:val="00D81967"/>
    <w:rsid w:val="00E7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90BD3C2"/>
  <w15:chartTrackingRefBased/>
  <w15:docId w15:val="{8B7D6B23-3E57-4D74-A1DF-C1677072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1856DD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1856DD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character" w:customStyle="1" w:styleId="cs5e98e9304">
    <w:name w:val="cs5e98e9304"/>
    <w:basedOn w:val="a0"/>
    <w:rsid w:val="001856D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1856D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0"/>
    <w:rsid w:val="001856D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5">
    <w:name w:val="csa16174ba5"/>
    <w:basedOn w:val="a0"/>
    <w:rsid w:val="001856D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0"/>
    <w:rsid w:val="001856DD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6">
    <w:name w:val="csa16174ba6"/>
    <w:basedOn w:val="a0"/>
    <w:rsid w:val="001856D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146C0E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146C0E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94928-E495-4525-974A-9E3E9D6E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2585</Words>
  <Characters>20835</Characters>
  <Application>Microsoft Office Word</Application>
  <DocSecurity>0</DocSecurity>
  <Lines>173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2026-04-07T09:31:00Z</dcterms:created>
  <dcterms:modified xsi:type="dcterms:W3CDTF">2026-04-07T09:33:00Z</dcterms:modified>
</cp:coreProperties>
</file>