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1552C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979D7">
        <w:rPr>
          <w:rFonts w:ascii="Arial" w:eastAsia="Times New Roman" w:hAnsi="Arial" w:cs="Arial"/>
          <w:b/>
          <w:sz w:val="24"/>
          <w:szCs w:val="24"/>
          <w:lang w:val="uk-UA" w:eastAsia="uk-UA"/>
        </w:rPr>
        <w:t>ЯКІ ЗАРЕЄСТРОВАНІ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9C33D0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КОМПЕТЕНТНИМИ ОРГАНАМИ СПОЛУЧЕНИХ ШТАТІВ АМЕРИКИ, </w:t>
      </w:r>
      <w:r w:rsidRPr="009C33D0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9C33D0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9C33D0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9C33D0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 ЗАРЕЄСТРОВАНІ </w:t>
      </w:r>
      <w:r w:rsidRPr="009C33D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01552C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C33D0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C33D0" w:rsidRPr="009D5F96" w:rsidRDefault="009C33D0" w:rsidP="009C33D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C33D0" w:rsidRDefault="009C33D0" w:rsidP="009C33D0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0367DD">
              <w:rPr>
                <w:rFonts w:ascii="Arial" w:hAnsi="Arial" w:cs="Arial"/>
                <w:b/>
                <w:sz w:val="16"/>
                <w:szCs w:val="16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992" w:type="dxa"/>
            <w:shd w:val="clear" w:color="auto" w:fill="auto"/>
          </w:tcPr>
          <w:p w:rsidR="009C33D0" w:rsidRPr="001E2758" w:rsidRDefault="009C33D0" w:rsidP="009C33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</w:pPr>
            <w:r w:rsidRPr="00BC541D">
              <w:rPr>
                <w:rFonts w:ascii="Arial" w:hAnsi="Arial" w:cs="Arial"/>
                <w:color w:val="000000"/>
                <w:sz w:val="16"/>
                <w:szCs w:val="16"/>
              </w:rPr>
              <w:t>Pneumococcus, purified polysaccharides antigen conjugated</w:t>
            </w:r>
          </w:p>
        </w:tc>
        <w:tc>
          <w:tcPr>
            <w:tcW w:w="993" w:type="dxa"/>
            <w:shd w:val="clear" w:color="auto" w:fill="FFFFFF"/>
          </w:tcPr>
          <w:p w:rsidR="009C33D0" w:rsidRPr="001E2758" w:rsidRDefault="009C33D0" w:rsidP="009C33D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</w:pP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Пневмококовий полісахарид серотипу 1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3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4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5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6А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6В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ковий полісахарид серотипу 7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9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14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18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19А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; 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19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22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Пневмококовий 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полісахарид серотипу 23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Пневмококовий полісахарид серотипу 33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1,2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Кон'югований з білком-носієм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CRM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bscript"/>
                <w:lang w:val="uk-UA"/>
              </w:rPr>
              <w:t>197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CRM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vertAlign w:val="subscript"/>
                <w:lang w:val="uk-UA"/>
              </w:rPr>
              <w:t>197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нетоксичний мутант дифтерійного токсину (що походить від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Corynebacterium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diphtheriae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7), що рекомбінантно експресується в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Pseudomonas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fluorescens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69116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3952F6">
              <w:rPr>
                <w:rFonts w:ascii="Arial" w:hAnsi="Arial" w:cs="Arial"/>
                <w:color w:val="000000"/>
                <w:sz w:val="16"/>
                <w:szCs w:val="16"/>
              </w:rPr>
              <w:t>Адсорбований на ад'юванті алюмінію фосфату.</w:t>
            </w:r>
          </w:p>
        </w:tc>
        <w:tc>
          <w:tcPr>
            <w:tcW w:w="708" w:type="dxa"/>
            <w:shd w:val="clear" w:color="auto" w:fill="FFFFFF"/>
          </w:tcPr>
          <w:p w:rsidR="009C33D0" w:rsidRPr="001E2758" w:rsidRDefault="009C33D0" w:rsidP="009C33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</w:pPr>
            <w:r w:rsidRPr="00BC541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J07AL02</w:t>
            </w:r>
          </w:p>
        </w:tc>
        <w:tc>
          <w:tcPr>
            <w:tcW w:w="1843" w:type="dxa"/>
            <w:shd w:val="clear" w:color="auto" w:fill="FFFFFF"/>
          </w:tcPr>
          <w:p w:rsidR="009C33D0" w:rsidRDefault="009C33D0" w:rsidP="009C33D0">
            <w:pPr>
              <w:tabs>
                <w:tab w:val="left" w:pos="1260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ізопрен-бромбутиловий каучук). 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Шприц з голкою(ами) запаковано у лоток</w:t>
            </w:r>
          </w:p>
        </w:tc>
        <w:tc>
          <w:tcPr>
            <w:tcW w:w="1276" w:type="dxa"/>
            <w:shd w:val="clear" w:color="auto" w:fill="FFFFFF"/>
          </w:tcPr>
          <w:p w:rsidR="009C33D0" w:rsidRPr="009C33D0" w:rsidRDefault="009C33D0" w:rsidP="009C33D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Шарп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Доум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ІДЕА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</w:p>
        </w:tc>
        <w:tc>
          <w:tcPr>
            <w:tcW w:w="992" w:type="dxa"/>
            <w:shd w:val="clear" w:color="auto" w:fill="FFFFFF"/>
          </w:tcPr>
          <w:p w:rsidR="009C33D0" w:rsidRDefault="009C33D0" w:rsidP="009C33D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shd w:val="clear" w:color="auto" w:fill="FFFFFF"/>
          </w:tcPr>
          <w:p w:rsidR="009C33D0" w:rsidRDefault="009C33D0" w:rsidP="009C33D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Тестування стабільності лікарського засобу (цілісність закриття контейнеру): Еурофінс Ланкастер Лабораторіз Інк., США; Випуск лікарського засобу та тестування стабільності (відсоток адсорбції): Еурофінс ПРОКСІ Лабораторіз Б.В., Нiдерланди; Вторинне пакування та маркування шприців; випуск готового лікарського засобу: Мерк Шарп і Доум Б.В., Нідерланди; Tестування та випуск ад’юванту алюмінію фосфату (хімічне); випуск лікарського засобу та тестування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стабільності (хімічне та біологічне): МСД Інтернешнл ГмбХ/МСД Ірландія (Брінні), Ірландiя; Наповнення лікарського засобу та інспектування; виробництво, тестування та випуск ад’юванту алюмінію фосфату (мікробіологічне); випуск лікарського засобу та тестування стабільності (мікробіологічне); випуск лікарського засобу: МСД Інтернешнл ГмбХ/МСД Ірландія (Карлоу), Ірландiя; Тестування стабільності лікарського засобу (ініціююча та підтримуюча сила): Нувісан ГмбХ, Німеччина; Наповнення лікарського засобу та інспектування; випуск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лікарського засобу та тестування стабільності (хімічне, мікробіологічне та цілісність закриття контейнеру): Патеон Італія С.п.А., Італiя</w:t>
            </w:r>
          </w:p>
        </w:tc>
        <w:tc>
          <w:tcPr>
            <w:tcW w:w="1276" w:type="dxa"/>
            <w:shd w:val="clear" w:color="auto" w:fill="FFFFFF"/>
          </w:tcPr>
          <w:p w:rsidR="009C33D0" w:rsidRPr="000367DD" w:rsidRDefault="009C33D0" w:rsidP="009C33D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Нiдерланди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Італiя</w:t>
            </w:r>
          </w:p>
        </w:tc>
        <w:tc>
          <w:tcPr>
            <w:tcW w:w="1559" w:type="dxa"/>
            <w:shd w:val="clear" w:color="auto" w:fill="FFFFFF"/>
          </w:tcPr>
          <w:p w:rsidR="009C33D0" w:rsidRPr="000367DD" w:rsidRDefault="009C33D0" w:rsidP="009C33D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C33D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Стислий опис змін В.І.х), тип ІБ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</w:t>
            </w:r>
            <w:r w:rsidRPr="009C33D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Заявленою зміною доповнюється інформація до Інструкції для медичного застосування (розділи: "Склад", "Особливості застосування", "Спосіб застосування та дози") та Короткої характеристики лікарського засобу (розділи 2. 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Якісний та кількісний склад, 4.5. Особливості застосування та запобіжні заходи при застосуванні, 6.6. Спеціальні заходи безпеки при поводженні з невикористаним лікарським засобом або відходами лікарського засобу) відповідно до оновлених 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рекомендацій Європейської комісії щодо "Допоміжних речовин в маркуванні та листку-вкладки лікарського засобу для застосування людиною" інформації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Annex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Commission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guideline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Excipients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labelling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package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leaflet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medicinal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products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human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use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EMA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CHMP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/302620/2017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.4).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Запропоновані зміни носять коректорський характер та призначені для зрозумілості викладеного тексту Інструкції для медичного застосування та Короткої характеристики лікарського засобу. </w:t>
            </w:r>
            <w:r w:rsidRPr="000367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9C33D0" w:rsidRDefault="009C33D0" w:rsidP="009C33D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60" w:type="dxa"/>
          </w:tcPr>
          <w:p w:rsidR="009C33D0" w:rsidRPr="000367DD" w:rsidRDefault="009C33D0" w:rsidP="009C33D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UA/20539/01/01</w:t>
            </w:r>
          </w:p>
        </w:tc>
      </w:tr>
    </w:tbl>
    <w:p w:rsidR="009C33D0" w:rsidRPr="00982A09" w:rsidRDefault="009C33D0" w:rsidP="009C33D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9C33D0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E5B" w:rsidRDefault="00681E5B" w:rsidP="00BF1D88">
      <w:pPr>
        <w:spacing w:after="0" w:line="240" w:lineRule="auto"/>
      </w:pPr>
      <w:r>
        <w:separator/>
      </w:r>
    </w:p>
  </w:endnote>
  <w:endnote w:type="continuationSeparator" w:id="0">
    <w:p w:rsidR="00681E5B" w:rsidRDefault="00681E5B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A12AE" w:rsidRPr="00DA12AE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E5B" w:rsidRDefault="00681E5B" w:rsidP="00BF1D88">
      <w:pPr>
        <w:spacing w:after="0" w:line="240" w:lineRule="auto"/>
      </w:pPr>
      <w:r>
        <w:separator/>
      </w:r>
    </w:p>
  </w:footnote>
  <w:footnote w:type="continuationSeparator" w:id="0">
    <w:p w:rsidR="00681E5B" w:rsidRDefault="00681E5B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979D7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20C0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1E5B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33D0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12AE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677964-C0B3-4E3C-91A7-3AE6720D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5C80-078A-4F7C-B67A-D761298B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2026-05-11T08:23:00Z</dcterms:created>
  <dcterms:modified xsi:type="dcterms:W3CDTF">2026-05-11T08:23:00Z</dcterms:modified>
</cp:coreProperties>
</file>