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BC4DF4" w:rsidRDefault="00C67F15" w:rsidP="00C67F15">
      <w:pPr>
        <w:spacing w:after="0" w:line="240" w:lineRule="auto"/>
        <w:jc w:val="center"/>
        <w:rPr>
          <w:rFonts w:ascii="Arial" w:eastAsia="Times New Roman" w:hAnsi="Arial" w:cs="Arial"/>
          <w:b/>
          <w:sz w:val="24"/>
          <w:szCs w:val="24"/>
          <w:lang w:val="uk-UA" w:eastAsia="uk-UA"/>
        </w:rPr>
      </w:pPr>
      <w:bookmarkStart w:id="0" w:name="_GoBack"/>
      <w:bookmarkEnd w:id="0"/>
      <w:r w:rsidRPr="00BC4DF4">
        <w:rPr>
          <w:rFonts w:ascii="Arial" w:eastAsia="Times New Roman" w:hAnsi="Arial" w:cs="Arial"/>
          <w:b/>
          <w:sz w:val="24"/>
          <w:szCs w:val="24"/>
          <w:lang w:val="uk-UA" w:eastAsia="uk-UA"/>
        </w:rPr>
        <w:t>ПЕРЕЛІК</w:t>
      </w:r>
    </w:p>
    <w:p w:rsidR="00C67F15" w:rsidRPr="00BC4DF4" w:rsidRDefault="00C67F15" w:rsidP="00C67F15">
      <w:pPr>
        <w:spacing w:after="0" w:line="240" w:lineRule="auto"/>
        <w:jc w:val="center"/>
        <w:rPr>
          <w:rFonts w:ascii="Arial" w:eastAsia="Times New Roman" w:hAnsi="Arial" w:cs="Arial"/>
          <w:b/>
          <w:sz w:val="24"/>
          <w:szCs w:val="24"/>
          <w:lang w:val="uk-UA" w:eastAsia="uk-UA"/>
        </w:rPr>
      </w:pPr>
      <w:r w:rsidRPr="00BC4DF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BC4DF4">
        <w:rPr>
          <w:rFonts w:ascii="Arial" w:eastAsia="Times New Roman" w:hAnsi="Arial" w:cs="Arial"/>
          <w:b/>
          <w:sz w:val="24"/>
          <w:szCs w:val="24"/>
          <w:u w:val="single"/>
          <w:lang w:val="uk-UA" w:eastAsia="uk-UA"/>
        </w:rPr>
        <w:t>ЯКІ ЗАРЕЄСТРОВАНІ КОМПЕТЕНТНИМИ ОРГАНАМИ</w:t>
      </w:r>
      <w:r w:rsidRPr="00BC4DF4">
        <w:rPr>
          <w:rFonts w:ascii="Arial" w:eastAsia="Times New Roman" w:hAnsi="Arial" w:cs="Arial"/>
          <w:b/>
          <w:sz w:val="24"/>
          <w:szCs w:val="24"/>
          <w:lang w:val="uk-UA" w:eastAsia="uk-UA"/>
        </w:rPr>
        <w:t xml:space="preserve"> СПОЛУЧЕНИХ ШТАТІВ АМЕРИКИ</w:t>
      </w:r>
      <w:r w:rsidRPr="000A71D8">
        <w:rPr>
          <w:rFonts w:ascii="Arial" w:eastAsia="Times New Roman" w:hAnsi="Arial" w:cs="Arial"/>
          <w:b/>
          <w:sz w:val="24"/>
          <w:szCs w:val="24"/>
          <w:lang w:val="uk-UA" w:eastAsia="uk-UA"/>
        </w:rPr>
        <w:t xml:space="preserve">, </w:t>
      </w:r>
      <w:r w:rsidRPr="000A71D8">
        <w:rPr>
          <w:rFonts w:ascii="Arial" w:hAnsi="Arial" w:cs="Arial"/>
          <w:b/>
          <w:sz w:val="24"/>
          <w:szCs w:val="24"/>
          <w:bdr w:val="none" w:sz="0" w:space="0" w:color="auto" w:frame="1"/>
          <w:lang w:val="uk-UA" w:eastAsia="ru-RU"/>
        </w:rPr>
        <w:t>ВЕЛИКОЇ БРИТАНІЇ</w:t>
      </w:r>
      <w:r w:rsidRPr="000A71D8">
        <w:rPr>
          <w:rFonts w:ascii="Arial" w:hAnsi="Arial" w:cs="Arial"/>
          <w:sz w:val="24"/>
          <w:szCs w:val="24"/>
          <w:bdr w:val="none" w:sz="0" w:space="0" w:color="auto" w:frame="1"/>
          <w:lang w:val="uk-UA" w:eastAsia="ru-RU"/>
        </w:rPr>
        <w:t xml:space="preserve">, </w:t>
      </w:r>
      <w:r w:rsidRPr="00BC4DF4">
        <w:rPr>
          <w:rFonts w:ascii="Arial" w:eastAsia="Times New Roman" w:hAnsi="Arial" w:cs="Arial"/>
          <w:b/>
          <w:sz w:val="24"/>
          <w:szCs w:val="24"/>
          <w:lang w:val="uk-UA"/>
        </w:rPr>
        <w:t>ШВЕЙЦАРСЬКОЇ КОНФЕДЕРАЦІЇ</w:t>
      </w:r>
      <w:r w:rsidRPr="00BC4DF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BC4DF4">
        <w:rPr>
          <w:rFonts w:ascii="Arial" w:eastAsia="Times New Roman" w:hAnsi="Arial" w:cs="Arial"/>
          <w:b/>
          <w:sz w:val="24"/>
          <w:szCs w:val="24"/>
          <w:u w:val="single"/>
          <w:lang w:val="uk-UA" w:eastAsia="uk-UA"/>
        </w:rPr>
        <w:t>ЄВРОПЕЙСЬКОГО СОЮЗУ</w:t>
      </w:r>
    </w:p>
    <w:p w:rsidR="00937275" w:rsidRPr="00940977" w:rsidRDefault="00937275" w:rsidP="00055FB0">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1984"/>
        <w:gridCol w:w="1701"/>
        <w:gridCol w:w="1134"/>
        <w:gridCol w:w="2977"/>
        <w:gridCol w:w="1276"/>
        <w:gridCol w:w="1843"/>
        <w:gridCol w:w="1187"/>
        <w:gridCol w:w="1506"/>
      </w:tblGrid>
      <w:tr w:rsidR="008859BD" w:rsidRPr="00FE0145" w:rsidTr="001E6A1B">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977"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1843"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767C45">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767C45">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ЗІРАБЕВ</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концентрат для розчину для інфузій, 25 мг/мл; по 100 мг/4 мл у флаконі; по 1 флакону у картонній коробці; по 400 мг/16 мл у флаконі; по 1 флакону у картонній коробці</w:t>
            </w:r>
          </w:p>
        </w:tc>
        <w:tc>
          <w:tcPr>
            <w:tcW w:w="1701" w:type="dxa"/>
            <w:shd w:val="clear" w:color="auto" w:fill="FFFFFF"/>
          </w:tcPr>
          <w:p w:rsidR="00832057" w:rsidRPr="00832057" w:rsidRDefault="00832057" w:rsidP="00832057">
            <w:pPr>
              <w:pStyle w:val="a3"/>
              <w:tabs>
                <w:tab w:val="left" w:pos="12600"/>
              </w:tabs>
              <w:spacing w:line="276" w:lineRule="auto"/>
              <w:jc w:val="center"/>
              <w:rPr>
                <w:rFonts w:ascii="Arial" w:hAnsi="Arial" w:cs="Arial"/>
                <w:color w:val="000000"/>
                <w:sz w:val="18"/>
                <w:szCs w:val="18"/>
                <w:lang w:val="ru-RU"/>
              </w:rPr>
            </w:pPr>
            <w:r w:rsidRPr="00832057">
              <w:rPr>
                <w:rFonts w:ascii="Arial" w:hAnsi="Arial" w:cs="Arial"/>
                <w:color w:val="000000"/>
                <w:sz w:val="18"/>
                <w:szCs w:val="18"/>
                <w:lang w:val="ru-RU"/>
              </w:rPr>
              <w:t>Пфайзер Ейч.Сі.Пі. Корпорейшн</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Зберігання АФІ, виробництво, первинне пакування, тестування при випуску, випуск серії, вторинне пакування, маркування:</w:t>
            </w:r>
            <w:r>
              <w:rPr>
                <w:rFonts w:ascii="Arial" w:hAnsi="Arial" w:cs="Arial"/>
                <w:color w:val="000000"/>
                <w:sz w:val="18"/>
                <w:szCs w:val="18"/>
              </w:rPr>
              <w:br/>
              <w:t>Фармація і Апджон Компані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Ваєт БіоФарма Дівіжн оф Ваєт Фармасеутикалс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Пфайзер Ірландія Фармасьютікалз, Ірландiя</w:t>
            </w:r>
            <w:r>
              <w:rPr>
                <w:rFonts w:ascii="Arial" w:hAnsi="Arial" w:cs="Arial"/>
                <w:color w:val="000000"/>
                <w:sz w:val="18"/>
                <w:szCs w:val="18"/>
              </w:rPr>
              <w:br/>
              <w:t>Випуск серії:</w:t>
            </w:r>
            <w:r>
              <w:rPr>
                <w:rFonts w:ascii="Arial" w:hAnsi="Arial" w:cs="Arial"/>
                <w:color w:val="000000"/>
                <w:sz w:val="18"/>
                <w:szCs w:val="18"/>
              </w:rPr>
              <w:br/>
              <w:t>Пфайзер Сервіс Компані БВ, Бельгія</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 Ірландія/ Бельгія</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Type IB B.I.b.2.e - Change in test procedure for AS or starting material/reagent/intermediate - Other changes to a test procedure (including replacement or addition) for the AS or a starting material/intermediate - Addition of an enhanced potency assay (Method B) as an alternative to the existing test method (Method A) for release and stability testing of bevacizumab (PF-06439535) active substance and finished product.</w:t>
            </w:r>
            <w:r>
              <w:rPr>
                <w:rFonts w:ascii="Arial" w:hAnsi="Arial" w:cs="Arial"/>
                <w:color w:val="000000"/>
                <w:sz w:val="18"/>
                <w:szCs w:val="18"/>
              </w:rPr>
              <w:br/>
              <w:t>Введення змін протягом 6 місяців після затвердження.</w:t>
            </w:r>
            <w:r>
              <w:rPr>
                <w:rFonts w:ascii="Arial" w:hAnsi="Arial" w:cs="Arial"/>
                <w:color w:val="000000"/>
                <w:sz w:val="18"/>
                <w:szCs w:val="18"/>
              </w:rPr>
              <w:br/>
              <w:t xml:space="preserve">Type II - B.II.b.3.c: - Change in the </w:t>
            </w:r>
            <w:r>
              <w:rPr>
                <w:rFonts w:ascii="Arial" w:hAnsi="Arial" w:cs="Arial"/>
                <w:color w:val="000000"/>
                <w:sz w:val="18"/>
                <w:szCs w:val="18"/>
              </w:rPr>
              <w:lastRenderedPageBreak/>
              <w:t xml:space="preserve">manufacturing process of the finished product, including an intermediate used in the manufacture of the finished product. The product is a biological/ immunological medicinal product and the change requires an assessment of comparability - Changes to the manufacturing process of the finished product to add an alternate filling line (Line 18) at Pharmacia &amp; Upjohn Company LLC, 7000 Portage Road, Kalamazoo, Michigan 49001-1099, USA for the manufacturing of Zirabev (bevacizumab) for both 100 mg/4 mL and 400 mg/16 mL concentrate for solution for infusion finished product presentations </w:t>
            </w:r>
            <w:r>
              <w:rPr>
                <w:rFonts w:ascii="Arial" w:hAnsi="Arial" w:cs="Arial"/>
                <w:color w:val="000000"/>
                <w:sz w:val="18"/>
                <w:szCs w:val="18"/>
              </w:rPr>
              <w:lastRenderedPageBreak/>
              <w:t>(EU/1/18/1344/001-002); and to introduce the option to reprocess finished product produced on Line 18 if the first sterile filtration fails to meet the post-use integrity test. The MAH took the opportunity to include a minor editorial change in the DP analytical procedure for extractable volume.</w:t>
            </w:r>
            <w:r>
              <w:rPr>
                <w:rFonts w:ascii="Arial" w:hAnsi="Arial" w:cs="Arial"/>
                <w:color w:val="000000"/>
                <w:sz w:val="18"/>
                <w:szCs w:val="18"/>
              </w:rPr>
              <w:br/>
              <w:t>Введення змін протягом 6 місяців після затвердження.</w:t>
            </w:r>
            <w:r>
              <w:rPr>
                <w:rFonts w:ascii="Arial" w:hAnsi="Arial" w:cs="Arial"/>
                <w:color w:val="000000"/>
                <w:sz w:val="18"/>
                <w:szCs w:val="18"/>
              </w:rPr>
              <w:br/>
              <w:t xml:space="preserve">Type IB - B.II.b.4.a:- Change in the batch size (including batch size ranges) of the finished product. Up to 10-fold compared to the originally approved batch size. - To add an alternative increased finished product batch size of 640 L for both finished product 100 </w:t>
            </w:r>
            <w:r>
              <w:rPr>
                <w:rFonts w:ascii="Arial" w:hAnsi="Arial" w:cs="Arial"/>
                <w:color w:val="000000"/>
                <w:sz w:val="18"/>
                <w:szCs w:val="18"/>
              </w:rPr>
              <w:lastRenderedPageBreak/>
              <w:t>mg/4 mL and 400 mg/16 mL concentrate for solution for infusion presentations (EU/1/18/1344/001-002). The alternative increased batch size is only applicable to the new filling line 18.</w:t>
            </w:r>
            <w:r>
              <w:rPr>
                <w:rFonts w:ascii="Arial" w:hAnsi="Arial" w:cs="Arial"/>
                <w:color w:val="000000"/>
                <w:sz w:val="18"/>
                <w:szCs w:val="18"/>
              </w:rPr>
              <w:br/>
              <w:t>Введення змін протягом 6 місяців після затвердження.</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lastRenderedPageBreak/>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UA/18148/01/01</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ЗІРАБЕВ</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концентрат для розчину для інфузій, 25 мг/мл; по 100 мг/4 мл у флаконі; по 1 флакону у картонній коробці; по 400 мг/16 мл у флаконі; по 1 флакону у картонній коробці</w:t>
            </w:r>
          </w:p>
        </w:tc>
        <w:tc>
          <w:tcPr>
            <w:tcW w:w="1701" w:type="dxa"/>
            <w:shd w:val="clear" w:color="auto" w:fill="FFFFFF"/>
          </w:tcPr>
          <w:p w:rsidR="00832057" w:rsidRPr="00832057" w:rsidRDefault="00832057" w:rsidP="00832057">
            <w:pPr>
              <w:pStyle w:val="a3"/>
              <w:tabs>
                <w:tab w:val="left" w:pos="12600"/>
              </w:tabs>
              <w:spacing w:line="276" w:lineRule="auto"/>
              <w:jc w:val="center"/>
              <w:rPr>
                <w:rFonts w:ascii="Arial" w:hAnsi="Arial" w:cs="Arial"/>
                <w:color w:val="000000"/>
                <w:sz w:val="18"/>
                <w:szCs w:val="18"/>
                <w:lang w:val="ru-RU"/>
              </w:rPr>
            </w:pPr>
            <w:r w:rsidRPr="00832057">
              <w:rPr>
                <w:rFonts w:ascii="Arial" w:hAnsi="Arial" w:cs="Arial"/>
                <w:color w:val="000000"/>
                <w:sz w:val="18"/>
                <w:szCs w:val="18"/>
                <w:lang w:val="ru-RU"/>
              </w:rPr>
              <w:t>Пфайзер Ейч.Сі.Пі. Корпорейшн</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Зберігання АФІ, виробництво, первинне пакування, тестування при випуску, випуск серії, вторинне пакування, маркування:</w:t>
            </w:r>
            <w:r>
              <w:rPr>
                <w:rFonts w:ascii="Arial" w:hAnsi="Arial" w:cs="Arial"/>
                <w:color w:val="000000"/>
                <w:sz w:val="18"/>
                <w:szCs w:val="18"/>
              </w:rPr>
              <w:br/>
              <w:t>Фармація і Апджон Компані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Ваєт БіоФарма Дівіжн оф Ваєт Фармасеутикалс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Пфайзер Ірландія Фармасьютікалз, Ірландiя</w:t>
            </w:r>
            <w:r>
              <w:rPr>
                <w:rFonts w:ascii="Arial" w:hAnsi="Arial" w:cs="Arial"/>
                <w:color w:val="000000"/>
                <w:sz w:val="18"/>
                <w:szCs w:val="18"/>
              </w:rPr>
              <w:br/>
              <w:t>Випуск серії:</w:t>
            </w:r>
            <w:r>
              <w:rPr>
                <w:rFonts w:ascii="Arial" w:hAnsi="Arial" w:cs="Arial"/>
                <w:color w:val="000000"/>
                <w:sz w:val="18"/>
                <w:szCs w:val="18"/>
              </w:rPr>
              <w:br/>
              <w:t>Пфайзер Сервіс Компані БВ, Бельгія</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 Ірландія/ Бельгія</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 xml:space="preserve">C.I HUMAN AND VETERINARY MEDICINAL PRODUCTS - C.I.z Other variation - Type IB: To update Sections 2, 4.4, 5.1 and 6.1 of the SmPC and Sections 2 and 6 of the PL with information on the excipient polysorbate 80, based on the Annex to the European Commission guideline on ‘Excipients in the labelling and package leaflet of medicinal products for human use. Зміни до розділів «Фармакологічні властивості», «Особливості застосування» та «Побічні реакції» інструкції для медичного застосування лікарського засобу. Введення змін протягом 9 місяців після затвердження. B.II.b.2.c Replacement or addition of a manufacturer responsible for importation and/or batch release - B.II.b.2.c.1 Not including batch control/testing - IAin: To change the address of the site responsible for batch release, Pfizer Service Company BV from Hoge Wei 10, 1930 Zaventem, Belgium to Hermeslaan 11, 1932 Zaventem, Belgium. </w:t>
            </w:r>
            <w:r>
              <w:rPr>
                <w:rFonts w:ascii="Arial" w:hAnsi="Arial" w:cs="Arial"/>
                <w:color w:val="000000"/>
                <w:sz w:val="18"/>
                <w:szCs w:val="18"/>
              </w:rPr>
              <w:br/>
              <w:t>Введення змін протягом 9 місяців після затвердження.</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UA/18148/01/01</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UA/16879/01/01</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UA/16879/01/02</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UA/16879/01/03</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UA/16879/01/04</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UA/16879/01/05</w:t>
            </w:r>
          </w:p>
        </w:tc>
      </w:tr>
    </w:tbl>
    <w:p w:rsidR="00D642BA" w:rsidRPr="00FE0145" w:rsidRDefault="00D642BA" w:rsidP="00055FB0">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169" w:rsidRDefault="00BF7169" w:rsidP="00BF1D88">
      <w:pPr>
        <w:spacing w:after="0" w:line="240" w:lineRule="auto"/>
      </w:pPr>
      <w:r>
        <w:separator/>
      </w:r>
    </w:p>
  </w:endnote>
  <w:endnote w:type="continuationSeparator" w:id="0">
    <w:p w:rsidR="00BF7169" w:rsidRDefault="00BF7169"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7D1C2E" w:rsidRPr="007D1C2E">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169" w:rsidRDefault="00BF7169" w:rsidP="00BF1D88">
      <w:pPr>
        <w:spacing w:after="0" w:line="240" w:lineRule="auto"/>
      </w:pPr>
      <w:r>
        <w:separator/>
      </w:r>
    </w:p>
  </w:footnote>
  <w:footnote w:type="continuationSeparator" w:id="0">
    <w:p w:rsidR="00BF7169" w:rsidRDefault="00BF7169"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3621"/>
    <w:rsid w:val="000841F3"/>
    <w:rsid w:val="00084B8B"/>
    <w:rsid w:val="00085590"/>
    <w:rsid w:val="0008630A"/>
    <w:rsid w:val="0009034E"/>
    <w:rsid w:val="00091049"/>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73A2"/>
    <w:rsid w:val="001403B9"/>
    <w:rsid w:val="00140DF9"/>
    <w:rsid w:val="001418C6"/>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5E63"/>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005E"/>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7A64"/>
    <w:rsid w:val="004327BB"/>
    <w:rsid w:val="00433465"/>
    <w:rsid w:val="004372E3"/>
    <w:rsid w:val="00440185"/>
    <w:rsid w:val="00444987"/>
    <w:rsid w:val="0044669C"/>
    <w:rsid w:val="00447F90"/>
    <w:rsid w:val="00454269"/>
    <w:rsid w:val="00454794"/>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3EA"/>
    <w:rsid w:val="004D57FD"/>
    <w:rsid w:val="004D68A3"/>
    <w:rsid w:val="004D6ABD"/>
    <w:rsid w:val="004E697D"/>
    <w:rsid w:val="004F0352"/>
    <w:rsid w:val="004F1EBE"/>
    <w:rsid w:val="004F302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419"/>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6EE4"/>
    <w:rsid w:val="00557F28"/>
    <w:rsid w:val="00560F01"/>
    <w:rsid w:val="00562DD2"/>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1DFC"/>
    <w:rsid w:val="00622D15"/>
    <w:rsid w:val="00623FFA"/>
    <w:rsid w:val="0063150B"/>
    <w:rsid w:val="0063380F"/>
    <w:rsid w:val="006429E4"/>
    <w:rsid w:val="00643FEB"/>
    <w:rsid w:val="00650131"/>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004"/>
    <w:rsid w:val="00715C68"/>
    <w:rsid w:val="00720763"/>
    <w:rsid w:val="0072300A"/>
    <w:rsid w:val="0073292C"/>
    <w:rsid w:val="0073387B"/>
    <w:rsid w:val="00733C17"/>
    <w:rsid w:val="007345E1"/>
    <w:rsid w:val="00740A33"/>
    <w:rsid w:val="007413FA"/>
    <w:rsid w:val="0074386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1C2E"/>
    <w:rsid w:val="007D3AAB"/>
    <w:rsid w:val="007D3B42"/>
    <w:rsid w:val="007D3D98"/>
    <w:rsid w:val="007D3EF9"/>
    <w:rsid w:val="007D4221"/>
    <w:rsid w:val="007D52FB"/>
    <w:rsid w:val="007D69A7"/>
    <w:rsid w:val="007E2380"/>
    <w:rsid w:val="007E52CE"/>
    <w:rsid w:val="007E5759"/>
    <w:rsid w:val="007E604E"/>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057"/>
    <w:rsid w:val="00832384"/>
    <w:rsid w:val="0083265A"/>
    <w:rsid w:val="008368AF"/>
    <w:rsid w:val="008372F3"/>
    <w:rsid w:val="0084252C"/>
    <w:rsid w:val="00845A5A"/>
    <w:rsid w:val="00851851"/>
    <w:rsid w:val="0085232D"/>
    <w:rsid w:val="008527A8"/>
    <w:rsid w:val="008528FB"/>
    <w:rsid w:val="008610A1"/>
    <w:rsid w:val="008634C1"/>
    <w:rsid w:val="008642E8"/>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2F0"/>
    <w:rsid w:val="0090039C"/>
    <w:rsid w:val="00901B1B"/>
    <w:rsid w:val="00904C6E"/>
    <w:rsid w:val="00911AB9"/>
    <w:rsid w:val="0091239C"/>
    <w:rsid w:val="00912C3E"/>
    <w:rsid w:val="009130AF"/>
    <w:rsid w:val="0091408E"/>
    <w:rsid w:val="009155F6"/>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777D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613B"/>
    <w:rsid w:val="00A1718C"/>
    <w:rsid w:val="00A20AEC"/>
    <w:rsid w:val="00A21F3D"/>
    <w:rsid w:val="00A22AFD"/>
    <w:rsid w:val="00A25491"/>
    <w:rsid w:val="00A315A7"/>
    <w:rsid w:val="00A317FF"/>
    <w:rsid w:val="00A320FF"/>
    <w:rsid w:val="00A331E3"/>
    <w:rsid w:val="00A34B19"/>
    <w:rsid w:val="00A34E00"/>
    <w:rsid w:val="00A3500D"/>
    <w:rsid w:val="00A3525D"/>
    <w:rsid w:val="00A373DE"/>
    <w:rsid w:val="00A43A31"/>
    <w:rsid w:val="00A44450"/>
    <w:rsid w:val="00A45109"/>
    <w:rsid w:val="00A51726"/>
    <w:rsid w:val="00A553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9784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372B8"/>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1D88"/>
    <w:rsid w:val="00BF284C"/>
    <w:rsid w:val="00BF327A"/>
    <w:rsid w:val="00BF4033"/>
    <w:rsid w:val="00BF6588"/>
    <w:rsid w:val="00BF686D"/>
    <w:rsid w:val="00BF7169"/>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9DC"/>
    <w:rsid w:val="00C56E6B"/>
    <w:rsid w:val="00C57402"/>
    <w:rsid w:val="00C57B98"/>
    <w:rsid w:val="00C6354B"/>
    <w:rsid w:val="00C652A3"/>
    <w:rsid w:val="00C65B22"/>
    <w:rsid w:val="00C661AD"/>
    <w:rsid w:val="00C66A07"/>
    <w:rsid w:val="00C67479"/>
    <w:rsid w:val="00C67F15"/>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11A7"/>
    <w:rsid w:val="00D921E0"/>
    <w:rsid w:val="00D92D0C"/>
    <w:rsid w:val="00D9386F"/>
    <w:rsid w:val="00D97864"/>
    <w:rsid w:val="00DA2B78"/>
    <w:rsid w:val="00DA65B7"/>
    <w:rsid w:val="00DA6C2D"/>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86F"/>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63CD"/>
    <w:rsid w:val="00EC69EC"/>
    <w:rsid w:val="00ED00A3"/>
    <w:rsid w:val="00ED11AF"/>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2EF1"/>
    <w:rsid w:val="00F43842"/>
    <w:rsid w:val="00F44264"/>
    <w:rsid w:val="00F50AA7"/>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5FA7"/>
    <w:rsid w:val="00F9689B"/>
    <w:rsid w:val="00FA2552"/>
    <w:rsid w:val="00FA32EA"/>
    <w:rsid w:val="00FA6462"/>
    <w:rsid w:val="00FA6999"/>
    <w:rsid w:val="00FA7213"/>
    <w:rsid w:val="00FA724A"/>
    <w:rsid w:val="00FA7E2E"/>
    <w:rsid w:val="00FB0460"/>
    <w:rsid w:val="00FB2313"/>
    <w:rsid w:val="00FB32B0"/>
    <w:rsid w:val="00FB4768"/>
    <w:rsid w:val="00FB7309"/>
    <w:rsid w:val="00FB7366"/>
    <w:rsid w:val="00FC0746"/>
    <w:rsid w:val="00FC10AC"/>
    <w:rsid w:val="00FC3D12"/>
    <w:rsid w:val="00FC76DF"/>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74D956F-D6C7-44E5-9DFC-13A421CC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A7830-06AF-4ECE-A801-D0CFE913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2026-01-19T09:19:00Z</dcterms:created>
  <dcterms:modified xsi:type="dcterms:W3CDTF">2026-01-19T09:19:00Z</dcterms:modified>
</cp:coreProperties>
</file>