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BC4DF4" w:rsidRDefault="00C67F15" w:rsidP="00FD3C83">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C67F15" w:rsidRPr="00EE38C0" w:rsidRDefault="00C67F15" w:rsidP="00FD3C83">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w:t>
      </w:r>
      <w:r w:rsidRPr="000A71D8">
        <w:rPr>
          <w:rFonts w:ascii="Arial" w:eastAsia="Times New Roman" w:hAnsi="Arial" w:cs="Arial"/>
          <w:b/>
          <w:sz w:val="24"/>
          <w:szCs w:val="24"/>
          <w:lang w:val="uk-UA" w:eastAsia="uk-UA"/>
        </w:rPr>
        <w:t xml:space="preserve">, </w:t>
      </w:r>
      <w:r w:rsidRPr="000A71D8">
        <w:rPr>
          <w:rFonts w:ascii="Arial" w:hAnsi="Arial" w:cs="Arial"/>
          <w:b/>
          <w:sz w:val="24"/>
          <w:szCs w:val="24"/>
          <w:bdr w:val="none" w:sz="0" w:space="0" w:color="auto" w:frame="1"/>
          <w:lang w:val="uk-UA" w:eastAsia="ru-RU"/>
        </w:rPr>
        <w:t>ВЕЛИКОЇ БРИТАНІЇ</w:t>
      </w:r>
      <w:r w:rsidRPr="000A71D8">
        <w:rPr>
          <w:rFonts w:ascii="Arial" w:hAnsi="Arial" w:cs="Arial"/>
          <w:sz w:val="24"/>
          <w:szCs w:val="24"/>
          <w:bdr w:val="none" w:sz="0" w:space="0" w:color="auto" w:frame="1"/>
          <w:lang w:val="uk-UA" w:eastAsia="ru-RU"/>
        </w:rPr>
        <w:t xml:space="preserve">, </w:t>
      </w:r>
      <w:r w:rsidRPr="00716FE7">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716FE7">
        <w:rPr>
          <w:rFonts w:ascii="Arial" w:eastAsia="Times New Roman" w:hAnsi="Arial" w:cs="Arial"/>
          <w:b/>
          <w:sz w:val="24"/>
          <w:szCs w:val="24"/>
          <w:u w:val="single"/>
          <w:lang w:val="uk-UA" w:eastAsia="uk-UA"/>
        </w:rPr>
        <w:t>ЄВРОПЕЙСЬКОГО СОЮЗУ</w:t>
      </w:r>
    </w:p>
    <w:p w:rsidR="00937275" w:rsidRPr="00940977" w:rsidRDefault="00937275" w:rsidP="00FD3C83">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984"/>
        <w:gridCol w:w="1701"/>
        <w:gridCol w:w="1134"/>
        <w:gridCol w:w="2552"/>
        <w:gridCol w:w="1417"/>
        <w:gridCol w:w="2127"/>
        <w:gridCol w:w="1187"/>
        <w:gridCol w:w="1506"/>
      </w:tblGrid>
      <w:tr w:rsidR="008859BD" w:rsidRPr="00FE0145" w:rsidTr="00E51986">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FD3C83" w:rsidRPr="00767C45" w:rsidTr="00E51986">
        <w:trPr>
          <w:trHeight w:val="433"/>
        </w:trPr>
        <w:tc>
          <w:tcPr>
            <w:tcW w:w="561" w:type="dxa"/>
            <w:tcBorders>
              <w:right w:val="single" w:sz="4" w:space="0" w:color="auto"/>
            </w:tcBorders>
            <w:shd w:val="clear" w:color="auto" w:fill="FFFFFF"/>
          </w:tcPr>
          <w:p w:rsidR="00FD3C83" w:rsidRPr="00767C45" w:rsidRDefault="00FD3C83" w:rsidP="00FD3C8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D3C83" w:rsidRDefault="00FD3C83" w:rsidP="00FD3C83">
            <w:pPr>
              <w:pStyle w:val="a3"/>
              <w:tabs>
                <w:tab w:val="left" w:pos="12600"/>
              </w:tabs>
              <w:rPr>
                <w:rFonts w:ascii="Arial" w:hAnsi="Arial" w:cs="Arial"/>
                <w:b/>
                <w:i/>
                <w:color w:val="000000"/>
                <w:sz w:val="18"/>
                <w:szCs w:val="18"/>
              </w:rPr>
            </w:pPr>
            <w:r>
              <w:rPr>
                <w:rFonts w:ascii="Arial" w:hAnsi="Arial" w:cs="Arial"/>
                <w:b/>
                <w:sz w:val="18"/>
                <w:szCs w:val="18"/>
              </w:rPr>
              <w:t>ВАРГАТЕФ®</w:t>
            </w:r>
          </w:p>
        </w:tc>
        <w:tc>
          <w:tcPr>
            <w:tcW w:w="1984" w:type="dxa"/>
            <w:shd w:val="clear" w:color="auto" w:fill="FFFFFF"/>
          </w:tcPr>
          <w:p w:rsidR="00FD3C83" w:rsidRPr="00E466CA" w:rsidRDefault="00FD3C83" w:rsidP="00FD3C83">
            <w:pPr>
              <w:pStyle w:val="a3"/>
              <w:tabs>
                <w:tab w:val="left" w:pos="12600"/>
              </w:tabs>
              <w:rPr>
                <w:rFonts w:ascii="Arial" w:hAnsi="Arial" w:cs="Arial"/>
                <w:color w:val="000000"/>
                <w:sz w:val="18"/>
                <w:szCs w:val="18"/>
                <w:lang w:val="ru-RU"/>
              </w:rPr>
            </w:pPr>
            <w:r w:rsidRPr="00E466CA">
              <w:rPr>
                <w:rFonts w:ascii="Arial" w:hAnsi="Arial" w:cs="Arial"/>
                <w:color w:val="000000"/>
                <w:sz w:val="18"/>
                <w:szCs w:val="18"/>
                <w:lang w:val="ru-RU"/>
              </w:rPr>
              <w:t>капсули м`які по 100 мг, по 10 капсул м'яких в алюмінієвому блістері, по 6 або 12 блістерів у картонній коробці</w:t>
            </w:r>
          </w:p>
        </w:tc>
        <w:tc>
          <w:tcPr>
            <w:tcW w:w="1701"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Берінгер Інгельхайм Інтернешнл ГмбХ</w:t>
            </w:r>
          </w:p>
        </w:tc>
        <w:tc>
          <w:tcPr>
            <w:tcW w:w="1134"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Німеччина</w:t>
            </w:r>
          </w:p>
        </w:tc>
        <w:tc>
          <w:tcPr>
            <w:tcW w:w="2552"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8"/>
                <w:szCs w:val="18"/>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8"/>
                <w:szCs w:val="18"/>
              </w:rPr>
              <w:br/>
              <w:t xml:space="preserve">альтернативні лабораторії </w:t>
            </w:r>
            <w:r>
              <w:rPr>
                <w:rFonts w:ascii="Arial" w:hAnsi="Arial" w:cs="Arial"/>
                <w:color w:val="000000"/>
                <w:sz w:val="18"/>
                <w:szCs w:val="18"/>
              </w:rPr>
              <w:lastRenderedPageBreak/>
              <w:t>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shd w:val="clear" w:color="auto" w:fill="FFFFFF"/>
          </w:tcPr>
          <w:p w:rsidR="00FD3C83" w:rsidRDefault="00FD3C83" w:rsidP="00FD3C83">
            <w:pPr>
              <w:spacing w:line="240" w:lineRule="auto"/>
            </w:pPr>
            <w:r>
              <w:rPr>
                <w:rFonts w:ascii="Arial" w:hAnsi="Arial" w:cs="Arial"/>
                <w:color w:val="000000"/>
                <w:sz w:val="18"/>
                <w:szCs w:val="18"/>
              </w:rPr>
              <w:lastRenderedPageBreak/>
              <w:t xml:space="preserve">Німеччина/Франція </w:t>
            </w:r>
          </w:p>
          <w:p w:rsidR="00FD3C83" w:rsidRDefault="00FD3C83" w:rsidP="00FD3C83">
            <w:pPr>
              <w:pStyle w:val="a3"/>
              <w:tabs>
                <w:tab w:val="left" w:pos="12600"/>
              </w:tabs>
              <w:jc w:val="center"/>
              <w:rPr>
                <w:rFonts w:ascii="Arial" w:hAnsi="Arial" w:cs="Arial"/>
                <w:color w:val="000000"/>
                <w:sz w:val="18"/>
                <w:szCs w:val="18"/>
              </w:rPr>
            </w:pPr>
          </w:p>
        </w:tc>
        <w:tc>
          <w:tcPr>
            <w:tcW w:w="2127"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 - B.I.a.l.z Other variation</w:t>
            </w:r>
            <w:r>
              <w:rPr>
                <w:rFonts w:ascii="Arial" w:hAnsi="Arial" w:cs="Arial"/>
                <w:color w:val="000000"/>
                <w:sz w:val="18"/>
                <w:szCs w:val="18"/>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Pr>
                <w:rFonts w:ascii="Arial" w:hAnsi="Arial" w:cs="Arial"/>
                <w:color w:val="000000"/>
                <w:sz w:val="18"/>
                <w:szCs w:val="18"/>
              </w:rPr>
              <w:br/>
              <w:t xml:space="preserve">Type IA A. </w:t>
            </w:r>
            <w:r>
              <w:rPr>
                <w:rFonts w:ascii="Arial" w:hAnsi="Arial" w:cs="Arial"/>
                <w:color w:val="000000"/>
                <w:sz w:val="18"/>
                <w:szCs w:val="18"/>
              </w:rPr>
              <w:lastRenderedPageBreak/>
              <w:t>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r>
              <w:rPr>
                <w:rFonts w:ascii="Arial" w:hAnsi="Arial" w:cs="Arial"/>
                <w:color w:val="000000"/>
                <w:sz w:val="18"/>
                <w:szCs w:val="18"/>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Pr>
                <w:rFonts w:ascii="Arial" w:hAnsi="Arial" w:cs="Arial"/>
                <w:color w:val="000000"/>
                <w:sz w:val="18"/>
                <w:szCs w:val="18"/>
              </w:rPr>
              <w:br/>
              <w:t xml:space="preserve">Type IA A. </w:t>
            </w:r>
            <w:r>
              <w:rPr>
                <w:rFonts w:ascii="Arial" w:hAnsi="Arial" w:cs="Arial"/>
                <w:color w:val="000000"/>
                <w:sz w:val="18"/>
                <w:szCs w:val="18"/>
              </w:rPr>
              <w:lastRenderedPageBreak/>
              <w:t>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Pr>
                <w:rFonts w:ascii="Arial" w:hAnsi="Arial" w:cs="Arial"/>
                <w:color w:val="000000"/>
                <w:sz w:val="18"/>
                <w:szCs w:val="18"/>
              </w:rPr>
              <w:br/>
              <w:t>To delete AkzoNobel Functional Chemicals, 44485 Stenungsund, Sweden as a site responsible for the manufacture of the starting material 1-Methylpiperazine.</w:t>
            </w:r>
            <w:r>
              <w:rPr>
                <w:rFonts w:ascii="Arial" w:hAnsi="Arial" w:cs="Arial"/>
                <w:color w:val="000000"/>
                <w:sz w:val="18"/>
                <w:szCs w:val="18"/>
              </w:rPr>
              <w:br/>
              <w:t xml:space="preserve">Furthermore, the MAH has taken the opportunity to introduce editorial changes in module 3.2.S.2.3: </w:t>
            </w:r>
            <w:r>
              <w:rPr>
                <w:rFonts w:ascii="Arial" w:hAnsi="Arial" w:cs="Arial"/>
                <w:color w:val="000000"/>
                <w:sz w:val="18"/>
                <w:szCs w:val="18"/>
              </w:rPr>
              <w:br/>
              <w:t>- to remove information on structure, chemical name, CAS-No., molecular formula and molecular weight as this information is included in module 3.2.S.I.</w:t>
            </w:r>
            <w:r>
              <w:rPr>
                <w:rFonts w:ascii="Arial" w:hAnsi="Arial" w:cs="Arial"/>
                <w:color w:val="000000"/>
                <w:sz w:val="18"/>
                <w:szCs w:val="18"/>
              </w:rPr>
              <w:br/>
              <w:t xml:space="preserve">- information in the current table 1, table 2 and table 3 are now included in one table </w:t>
            </w:r>
            <w:r>
              <w:rPr>
                <w:rFonts w:ascii="Arial" w:hAnsi="Arial" w:cs="Arial"/>
                <w:color w:val="000000"/>
                <w:sz w:val="18"/>
                <w:szCs w:val="18"/>
              </w:rPr>
              <w:lastRenderedPageBreak/>
              <w:t>(Table 1).</w:t>
            </w:r>
          </w:p>
        </w:tc>
        <w:tc>
          <w:tcPr>
            <w:tcW w:w="1187" w:type="dxa"/>
            <w:shd w:val="clear" w:color="auto" w:fill="FFFFFF"/>
          </w:tcPr>
          <w:p w:rsidR="00FD3C83" w:rsidRDefault="00FD3C83" w:rsidP="00FD3C83">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FD3C83" w:rsidRDefault="00FD3C83" w:rsidP="00FD3C83">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FD3C83" w:rsidRDefault="00FD3C83" w:rsidP="00FD3C83">
            <w:pPr>
              <w:pStyle w:val="a3"/>
              <w:tabs>
                <w:tab w:val="left" w:pos="12600"/>
              </w:tabs>
              <w:jc w:val="center"/>
              <w:rPr>
                <w:rFonts w:ascii="Arial" w:hAnsi="Arial" w:cs="Arial"/>
                <w:sz w:val="18"/>
                <w:szCs w:val="18"/>
              </w:rPr>
            </w:pPr>
            <w:r>
              <w:rPr>
                <w:rFonts w:ascii="Arial" w:hAnsi="Arial" w:cs="Arial"/>
                <w:sz w:val="18"/>
                <w:szCs w:val="18"/>
              </w:rPr>
              <w:t>UA/16651/01/01</w:t>
            </w:r>
          </w:p>
        </w:tc>
      </w:tr>
      <w:tr w:rsidR="00FD3C83" w:rsidRPr="00767C45" w:rsidTr="00E51986">
        <w:trPr>
          <w:trHeight w:val="433"/>
        </w:trPr>
        <w:tc>
          <w:tcPr>
            <w:tcW w:w="561" w:type="dxa"/>
            <w:tcBorders>
              <w:right w:val="single" w:sz="4" w:space="0" w:color="auto"/>
            </w:tcBorders>
            <w:shd w:val="clear" w:color="auto" w:fill="FFFFFF"/>
          </w:tcPr>
          <w:p w:rsidR="00FD3C83" w:rsidRPr="00767C45" w:rsidRDefault="00FD3C83" w:rsidP="00FD3C8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D3C83" w:rsidRDefault="00FD3C83" w:rsidP="00FD3C83">
            <w:pPr>
              <w:pStyle w:val="a3"/>
              <w:tabs>
                <w:tab w:val="left" w:pos="12600"/>
              </w:tabs>
              <w:rPr>
                <w:rFonts w:ascii="Arial" w:hAnsi="Arial" w:cs="Arial"/>
                <w:b/>
                <w:i/>
                <w:color w:val="000000"/>
                <w:sz w:val="18"/>
                <w:szCs w:val="18"/>
              </w:rPr>
            </w:pPr>
            <w:r>
              <w:rPr>
                <w:rFonts w:ascii="Arial" w:hAnsi="Arial" w:cs="Arial"/>
                <w:b/>
                <w:sz w:val="18"/>
                <w:szCs w:val="18"/>
              </w:rPr>
              <w:t>ВАРГАТЕФ®</w:t>
            </w:r>
          </w:p>
        </w:tc>
        <w:tc>
          <w:tcPr>
            <w:tcW w:w="1984" w:type="dxa"/>
            <w:shd w:val="clear" w:color="auto" w:fill="FFFFFF"/>
          </w:tcPr>
          <w:p w:rsidR="00FD3C83" w:rsidRPr="00E466CA" w:rsidRDefault="00FD3C83" w:rsidP="00FD3C83">
            <w:pPr>
              <w:pStyle w:val="a3"/>
              <w:tabs>
                <w:tab w:val="left" w:pos="12600"/>
              </w:tabs>
              <w:rPr>
                <w:rFonts w:ascii="Arial" w:hAnsi="Arial" w:cs="Arial"/>
                <w:color w:val="000000"/>
                <w:sz w:val="18"/>
                <w:szCs w:val="18"/>
                <w:lang w:val="ru-RU"/>
              </w:rPr>
            </w:pPr>
            <w:r w:rsidRPr="00E466CA">
              <w:rPr>
                <w:rFonts w:ascii="Arial" w:hAnsi="Arial" w:cs="Arial"/>
                <w:color w:val="000000"/>
                <w:sz w:val="18"/>
                <w:szCs w:val="18"/>
                <w:lang w:val="ru-RU"/>
              </w:rPr>
              <w:t>капсули м`які по 150 мг; по 10 капсул м'яких в алюмінієвому блістері, по 6 блістерів у картонній коробці</w:t>
            </w:r>
          </w:p>
        </w:tc>
        <w:tc>
          <w:tcPr>
            <w:tcW w:w="1701"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Берінгер Інгельхайм Інтернешнл ГмбХ</w:t>
            </w:r>
          </w:p>
        </w:tc>
        <w:tc>
          <w:tcPr>
            <w:tcW w:w="1134"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Німеччина</w:t>
            </w:r>
          </w:p>
        </w:tc>
        <w:tc>
          <w:tcPr>
            <w:tcW w:w="2552"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8"/>
                <w:szCs w:val="18"/>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8"/>
                <w:szCs w:val="18"/>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shd w:val="clear" w:color="auto" w:fill="FFFFFF"/>
          </w:tcPr>
          <w:p w:rsidR="00FD3C83" w:rsidRDefault="00FD3C83" w:rsidP="00FD3C83">
            <w:pPr>
              <w:spacing w:line="240" w:lineRule="auto"/>
            </w:pPr>
            <w:r>
              <w:rPr>
                <w:rFonts w:ascii="Arial" w:hAnsi="Arial" w:cs="Arial"/>
                <w:color w:val="000000"/>
                <w:sz w:val="18"/>
                <w:szCs w:val="18"/>
              </w:rPr>
              <w:t xml:space="preserve">Німеччина/Франція </w:t>
            </w:r>
          </w:p>
          <w:p w:rsidR="00FD3C83" w:rsidRDefault="00FD3C83" w:rsidP="00FD3C83">
            <w:pPr>
              <w:pStyle w:val="a3"/>
              <w:tabs>
                <w:tab w:val="left" w:pos="12600"/>
              </w:tabs>
              <w:jc w:val="center"/>
              <w:rPr>
                <w:rFonts w:ascii="Arial" w:hAnsi="Arial" w:cs="Arial"/>
                <w:color w:val="000000"/>
                <w:sz w:val="18"/>
                <w:szCs w:val="18"/>
              </w:rPr>
            </w:pPr>
          </w:p>
        </w:tc>
        <w:tc>
          <w:tcPr>
            <w:tcW w:w="2127"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 - B.I.a.l.z Other variation</w:t>
            </w:r>
            <w:r>
              <w:rPr>
                <w:rFonts w:ascii="Arial" w:hAnsi="Arial" w:cs="Arial"/>
                <w:color w:val="000000"/>
                <w:sz w:val="18"/>
                <w:szCs w:val="18"/>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Pr>
                <w:rFonts w:ascii="Arial" w:hAnsi="Arial" w:cs="Arial"/>
                <w:color w:val="000000"/>
                <w:sz w:val="18"/>
                <w:szCs w:val="18"/>
              </w:rPr>
              <w:br/>
              <w:t>Type IA 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r>
              <w:rPr>
                <w:rFonts w:ascii="Arial" w:hAnsi="Arial" w:cs="Arial"/>
                <w:color w:val="000000"/>
                <w:sz w:val="18"/>
                <w:szCs w:val="18"/>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Pr>
                <w:rFonts w:ascii="Arial" w:hAnsi="Arial" w:cs="Arial"/>
                <w:color w:val="000000"/>
                <w:sz w:val="18"/>
                <w:szCs w:val="18"/>
              </w:rPr>
              <w:br/>
              <w:t>Type IA A. 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Pr>
                <w:rFonts w:ascii="Arial" w:hAnsi="Arial" w:cs="Arial"/>
                <w:color w:val="000000"/>
                <w:sz w:val="18"/>
                <w:szCs w:val="18"/>
              </w:rPr>
              <w:br/>
              <w:t>To delete AkzoNobel Functional Chemicals, 44485 Stenungsund, Sweden as a site responsible for the manufacture of the starting material 1-Methylpiperazine.</w:t>
            </w:r>
            <w:r>
              <w:rPr>
                <w:rFonts w:ascii="Arial" w:hAnsi="Arial" w:cs="Arial"/>
                <w:color w:val="000000"/>
                <w:sz w:val="18"/>
                <w:szCs w:val="18"/>
              </w:rPr>
              <w:br/>
              <w:t xml:space="preserve">Furthermore, the MAH has taken the opportunity to introduce editorial changes in module 3.2.S.2.3: </w:t>
            </w:r>
            <w:r>
              <w:rPr>
                <w:rFonts w:ascii="Arial" w:hAnsi="Arial" w:cs="Arial"/>
                <w:color w:val="000000"/>
                <w:sz w:val="18"/>
                <w:szCs w:val="18"/>
              </w:rPr>
              <w:br/>
              <w:t>- to remove information on structure, chemical name, CAS-No., molecular formula and molecular weight as this information is included in module 3.2.S.I.</w:t>
            </w:r>
            <w:r>
              <w:rPr>
                <w:rFonts w:ascii="Arial" w:hAnsi="Arial" w:cs="Arial"/>
                <w:color w:val="000000"/>
                <w:sz w:val="18"/>
                <w:szCs w:val="18"/>
              </w:rPr>
              <w:br/>
              <w:t>- information in the current table 1, table 2 and table 3 are now included in one table (Table 1).</w:t>
            </w:r>
          </w:p>
        </w:tc>
        <w:tc>
          <w:tcPr>
            <w:tcW w:w="1187" w:type="dxa"/>
            <w:shd w:val="clear" w:color="auto" w:fill="FFFFFF"/>
          </w:tcPr>
          <w:p w:rsidR="00FD3C83" w:rsidRDefault="00FD3C83" w:rsidP="00FD3C83">
            <w:pPr>
              <w:pStyle w:val="a3"/>
              <w:tabs>
                <w:tab w:val="left" w:pos="12600"/>
              </w:tabs>
              <w:ind w:left="-185"/>
              <w:jc w:val="center"/>
              <w:rPr>
                <w:rFonts w:ascii="Arial" w:hAnsi="Arial" w:cs="Arial"/>
                <w:i/>
                <w:sz w:val="18"/>
                <w:szCs w:val="18"/>
              </w:rPr>
            </w:pPr>
            <w:r>
              <w:rPr>
                <w:rFonts w:ascii="Arial" w:hAnsi="Arial" w:cs="Arial"/>
                <w:i/>
                <w:sz w:val="18"/>
                <w:szCs w:val="18"/>
              </w:rPr>
              <w:t xml:space="preserve">за </w:t>
            </w:r>
          </w:p>
          <w:p w:rsidR="00FD3C83" w:rsidRDefault="00FD3C83" w:rsidP="00FD3C83">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FD3C83" w:rsidRDefault="00FD3C83" w:rsidP="00FD3C83">
            <w:pPr>
              <w:pStyle w:val="a3"/>
              <w:tabs>
                <w:tab w:val="left" w:pos="12600"/>
              </w:tabs>
              <w:jc w:val="center"/>
              <w:rPr>
                <w:rFonts w:ascii="Arial" w:hAnsi="Arial" w:cs="Arial"/>
                <w:sz w:val="18"/>
                <w:szCs w:val="18"/>
              </w:rPr>
            </w:pPr>
            <w:r>
              <w:rPr>
                <w:rFonts w:ascii="Arial" w:hAnsi="Arial" w:cs="Arial"/>
                <w:sz w:val="18"/>
                <w:szCs w:val="18"/>
              </w:rPr>
              <w:t>UA/16651/01/02</w:t>
            </w:r>
          </w:p>
        </w:tc>
      </w:tr>
    </w:tbl>
    <w:p w:rsidR="00D642BA" w:rsidRPr="00FE0145" w:rsidRDefault="00D642BA" w:rsidP="00FD3C83">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AD" w:rsidRDefault="007D6FAD" w:rsidP="00BF1D88">
      <w:pPr>
        <w:spacing w:after="0" w:line="240" w:lineRule="auto"/>
      </w:pPr>
      <w:r>
        <w:separator/>
      </w:r>
    </w:p>
  </w:endnote>
  <w:endnote w:type="continuationSeparator" w:id="0">
    <w:p w:rsidR="007D6FAD" w:rsidRDefault="007D6FAD"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6A3DFB" w:rsidRPr="006A3DFB">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AD" w:rsidRDefault="007D6FAD" w:rsidP="00BF1D88">
      <w:pPr>
        <w:spacing w:after="0" w:line="240" w:lineRule="auto"/>
      </w:pPr>
      <w:r>
        <w:separator/>
      </w:r>
    </w:p>
  </w:footnote>
  <w:footnote w:type="continuationSeparator" w:id="0">
    <w:p w:rsidR="007D6FAD" w:rsidRDefault="007D6FAD"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18E5"/>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4115"/>
    <w:rsid w:val="0017509D"/>
    <w:rsid w:val="0017578C"/>
    <w:rsid w:val="00176001"/>
    <w:rsid w:val="001827EC"/>
    <w:rsid w:val="0018280E"/>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594"/>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4FAD"/>
    <w:rsid w:val="0047597A"/>
    <w:rsid w:val="00476246"/>
    <w:rsid w:val="00476B3A"/>
    <w:rsid w:val="0047734E"/>
    <w:rsid w:val="004804ED"/>
    <w:rsid w:val="00480A65"/>
    <w:rsid w:val="00480E92"/>
    <w:rsid w:val="00481CBA"/>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1EBE"/>
    <w:rsid w:val="004F302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8C5"/>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34CA7"/>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3DFB"/>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D6FAD"/>
    <w:rsid w:val="007E2380"/>
    <w:rsid w:val="007E52CE"/>
    <w:rsid w:val="007E5759"/>
    <w:rsid w:val="007E604E"/>
    <w:rsid w:val="007E6F23"/>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3C83"/>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6D8F39-2048-4721-A759-5A4A67E1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D672-494D-4E05-B4C8-DDD665EC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2026-02-23T14:10:00Z</dcterms:created>
  <dcterms:modified xsi:type="dcterms:W3CDTF">2026-02-23T14:10:00Z</dcterms:modified>
</cp:coreProperties>
</file>