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BC4DF4" w:rsidRDefault="00C67F15" w:rsidP="00FD3C83">
      <w:pPr>
        <w:spacing w:after="0" w:line="240" w:lineRule="auto"/>
        <w:jc w:val="center"/>
        <w:rPr>
          <w:rFonts w:ascii="Arial" w:eastAsia="Times New Roman" w:hAnsi="Arial" w:cs="Arial"/>
          <w:b/>
          <w:sz w:val="24"/>
          <w:szCs w:val="24"/>
          <w:lang w:val="uk-UA" w:eastAsia="uk-UA"/>
        </w:rPr>
      </w:pPr>
      <w:bookmarkStart w:id="0" w:name="_GoBack"/>
      <w:bookmarkEnd w:id="0"/>
      <w:r w:rsidRPr="00BC4DF4">
        <w:rPr>
          <w:rFonts w:ascii="Arial" w:eastAsia="Times New Roman" w:hAnsi="Arial" w:cs="Arial"/>
          <w:b/>
          <w:sz w:val="24"/>
          <w:szCs w:val="24"/>
          <w:lang w:val="uk-UA" w:eastAsia="uk-UA"/>
        </w:rPr>
        <w:t>ПЕРЕЛІК</w:t>
      </w:r>
    </w:p>
    <w:p w:rsidR="00C67F15" w:rsidRPr="00EE38C0" w:rsidRDefault="00C67F15" w:rsidP="00FD3C83">
      <w:pPr>
        <w:spacing w:after="0" w:line="240" w:lineRule="auto"/>
        <w:jc w:val="center"/>
        <w:rPr>
          <w:rFonts w:ascii="Arial" w:eastAsia="Times New Roman" w:hAnsi="Arial" w:cs="Arial"/>
          <w:b/>
          <w:sz w:val="24"/>
          <w:szCs w:val="24"/>
          <w:lang w:val="uk-UA" w:eastAsia="uk-UA"/>
        </w:rPr>
      </w:pPr>
      <w:r w:rsidRPr="00BC4DF4">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BC4DF4">
        <w:rPr>
          <w:rFonts w:ascii="Arial" w:eastAsia="Times New Roman" w:hAnsi="Arial" w:cs="Arial"/>
          <w:b/>
          <w:sz w:val="24"/>
          <w:szCs w:val="24"/>
          <w:u w:val="single"/>
          <w:lang w:val="uk-UA" w:eastAsia="uk-UA"/>
        </w:rPr>
        <w:t>ЯКІ ЗАРЕЄСТРОВАНІ КОМПЕТЕНТНИМИ ОРГАНАМИ</w:t>
      </w:r>
      <w:r w:rsidRPr="00BC4DF4">
        <w:rPr>
          <w:rFonts w:ascii="Arial" w:eastAsia="Times New Roman" w:hAnsi="Arial" w:cs="Arial"/>
          <w:b/>
          <w:sz w:val="24"/>
          <w:szCs w:val="24"/>
          <w:lang w:val="uk-UA" w:eastAsia="uk-UA"/>
        </w:rPr>
        <w:t xml:space="preserve"> СПОЛУЧЕНИХ ШТАТІВ АМЕРИКИ</w:t>
      </w:r>
      <w:r w:rsidRPr="000A71D8">
        <w:rPr>
          <w:rFonts w:ascii="Arial" w:eastAsia="Times New Roman" w:hAnsi="Arial" w:cs="Arial"/>
          <w:b/>
          <w:sz w:val="24"/>
          <w:szCs w:val="24"/>
          <w:lang w:val="uk-UA" w:eastAsia="uk-UA"/>
        </w:rPr>
        <w:t xml:space="preserve">, </w:t>
      </w:r>
      <w:r w:rsidRPr="000A71D8">
        <w:rPr>
          <w:rFonts w:ascii="Arial" w:hAnsi="Arial" w:cs="Arial"/>
          <w:b/>
          <w:sz w:val="24"/>
          <w:szCs w:val="24"/>
          <w:bdr w:val="none" w:sz="0" w:space="0" w:color="auto" w:frame="1"/>
          <w:lang w:val="uk-UA" w:eastAsia="ru-RU"/>
        </w:rPr>
        <w:t>ВЕЛИКОЇ БРИТАНІЇ</w:t>
      </w:r>
      <w:r w:rsidRPr="000A71D8">
        <w:rPr>
          <w:rFonts w:ascii="Arial" w:hAnsi="Arial" w:cs="Arial"/>
          <w:sz w:val="24"/>
          <w:szCs w:val="24"/>
          <w:bdr w:val="none" w:sz="0" w:space="0" w:color="auto" w:frame="1"/>
          <w:lang w:val="uk-UA" w:eastAsia="ru-RU"/>
        </w:rPr>
        <w:t xml:space="preserve">, </w:t>
      </w:r>
      <w:r w:rsidRPr="00716FE7">
        <w:rPr>
          <w:rFonts w:ascii="Arial" w:eastAsia="Times New Roman" w:hAnsi="Arial" w:cs="Arial"/>
          <w:b/>
          <w:sz w:val="24"/>
          <w:szCs w:val="24"/>
          <w:lang w:val="uk-UA"/>
        </w:rPr>
        <w:t>ШВЕЙЦАРСЬКОЇ КОНФЕДЕРАЦІЇ</w:t>
      </w:r>
      <w:r w:rsidRPr="00BC4DF4">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716FE7">
        <w:rPr>
          <w:rFonts w:ascii="Arial" w:eastAsia="Times New Roman" w:hAnsi="Arial" w:cs="Arial"/>
          <w:b/>
          <w:sz w:val="24"/>
          <w:szCs w:val="24"/>
          <w:u w:val="single"/>
          <w:lang w:val="uk-UA" w:eastAsia="uk-UA"/>
        </w:rPr>
        <w:t>ЄВРОПЕЙСЬКОГО СОЮЗУ</w:t>
      </w:r>
    </w:p>
    <w:p w:rsidR="00937275" w:rsidRPr="00940977" w:rsidRDefault="00937275" w:rsidP="00FD3C83">
      <w:pPr>
        <w:spacing w:after="0" w:line="240" w:lineRule="auto"/>
        <w:jc w:val="center"/>
        <w:rPr>
          <w:rFonts w:ascii="Arial" w:eastAsia="Times New Roman" w:hAnsi="Arial" w:cs="Arial"/>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1984"/>
        <w:gridCol w:w="1701"/>
        <w:gridCol w:w="1134"/>
        <w:gridCol w:w="2552"/>
        <w:gridCol w:w="1417"/>
        <w:gridCol w:w="2127"/>
        <w:gridCol w:w="1187"/>
        <w:gridCol w:w="1506"/>
      </w:tblGrid>
      <w:tr w:rsidR="008859BD" w:rsidRPr="00FE0145" w:rsidTr="00E51986">
        <w:trPr>
          <w:tblHeader/>
        </w:trPr>
        <w:tc>
          <w:tcPr>
            <w:tcW w:w="561"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552"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Виробник</w:t>
            </w:r>
          </w:p>
        </w:tc>
        <w:tc>
          <w:tcPr>
            <w:tcW w:w="1417"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127"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Умови відпуску</w:t>
            </w:r>
          </w:p>
        </w:tc>
        <w:tc>
          <w:tcPr>
            <w:tcW w:w="1506" w:type="dxa"/>
            <w:tcBorders>
              <w:top w:val="single" w:sz="4" w:space="0" w:color="000000"/>
              <w:left w:val="single" w:sz="4" w:space="0" w:color="auto"/>
              <w:right w:val="single" w:sz="4" w:space="0" w:color="auto"/>
            </w:tcBorders>
            <w:shd w:val="clear" w:color="auto" w:fill="BFBFBF"/>
            <w:hideMark/>
          </w:tcPr>
          <w:p w:rsidR="008859BD" w:rsidRPr="00415913" w:rsidRDefault="008859BD" w:rsidP="00FD3C83">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Номер реєстраційного посвідчення</w:t>
            </w:r>
          </w:p>
        </w:tc>
      </w:tr>
      <w:tr w:rsidR="00FD3C83" w:rsidRPr="00767C45" w:rsidTr="00E51986">
        <w:trPr>
          <w:trHeight w:val="433"/>
        </w:trPr>
        <w:tc>
          <w:tcPr>
            <w:tcW w:w="561" w:type="dxa"/>
            <w:tcBorders>
              <w:right w:val="single" w:sz="4" w:space="0" w:color="auto"/>
            </w:tcBorders>
            <w:shd w:val="clear" w:color="auto" w:fill="FFFFFF"/>
          </w:tcPr>
          <w:p w:rsidR="00FD3C83" w:rsidRPr="00767C45" w:rsidRDefault="00FD3C83" w:rsidP="00FD3C83">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D3C83" w:rsidRDefault="00FD3C83" w:rsidP="00FD3C83">
            <w:pPr>
              <w:pStyle w:val="a3"/>
              <w:tabs>
                <w:tab w:val="left" w:pos="12600"/>
              </w:tabs>
              <w:rPr>
                <w:rFonts w:ascii="Arial" w:hAnsi="Arial" w:cs="Arial"/>
                <w:b/>
                <w:i/>
                <w:color w:val="000000"/>
                <w:sz w:val="18"/>
                <w:szCs w:val="18"/>
              </w:rPr>
            </w:pPr>
            <w:r>
              <w:rPr>
                <w:rFonts w:ascii="Arial" w:hAnsi="Arial" w:cs="Arial"/>
                <w:b/>
                <w:sz w:val="18"/>
                <w:szCs w:val="18"/>
              </w:rPr>
              <w:t>ВАРГАТЕФ®</w:t>
            </w:r>
          </w:p>
        </w:tc>
        <w:tc>
          <w:tcPr>
            <w:tcW w:w="1984" w:type="dxa"/>
            <w:shd w:val="clear" w:color="auto" w:fill="FFFFFF"/>
          </w:tcPr>
          <w:p w:rsidR="00FD3C83" w:rsidRPr="00E466CA" w:rsidRDefault="00FD3C83" w:rsidP="00FD3C83">
            <w:pPr>
              <w:pStyle w:val="a3"/>
              <w:tabs>
                <w:tab w:val="left" w:pos="12600"/>
              </w:tabs>
              <w:rPr>
                <w:rFonts w:ascii="Arial" w:hAnsi="Arial" w:cs="Arial"/>
                <w:color w:val="000000"/>
                <w:sz w:val="18"/>
                <w:szCs w:val="18"/>
                <w:lang w:val="ru-RU"/>
              </w:rPr>
            </w:pPr>
            <w:r w:rsidRPr="00E466CA">
              <w:rPr>
                <w:rFonts w:ascii="Arial" w:hAnsi="Arial" w:cs="Arial"/>
                <w:color w:val="000000"/>
                <w:sz w:val="18"/>
                <w:szCs w:val="18"/>
                <w:lang w:val="ru-RU"/>
              </w:rPr>
              <w:t>капсули м`які по 100 мг, по 10 капсул м'яких в алюмінієвому блістері, по 6 або 12 блістерів у картонній коробці</w:t>
            </w:r>
          </w:p>
        </w:tc>
        <w:tc>
          <w:tcPr>
            <w:tcW w:w="1701"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Берінгер Інгельхайм Інтернешнл ГмбХ</w:t>
            </w:r>
          </w:p>
        </w:tc>
        <w:tc>
          <w:tcPr>
            <w:tcW w:w="1134"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Німеччина</w:t>
            </w:r>
          </w:p>
        </w:tc>
        <w:tc>
          <w:tcPr>
            <w:tcW w:w="2552"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Pr>
                <w:rFonts w:ascii="Arial" w:hAnsi="Arial" w:cs="Arial"/>
                <w:color w:val="000000"/>
                <w:sz w:val="18"/>
                <w:szCs w:val="18"/>
              </w:rPr>
              <w:b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Pr>
                <w:rFonts w:ascii="Arial" w:hAnsi="Arial" w:cs="Arial"/>
                <w:color w:val="000000"/>
                <w:sz w:val="18"/>
                <w:szCs w:val="18"/>
              </w:rPr>
              <w:br/>
              <w:t xml:space="preserve">альтернативні лабораторії </w:t>
            </w:r>
            <w:r>
              <w:rPr>
                <w:rFonts w:ascii="Arial" w:hAnsi="Arial" w:cs="Arial"/>
                <w:color w:val="000000"/>
                <w:sz w:val="18"/>
                <w:szCs w:val="18"/>
              </w:rPr>
              <w:lastRenderedPageBreak/>
              <w:t>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417" w:type="dxa"/>
            <w:shd w:val="clear" w:color="auto" w:fill="FFFFFF"/>
          </w:tcPr>
          <w:p w:rsidR="00FD3C83" w:rsidRDefault="00FD3C83" w:rsidP="00FD3C83">
            <w:pPr>
              <w:spacing w:line="240" w:lineRule="auto"/>
            </w:pPr>
            <w:r>
              <w:rPr>
                <w:rFonts w:ascii="Arial" w:hAnsi="Arial" w:cs="Arial"/>
                <w:color w:val="000000"/>
                <w:sz w:val="18"/>
                <w:szCs w:val="18"/>
              </w:rPr>
              <w:lastRenderedPageBreak/>
              <w:t xml:space="preserve">Німеччина/Франція </w:t>
            </w:r>
          </w:p>
          <w:p w:rsidR="00FD3C83" w:rsidRDefault="00FD3C83" w:rsidP="00FD3C83">
            <w:pPr>
              <w:pStyle w:val="a3"/>
              <w:tabs>
                <w:tab w:val="left" w:pos="12600"/>
              </w:tabs>
              <w:jc w:val="center"/>
              <w:rPr>
                <w:rFonts w:ascii="Arial" w:hAnsi="Arial" w:cs="Arial"/>
                <w:color w:val="000000"/>
                <w:sz w:val="18"/>
                <w:szCs w:val="18"/>
              </w:rPr>
            </w:pPr>
          </w:p>
        </w:tc>
        <w:tc>
          <w:tcPr>
            <w:tcW w:w="2127"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Type IB B.I.a.l Change in the manufacturer of a starting material/reagent/intermediate used in the manufacturing process of the active substance or change in the manufacturer (including where relevant quality control testing sites) of the active substance, where no Ph. Eur. Certificate of Suitability is part of the approved dossier - B.I.a.l.z Other variation</w:t>
            </w:r>
            <w:r>
              <w:rPr>
                <w:rFonts w:ascii="Arial" w:hAnsi="Arial" w:cs="Arial"/>
                <w:color w:val="000000"/>
                <w:sz w:val="18"/>
                <w:szCs w:val="18"/>
              </w:rPr>
              <w:br/>
              <w:t>To introduce ZHEJIANG ZHONGXIN FLUORIDE MATERIALS CO. LTD, Hangzhou wan, Shangyu Economic and Technological Development Zone, Zhejiang, China as an alternative site responsible for the manufacture of the starting material 1-Methylpiperazine used for manufacture of nintedanib esilate active substance.</w:t>
            </w:r>
            <w:r>
              <w:rPr>
                <w:rFonts w:ascii="Arial" w:hAnsi="Arial" w:cs="Arial"/>
                <w:color w:val="000000"/>
                <w:sz w:val="18"/>
                <w:szCs w:val="18"/>
              </w:rPr>
              <w:br/>
              <w:t xml:space="preserve">Type IA A. </w:t>
            </w:r>
            <w:r>
              <w:rPr>
                <w:rFonts w:ascii="Arial" w:hAnsi="Arial" w:cs="Arial"/>
                <w:color w:val="000000"/>
                <w:sz w:val="18"/>
                <w:szCs w:val="18"/>
              </w:rPr>
              <w:lastRenderedPageBreak/>
              <w:t>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w:t>
            </w:r>
            <w:r>
              <w:rPr>
                <w:rFonts w:ascii="Arial" w:hAnsi="Arial" w:cs="Arial"/>
                <w:color w:val="000000"/>
                <w:sz w:val="18"/>
                <w:szCs w:val="18"/>
              </w:rPr>
              <w:br/>
              <w:t>To update the address of the site responsible for the manufacture of the starting material 1-Methylpiperazine and Trimethylorthobenzoat, AMI Organics Ltd., from 440/5, 6, ROAD NO. 82/A, Surat- 394 230, India to Plot no. 440/ 4, 5, 6, 8206/B, ROAD NO. 82/A GIDC, SACHIN -394 230, GUJARAT, India (IND). There is no change in the location of the site.</w:t>
            </w:r>
            <w:r>
              <w:rPr>
                <w:rFonts w:ascii="Arial" w:hAnsi="Arial" w:cs="Arial"/>
                <w:color w:val="000000"/>
                <w:sz w:val="18"/>
                <w:szCs w:val="18"/>
              </w:rPr>
              <w:br/>
              <w:t xml:space="preserve">Type IA A. </w:t>
            </w:r>
            <w:r>
              <w:rPr>
                <w:rFonts w:ascii="Arial" w:hAnsi="Arial" w:cs="Arial"/>
                <w:color w:val="000000"/>
                <w:sz w:val="18"/>
                <w:szCs w:val="18"/>
              </w:rPr>
              <w:lastRenderedPageBreak/>
              <w:t>ADMINISTRATIVE CHANGES - A.7 Deletion of manufacturing sites for an active substance, intermediate or finished product, packaging site, manufacturer responsible for batch release, site where batch control takes place, or supplier of a starting material, reagent or excipient (when mentioned in the dossier)</w:t>
            </w:r>
            <w:r>
              <w:rPr>
                <w:rFonts w:ascii="Arial" w:hAnsi="Arial" w:cs="Arial"/>
                <w:color w:val="000000"/>
                <w:sz w:val="18"/>
                <w:szCs w:val="18"/>
              </w:rPr>
              <w:br/>
              <w:t>To delete AkzoNobel Functional Chemicals, 44485 Stenungsund, Sweden as a site responsible for the manufacture of the starting material 1-Methylpiperazine.</w:t>
            </w:r>
            <w:r>
              <w:rPr>
                <w:rFonts w:ascii="Arial" w:hAnsi="Arial" w:cs="Arial"/>
                <w:color w:val="000000"/>
                <w:sz w:val="18"/>
                <w:szCs w:val="18"/>
              </w:rPr>
              <w:br/>
              <w:t xml:space="preserve">Furthermore, the MAH has taken the opportunity to introduce editorial changes in module 3.2.S.2.3: </w:t>
            </w:r>
            <w:r>
              <w:rPr>
                <w:rFonts w:ascii="Arial" w:hAnsi="Arial" w:cs="Arial"/>
                <w:color w:val="000000"/>
                <w:sz w:val="18"/>
                <w:szCs w:val="18"/>
              </w:rPr>
              <w:br/>
              <w:t>- to remove information on structure, chemical name, CAS-No., molecular formula and molecular weight as this information is included in module 3.2.S.I.</w:t>
            </w:r>
            <w:r>
              <w:rPr>
                <w:rFonts w:ascii="Arial" w:hAnsi="Arial" w:cs="Arial"/>
                <w:color w:val="000000"/>
                <w:sz w:val="18"/>
                <w:szCs w:val="18"/>
              </w:rPr>
              <w:br/>
              <w:t xml:space="preserve">- information in the current table 1, table 2 and table 3 are now included in one table </w:t>
            </w:r>
            <w:r>
              <w:rPr>
                <w:rFonts w:ascii="Arial" w:hAnsi="Arial" w:cs="Arial"/>
                <w:color w:val="000000"/>
                <w:sz w:val="18"/>
                <w:szCs w:val="18"/>
              </w:rPr>
              <w:lastRenderedPageBreak/>
              <w:t>(Table 1).</w:t>
            </w:r>
          </w:p>
        </w:tc>
        <w:tc>
          <w:tcPr>
            <w:tcW w:w="1187" w:type="dxa"/>
            <w:shd w:val="clear" w:color="auto" w:fill="FFFFFF"/>
          </w:tcPr>
          <w:p w:rsidR="00FD3C83" w:rsidRDefault="00FD3C83" w:rsidP="00FD3C83">
            <w:pPr>
              <w:pStyle w:val="a3"/>
              <w:tabs>
                <w:tab w:val="left" w:pos="12600"/>
              </w:tabs>
              <w:ind w:left="-185"/>
              <w:jc w:val="center"/>
              <w:rPr>
                <w:rFonts w:ascii="Arial" w:hAnsi="Arial" w:cs="Arial"/>
                <w:i/>
                <w:sz w:val="18"/>
                <w:szCs w:val="18"/>
              </w:rPr>
            </w:pPr>
            <w:r>
              <w:rPr>
                <w:rFonts w:ascii="Arial" w:hAnsi="Arial" w:cs="Arial"/>
                <w:i/>
                <w:sz w:val="18"/>
                <w:szCs w:val="18"/>
              </w:rPr>
              <w:lastRenderedPageBreak/>
              <w:t xml:space="preserve">за </w:t>
            </w:r>
          </w:p>
          <w:p w:rsidR="00FD3C83" w:rsidRDefault="00FD3C83" w:rsidP="00FD3C83">
            <w:pPr>
              <w:pStyle w:val="a3"/>
              <w:tabs>
                <w:tab w:val="left" w:pos="12600"/>
              </w:tabs>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FD3C83" w:rsidRDefault="00FD3C83" w:rsidP="00FD3C83">
            <w:pPr>
              <w:pStyle w:val="a3"/>
              <w:tabs>
                <w:tab w:val="left" w:pos="12600"/>
              </w:tabs>
              <w:jc w:val="center"/>
              <w:rPr>
                <w:rFonts w:ascii="Arial" w:hAnsi="Arial" w:cs="Arial"/>
                <w:sz w:val="18"/>
                <w:szCs w:val="18"/>
              </w:rPr>
            </w:pPr>
            <w:r>
              <w:rPr>
                <w:rFonts w:ascii="Arial" w:hAnsi="Arial" w:cs="Arial"/>
                <w:sz w:val="18"/>
                <w:szCs w:val="18"/>
              </w:rPr>
              <w:t>UA/16651/01/01</w:t>
            </w:r>
          </w:p>
        </w:tc>
      </w:tr>
      <w:tr w:rsidR="00FD3C83" w:rsidRPr="00767C45" w:rsidTr="00E51986">
        <w:trPr>
          <w:trHeight w:val="433"/>
        </w:trPr>
        <w:tc>
          <w:tcPr>
            <w:tcW w:w="561" w:type="dxa"/>
            <w:tcBorders>
              <w:right w:val="single" w:sz="4" w:space="0" w:color="auto"/>
            </w:tcBorders>
            <w:shd w:val="clear" w:color="auto" w:fill="FFFFFF"/>
          </w:tcPr>
          <w:p w:rsidR="00FD3C83" w:rsidRPr="00767C45" w:rsidRDefault="00FD3C83" w:rsidP="00FD3C83">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D3C83" w:rsidRDefault="00FD3C83" w:rsidP="00FD3C83">
            <w:pPr>
              <w:pStyle w:val="a3"/>
              <w:tabs>
                <w:tab w:val="left" w:pos="12600"/>
              </w:tabs>
              <w:rPr>
                <w:rFonts w:ascii="Arial" w:hAnsi="Arial" w:cs="Arial"/>
                <w:b/>
                <w:i/>
                <w:color w:val="000000"/>
                <w:sz w:val="18"/>
                <w:szCs w:val="18"/>
              </w:rPr>
            </w:pPr>
            <w:r>
              <w:rPr>
                <w:rFonts w:ascii="Arial" w:hAnsi="Arial" w:cs="Arial"/>
                <w:b/>
                <w:sz w:val="18"/>
                <w:szCs w:val="18"/>
              </w:rPr>
              <w:t>ВАРГАТЕФ®</w:t>
            </w:r>
          </w:p>
        </w:tc>
        <w:tc>
          <w:tcPr>
            <w:tcW w:w="1984" w:type="dxa"/>
            <w:shd w:val="clear" w:color="auto" w:fill="FFFFFF"/>
          </w:tcPr>
          <w:p w:rsidR="00FD3C83" w:rsidRPr="00E466CA" w:rsidRDefault="00FD3C83" w:rsidP="00FD3C83">
            <w:pPr>
              <w:pStyle w:val="a3"/>
              <w:tabs>
                <w:tab w:val="left" w:pos="12600"/>
              </w:tabs>
              <w:rPr>
                <w:rFonts w:ascii="Arial" w:hAnsi="Arial" w:cs="Arial"/>
                <w:color w:val="000000"/>
                <w:sz w:val="18"/>
                <w:szCs w:val="18"/>
                <w:lang w:val="ru-RU"/>
              </w:rPr>
            </w:pPr>
            <w:r w:rsidRPr="00E466CA">
              <w:rPr>
                <w:rFonts w:ascii="Arial" w:hAnsi="Arial" w:cs="Arial"/>
                <w:color w:val="000000"/>
                <w:sz w:val="18"/>
                <w:szCs w:val="18"/>
                <w:lang w:val="ru-RU"/>
              </w:rPr>
              <w:t>капсули м`які по 150 мг; по 10 капсул м'яких в алюмінієвому блістері, по 6 блістерів у картонній коробці</w:t>
            </w:r>
          </w:p>
        </w:tc>
        <w:tc>
          <w:tcPr>
            <w:tcW w:w="1701"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Берінгер Інгельхайм Інтернешнл ГмбХ</w:t>
            </w:r>
          </w:p>
        </w:tc>
        <w:tc>
          <w:tcPr>
            <w:tcW w:w="1134"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Німеччина</w:t>
            </w:r>
          </w:p>
        </w:tc>
        <w:tc>
          <w:tcPr>
            <w:tcW w:w="2552"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Pr>
                <w:rFonts w:ascii="Arial" w:hAnsi="Arial" w:cs="Arial"/>
                <w:color w:val="000000"/>
                <w:sz w:val="18"/>
                <w:szCs w:val="18"/>
              </w:rPr>
              <w:b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Pr>
                <w:rFonts w:ascii="Arial" w:hAnsi="Arial" w:cs="Arial"/>
                <w:color w:val="000000"/>
                <w:sz w:val="18"/>
                <w:szCs w:val="18"/>
              </w:rPr>
              <w:b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417" w:type="dxa"/>
            <w:shd w:val="clear" w:color="auto" w:fill="FFFFFF"/>
          </w:tcPr>
          <w:p w:rsidR="00FD3C83" w:rsidRDefault="00FD3C83" w:rsidP="00FD3C83">
            <w:pPr>
              <w:spacing w:line="240" w:lineRule="auto"/>
            </w:pPr>
            <w:r>
              <w:rPr>
                <w:rFonts w:ascii="Arial" w:hAnsi="Arial" w:cs="Arial"/>
                <w:color w:val="000000"/>
                <w:sz w:val="18"/>
                <w:szCs w:val="18"/>
              </w:rPr>
              <w:t xml:space="preserve">Німеччина/Франція </w:t>
            </w:r>
          </w:p>
          <w:p w:rsidR="00FD3C83" w:rsidRDefault="00FD3C83" w:rsidP="00FD3C83">
            <w:pPr>
              <w:pStyle w:val="a3"/>
              <w:tabs>
                <w:tab w:val="left" w:pos="12600"/>
              </w:tabs>
              <w:jc w:val="center"/>
              <w:rPr>
                <w:rFonts w:ascii="Arial" w:hAnsi="Arial" w:cs="Arial"/>
                <w:color w:val="000000"/>
                <w:sz w:val="18"/>
                <w:szCs w:val="18"/>
              </w:rPr>
            </w:pPr>
          </w:p>
        </w:tc>
        <w:tc>
          <w:tcPr>
            <w:tcW w:w="2127" w:type="dxa"/>
            <w:shd w:val="clear" w:color="auto" w:fill="FFFFFF"/>
          </w:tcPr>
          <w:p w:rsidR="00FD3C83" w:rsidRDefault="00FD3C83" w:rsidP="00FD3C83">
            <w:pPr>
              <w:pStyle w:val="a3"/>
              <w:tabs>
                <w:tab w:val="left" w:pos="12600"/>
              </w:tabs>
              <w:jc w:val="center"/>
              <w:rPr>
                <w:rFonts w:ascii="Arial" w:hAnsi="Arial" w:cs="Arial"/>
                <w:color w:val="000000"/>
                <w:sz w:val="18"/>
                <w:szCs w:val="18"/>
              </w:rPr>
            </w:pPr>
            <w:r>
              <w:rPr>
                <w:rFonts w:ascii="Arial" w:hAnsi="Arial" w:cs="Arial"/>
                <w:color w:val="000000"/>
                <w:sz w:val="18"/>
                <w:szCs w:val="18"/>
              </w:rPr>
              <w:t>Type IB B.I.a.l Change in the manufacturer of a starting material/reagent/intermediate used in the manufacturing process of the active substance or change in the manufacturer (including where relevant quality control testing sites) of the active substance, where no Ph. Eur. Certificate of Suitability is part of the approved dossier - B.I.a.l.z Other variation</w:t>
            </w:r>
            <w:r>
              <w:rPr>
                <w:rFonts w:ascii="Arial" w:hAnsi="Arial" w:cs="Arial"/>
                <w:color w:val="000000"/>
                <w:sz w:val="18"/>
                <w:szCs w:val="18"/>
              </w:rPr>
              <w:br/>
              <w:t>To introduce ZHEJIANG ZHONGXIN FLUORIDE MATERIALS CO. LTD, Hangzhou wan, Shangyu Economic and Technological Development Zone, Zhejiang, China as an alternative site responsible for the manufacture of the starting material 1-Methylpiperazine used for manufacture of nintedanib esilate active substance.</w:t>
            </w:r>
            <w:r>
              <w:rPr>
                <w:rFonts w:ascii="Arial" w:hAnsi="Arial" w:cs="Arial"/>
                <w:color w:val="000000"/>
                <w:sz w:val="18"/>
                <w:szCs w:val="18"/>
              </w:rPr>
              <w:br/>
              <w:t>Type IA A. 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w:t>
            </w:r>
            <w:r>
              <w:rPr>
                <w:rFonts w:ascii="Arial" w:hAnsi="Arial" w:cs="Arial"/>
                <w:color w:val="000000"/>
                <w:sz w:val="18"/>
                <w:szCs w:val="18"/>
              </w:rPr>
              <w:br/>
              <w:t>To update the address of the site responsible for the manufacture of the starting material 1-Methylpiperazine and Trimethylorthobenzoat, AMI Organics Ltd., from 440/5, 6, ROAD NO. 82/A, Surat- 394 230, India to Plot no. 440/ 4, 5, 6, 8206/B, ROAD NO. 82/A GIDC, SACHIN -394 230, GUJARAT, India (IND). There is no change in the location of the site.</w:t>
            </w:r>
            <w:r>
              <w:rPr>
                <w:rFonts w:ascii="Arial" w:hAnsi="Arial" w:cs="Arial"/>
                <w:color w:val="000000"/>
                <w:sz w:val="18"/>
                <w:szCs w:val="18"/>
              </w:rPr>
              <w:br/>
              <w:t>Type IA A. ADMINISTRATIVE CHANGES - A.7 Deletion of manufacturing sites for an active substance, intermediate or finished product, packaging site, manufacturer responsible for batch release, site where batch control takes place, or supplier of a starting material, reagent or excipient (when mentioned in the dossier)</w:t>
            </w:r>
            <w:r>
              <w:rPr>
                <w:rFonts w:ascii="Arial" w:hAnsi="Arial" w:cs="Arial"/>
                <w:color w:val="000000"/>
                <w:sz w:val="18"/>
                <w:szCs w:val="18"/>
              </w:rPr>
              <w:br/>
              <w:t>To delete AkzoNobel Functional Chemicals, 44485 Stenungsund, Sweden as a site responsible for the manufacture of the starting material 1-Methylpiperazine.</w:t>
            </w:r>
            <w:r>
              <w:rPr>
                <w:rFonts w:ascii="Arial" w:hAnsi="Arial" w:cs="Arial"/>
                <w:color w:val="000000"/>
                <w:sz w:val="18"/>
                <w:szCs w:val="18"/>
              </w:rPr>
              <w:br/>
              <w:t xml:space="preserve">Furthermore, the MAH has taken the opportunity to introduce editorial changes in module 3.2.S.2.3: </w:t>
            </w:r>
            <w:r>
              <w:rPr>
                <w:rFonts w:ascii="Arial" w:hAnsi="Arial" w:cs="Arial"/>
                <w:color w:val="000000"/>
                <w:sz w:val="18"/>
                <w:szCs w:val="18"/>
              </w:rPr>
              <w:br/>
              <w:t>- to remove information on structure, chemical name, CAS-No., molecular formula and molecular weight as this information is included in module 3.2.S.I.</w:t>
            </w:r>
            <w:r>
              <w:rPr>
                <w:rFonts w:ascii="Arial" w:hAnsi="Arial" w:cs="Arial"/>
                <w:color w:val="000000"/>
                <w:sz w:val="18"/>
                <w:szCs w:val="18"/>
              </w:rPr>
              <w:br/>
              <w:t>- information in the current table 1, table 2 and table 3 are now included in one table (Table 1).</w:t>
            </w:r>
          </w:p>
        </w:tc>
        <w:tc>
          <w:tcPr>
            <w:tcW w:w="1187" w:type="dxa"/>
            <w:shd w:val="clear" w:color="auto" w:fill="FFFFFF"/>
          </w:tcPr>
          <w:p w:rsidR="00FD3C83" w:rsidRDefault="00FD3C83" w:rsidP="00FD3C83">
            <w:pPr>
              <w:pStyle w:val="a3"/>
              <w:tabs>
                <w:tab w:val="left" w:pos="12600"/>
              </w:tabs>
              <w:ind w:left="-185"/>
              <w:jc w:val="center"/>
              <w:rPr>
                <w:rFonts w:ascii="Arial" w:hAnsi="Arial" w:cs="Arial"/>
                <w:i/>
                <w:sz w:val="18"/>
                <w:szCs w:val="18"/>
              </w:rPr>
            </w:pPr>
            <w:r>
              <w:rPr>
                <w:rFonts w:ascii="Arial" w:hAnsi="Arial" w:cs="Arial"/>
                <w:i/>
                <w:sz w:val="18"/>
                <w:szCs w:val="18"/>
              </w:rPr>
              <w:t xml:space="preserve">за </w:t>
            </w:r>
          </w:p>
          <w:p w:rsidR="00FD3C83" w:rsidRDefault="00FD3C83" w:rsidP="00FD3C83">
            <w:pPr>
              <w:pStyle w:val="a3"/>
              <w:tabs>
                <w:tab w:val="left" w:pos="12600"/>
              </w:tabs>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FD3C83" w:rsidRDefault="00FD3C83" w:rsidP="00FD3C83">
            <w:pPr>
              <w:pStyle w:val="a3"/>
              <w:tabs>
                <w:tab w:val="left" w:pos="12600"/>
              </w:tabs>
              <w:jc w:val="center"/>
              <w:rPr>
                <w:rFonts w:ascii="Arial" w:hAnsi="Arial" w:cs="Arial"/>
                <w:sz w:val="18"/>
                <w:szCs w:val="18"/>
              </w:rPr>
            </w:pPr>
            <w:r>
              <w:rPr>
                <w:rFonts w:ascii="Arial" w:hAnsi="Arial" w:cs="Arial"/>
                <w:sz w:val="18"/>
                <w:szCs w:val="18"/>
              </w:rPr>
              <w:t>UA/16651/01/02</w:t>
            </w:r>
          </w:p>
        </w:tc>
      </w:tr>
    </w:tbl>
    <w:p w:rsidR="00D642BA" w:rsidRPr="00FE0145" w:rsidRDefault="00D642BA" w:rsidP="00FD3C83">
      <w:pPr>
        <w:spacing w:after="0" w:line="240" w:lineRule="auto"/>
        <w:rPr>
          <w:rFonts w:ascii="Arial" w:hAnsi="Arial" w:cs="Arial"/>
          <w:sz w:val="16"/>
          <w:szCs w:val="16"/>
        </w:rPr>
      </w:pPr>
    </w:p>
    <w:sectPr w:rsidR="00D642BA" w:rsidRPr="00FE0145"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FAD" w:rsidRDefault="007D6FAD" w:rsidP="00BF1D88">
      <w:pPr>
        <w:spacing w:after="0" w:line="240" w:lineRule="auto"/>
      </w:pPr>
      <w:r>
        <w:separator/>
      </w:r>
    </w:p>
  </w:endnote>
  <w:endnote w:type="continuationSeparator" w:id="0">
    <w:p w:rsidR="007D6FAD" w:rsidRDefault="007D6FAD"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517196" w:rsidRPr="00517196">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FAD" w:rsidRDefault="007D6FAD" w:rsidP="00BF1D88">
      <w:pPr>
        <w:spacing w:after="0" w:line="240" w:lineRule="auto"/>
      </w:pPr>
      <w:r>
        <w:separator/>
      </w:r>
    </w:p>
  </w:footnote>
  <w:footnote w:type="continuationSeparator" w:id="0">
    <w:p w:rsidR="007D6FAD" w:rsidRDefault="007D6FAD"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B30"/>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3621"/>
    <w:rsid w:val="000841F3"/>
    <w:rsid w:val="00084B8B"/>
    <w:rsid w:val="00085590"/>
    <w:rsid w:val="0008630A"/>
    <w:rsid w:val="0009034E"/>
    <w:rsid w:val="00091049"/>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73A2"/>
    <w:rsid w:val="001403B9"/>
    <w:rsid w:val="00140DF9"/>
    <w:rsid w:val="001418C6"/>
    <w:rsid w:val="001418E5"/>
    <w:rsid w:val="00144E6D"/>
    <w:rsid w:val="00146049"/>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4115"/>
    <w:rsid w:val="0017509D"/>
    <w:rsid w:val="0017578C"/>
    <w:rsid w:val="00176001"/>
    <w:rsid w:val="001827EC"/>
    <w:rsid w:val="0018280E"/>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5E63"/>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6246"/>
    <w:rsid w:val="00357D4B"/>
    <w:rsid w:val="00361AD6"/>
    <w:rsid w:val="00364085"/>
    <w:rsid w:val="00365DAA"/>
    <w:rsid w:val="00366722"/>
    <w:rsid w:val="0037005E"/>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31E4"/>
    <w:rsid w:val="003B4DDC"/>
    <w:rsid w:val="003B5832"/>
    <w:rsid w:val="003B6594"/>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327BB"/>
    <w:rsid w:val="00433465"/>
    <w:rsid w:val="004372E3"/>
    <w:rsid w:val="00440185"/>
    <w:rsid w:val="00444987"/>
    <w:rsid w:val="0044669C"/>
    <w:rsid w:val="00447F90"/>
    <w:rsid w:val="00454269"/>
    <w:rsid w:val="00454794"/>
    <w:rsid w:val="00457D69"/>
    <w:rsid w:val="00457E5F"/>
    <w:rsid w:val="00463AAE"/>
    <w:rsid w:val="00464421"/>
    <w:rsid w:val="00465392"/>
    <w:rsid w:val="0046559B"/>
    <w:rsid w:val="00474FAD"/>
    <w:rsid w:val="0047597A"/>
    <w:rsid w:val="00476246"/>
    <w:rsid w:val="00476B3A"/>
    <w:rsid w:val="0047734E"/>
    <w:rsid w:val="004804ED"/>
    <w:rsid w:val="00480A65"/>
    <w:rsid w:val="00480E92"/>
    <w:rsid w:val="00481CBA"/>
    <w:rsid w:val="00485CFC"/>
    <w:rsid w:val="00486D70"/>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1EBE"/>
    <w:rsid w:val="004F3021"/>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196"/>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5B6"/>
    <w:rsid w:val="005556EF"/>
    <w:rsid w:val="00556EE4"/>
    <w:rsid w:val="00557F28"/>
    <w:rsid w:val="00560F01"/>
    <w:rsid w:val="00562DD2"/>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462C"/>
    <w:rsid w:val="00595580"/>
    <w:rsid w:val="005964D6"/>
    <w:rsid w:val="005978A6"/>
    <w:rsid w:val="005A2B45"/>
    <w:rsid w:val="005A2D9B"/>
    <w:rsid w:val="005A3BFA"/>
    <w:rsid w:val="005A540C"/>
    <w:rsid w:val="005A6668"/>
    <w:rsid w:val="005A68C5"/>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200A1"/>
    <w:rsid w:val="00621DFC"/>
    <w:rsid w:val="00622D15"/>
    <w:rsid w:val="00623FFA"/>
    <w:rsid w:val="0063150B"/>
    <w:rsid w:val="0063380F"/>
    <w:rsid w:val="00634CA7"/>
    <w:rsid w:val="006429E4"/>
    <w:rsid w:val="00643FEB"/>
    <w:rsid w:val="00650131"/>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3597"/>
    <w:rsid w:val="00684786"/>
    <w:rsid w:val="0068543E"/>
    <w:rsid w:val="006861C7"/>
    <w:rsid w:val="006867FB"/>
    <w:rsid w:val="00691775"/>
    <w:rsid w:val="0069312D"/>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D6FAD"/>
    <w:rsid w:val="007E2380"/>
    <w:rsid w:val="007E52CE"/>
    <w:rsid w:val="007E5759"/>
    <w:rsid w:val="007E604E"/>
    <w:rsid w:val="007E6F23"/>
    <w:rsid w:val="007E76E8"/>
    <w:rsid w:val="007F0300"/>
    <w:rsid w:val="007F0C76"/>
    <w:rsid w:val="007F1C8E"/>
    <w:rsid w:val="007F3F35"/>
    <w:rsid w:val="007F450E"/>
    <w:rsid w:val="007F5927"/>
    <w:rsid w:val="00800139"/>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E93"/>
    <w:rsid w:val="00916605"/>
    <w:rsid w:val="00916A45"/>
    <w:rsid w:val="009173A9"/>
    <w:rsid w:val="0091783D"/>
    <w:rsid w:val="0092051C"/>
    <w:rsid w:val="0092074A"/>
    <w:rsid w:val="009217A6"/>
    <w:rsid w:val="009219BF"/>
    <w:rsid w:val="00924F53"/>
    <w:rsid w:val="009253F0"/>
    <w:rsid w:val="00925494"/>
    <w:rsid w:val="00925960"/>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777D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63C5"/>
    <w:rsid w:val="009D6ACA"/>
    <w:rsid w:val="009D6E2B"/>
    <w:rsid w:val="009D70E3"/>
    <w:rsid w:val="009D7E94"/>
    <w:rsid w:val="009E3812"/>
    <w:rsid w:val="009E64CD"/>
    <w:rsid w:val="009F2A12"/>
    <w:rsid w:val="009F4D23"/>
    <w:rsid w:val="009F52BC"/>
    <w:rsid w:val="009F5944"/>
    <w:rsid w:val="009F7A60"/>
    <w:rsid w:val="00A00FA7"/>
    <w:rsid w:val="00A01DF7"/>
    <w:rsid w:val="00A02B9A"/>
    <w:rsid w:val="00A053EB"/>
    <w:rsid w:val="00A07E95"/>
    <w:rsid w:val="00A10727"/>
    <w:rsid w:val="00A1229F"/>
    <w:rsid w:val="00A15993"/>
    <w:rsid w:val="00A1613B"/>
    <w:rsid w:val="00A1718C"/>
    <w:rsid w:val="00A20AEC"/>
    <w:rsid w:val="00A21F3D"/>
    <w:rsid w:val="00A22AFD"/>
    <w:rsid w:val="00A25491"/>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2F20"/>
    <w:rsid w:val="00A83732"/>
    <w:rsid w:val="00A851AB"/>
    <w:rsid w:val="00A87FAD"/>
    <w:rsid w:val="00A92641"/>
    <w:rsid w:val="00A92DFD"/>
    <w:rsid w:val="00A93A91"/>
    <w:rsid w:val="00A951AC"/>
    <w:rsid w:val="00A955B3"/>
    <w:rsid w:val="00A95670"/>
    <w:rsid w:val="00A97840"/>
    <w:rsid w:val="00AA09A9"/>
    <w:rsid w:val="00AA2305"/>
    <w:rsid w:val="00AA2539"/>
    <w:rsid w:val="00AA4870"/>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372B8"/>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369E"/>
    <w:rsid w:val="00BD3FED"/>
    <w:rsid w:val="00BD4391"/>
    <w:rsid w:val="00BD6E53"/>
    <w:rsid w:val="00BD76A4"/>
    <w:rsid w:val="00BE1F21"/>
    <w:rsid w:val="00BE2252"/>
    <w:rsid w:val="00BE29E1"/>
    <w:rsid w:val="00BE3365"/>
    <w:rsid w:val="00BE3859"/>
    <w:rsid w:val="00BE4CF6"/>
    <w:rsid w:val="00BE67C7"/>
    <w:rsid w:val="00BE7EA4"/>
    <w:rsid w:val="00BF03C1"/>
    <w:rsid w:val="00BF1161"/>
    <w:rsid w:val="00BF11B5"/>
    <w:rsid w:val="00BF1D88"/>
    <w:rsid w:val="00BF284C"/>
    <w:rsid w:val="00BF327A"/>
    <w:rsid w:val="00BF4033"/>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11A7"/>
    <w:rsid w:val="00D921E0"/>
    <w:rsid w:val="00D92D0C"/>
    <w:rsid w:val="00D9386F"/>
    <w:rsid w:val="00D97864"/>
    <w:rsid w:val="00DA2B78"/>
    <w:rsid w:val="00DA65B7"/>
    <w:rsid w:val="00DA6C2D"/>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CA"/>
    <w:rsid w:val="00E4746C"/>
    <w:rsid w:val="00E47821"/>
    <w:rsid w:val="00E51986"/>
    <w:rsid w:val="00E55C65"/>
    <w:rsid w:val="00E55D98"/>
    <w:rsid w:val="00E5686F"/>
    <w:rsid w:val="00E56C0D"/>
    <w:rsid w:val="00E605E2"/>
    <w:rsid w:val="00E6229E"/>
    <w:rsid w:val="00E642B4"/>
    <w:rsid w:val="00E6505E"/>
    <w:rsid w:val="00E661D0"/>
    <w:rsid w:val="00E6777B"/>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D00A3"/>
    <w:rsid w:val="00ED11AF"/>
    <w:rsid w:val="00ED1C86"/>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5FA7"/>
    <w:rsid w:val="00F9689B"/>
    <w:rsid w:val="00F97A41"/>
    <w:rsid w:val="00FA2552"/>
    <w:rsid w:val="00FA32EA"/>
    <w:rsid w:val="00FA6462"/>
    <w:rsid w:val="00FA6999"/>
    <w:rsid w:val="00FA7213"/>
    <w:rsid w:val="00FA724A"/>
    <w:rsid w:val="00FA7E2E"/>
    <w:rsid w:val="00FB0460"/>
    <w:rsid w:val="00FB2313"/>
    <w:rsid w:val="00FB32B0"/>
    <w:rsid w:val="00FB4768"/>
    <w:rsid w:val="00FB7309"/>
    <w:rsid w:val="00FB7366"/>
    <w:rsid w:val="00FC0746"/>
    <w:rsid w:val="00FC10AC"/>
    <w:rsid w:val="00FC3D12"/>
    <w:rsid w:val="00FC76DF"/>
    <w:rsid w:val="00FD3C83"/>
    <w:rsid w:val="00FD6720"/>
    <w:rsid w:val="00FD6DCC"/>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C26210D-F594-4C35-B8D2-193F21F1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A8F2-044E-49D1-8C21-04A9615A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6425</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2026-02-17T07:45:00Z</dcterms:created>
  <dcterms:modified xsi:type="dcterms:W3CDTF">2026-02-17T07:45:00Z</dcterms:modified>
</cp:coreProperties>
</file>