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E27926" w:rsidRDefault="00C67F15" w:rsidP="00435C13">
      <w:pPr>
        <w:spacing w:after="0" w:line="240" w:lineRule="auto"/>
        <w:jc w:val="center"/>
        <w:rPr>
          <w:rFonts w:ascii="Arial" w:eastAsia="Times New Roman" w:hAnsi="Arial" w:cs="Arial"/>
          <w:b/>
          <w:sz w:val="24"/>
          <w:szCs w:val="24"/>
          <w:lang w:val="uk-UA" w:eastAsia="uk-UA"/>
        </w:rPr>
      </w:pPr>
      <w:bookmarkStart w:id="0" w:name="_GoBack"/>
      <w:bookmarkEnd w:id="0"/>
      <w:r w:rsidRPr="00E27926">
        <w:rPr>
          <w:rFonts w:ascii="Arial" w:eastAsia="Times New Roman" w:hAnsi="Arial" w:cs="Arial"/>
          <w:b/>
          <w:sz w:val="24"/>
          <w:szCs w:val="24"/>
          <w:lang w:val="uk-UA" w:eastAsia="uk-UA"/>
        </w:rPr>
        <w:t>ПЕРЕЛІК</w:t>
      </w:r>
    </w:p>
    <w:p w:rsidR="00C67F15" w:rsidRPr="00E27926" w:rsidRDefault="00C67F15" w:rsidP="00435C13">
      <w:pPr>
        <w:spacing w:after="0" w:line="240" w:lineRule="auto"/>
        <w:jc w:val="center"/>
        <w:rPr>
          <w:rFonts w:ascii="Arial" w:eastAsia="Times New Roman" w:hAnsi="Arial" w:cs="Arial"/>
          <w:b/>
          <w:sz w:val="24"/>
          <w:szCs w:val="24"/>
          <w:lang w:val="uk-UA" w:eastAsia="uk-UA"/>
        </w:rPr>
      </w:pPr>
      <w:r w:rsidRPr="00E2792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E27926">
        <w:rPr>
          <w:rFonts w:ascii="Arial" w:eastAsia="Times New Roman" w:hAnsi="Arial" w:cs="Arial"/>
          <w:b/>
          <w:sz w:val="24"/>
          <w:szCs w:val="24"/>
          <w:u w:val="single"/>
          <w:lang w:val="uk-UA" w:eastAsia="uk-UA"/>
        </w:rPr>
        <w:t>ЯКІ ЗАРЕЄСТРОВАНІ КОМПЕТЕНТНИМИ ОРГАНАМИ</w:t>
      </w:r>
      <w:r w:rsidRPr="00E27926">
        <w:rPr>
          <w:rFonts w:ascii="Arial" w:eastAsia="Times New Roman" w:hAnsi="Arial" w:cs="Arial"/>
          <w:b/>
          <w:sz w:val="24"/>
          <w:szCs w:val="24"/>
          <w:lang w:val="uk-UA" w:eastAsia="uk-UA"/>
        </w:rPr>
        <w:t xml:space="preserve"> СПОЛУЧЕНИХ ШТАТІВ АМЕРИКИ, </w:t>
      </w:r>
      <w:r w:rsidRPr="00E27926">
        <w:rPr>
          <w:rFonts w:ascii="Arial" w:hAnsi="Arial" w:cs="Arial"/>
          <w:b/>
          <w:sz w:val="24"/>
          <w:szCs w:val="24"/>
          <w:bdr w:val="none" w:sz="0" w:space="0" w:color="auto" w:frame="1"/>
          <w:lang w:val="uk-UA" w:eastAsia="ru-RU"/>
        </w:rPr>
        <w:t>ВЕЛИКОЇ БРИТАНІЇ</w:t>
      </w:r>
      <w:r w:rsidRPr="00E27926">
        <w:rPr>
          <w:rFonts w:ascii="Arial" w:hAnsi="Arial" w:cs="Arial"/>
          <w:sz w:val="24"/>
          <w:szCs w:val="24"/>
          <w:bdr w:val="none" w:sz="0" w:space="0" w:color="auto" w:frame="1"/>
          <w:lang w:val="uk-UA" w:eastAsia="ru-RU"/>
        </w:rPr>
        <w:t xml:space="preserve">, </w:t>
      </w:r>
      <w:r w:rsidRPr="00DE051B">
        <w:rPr>
          <w:rFonts w:ascii="Arial" w:eastAsia="Times New Roman" w:hAnsi="Arial" w:cs="Arial"/>
          <w:b/>
          <w:sz w:val="24"/>
          <w:szCs w:val="24"/>
          <w:lang w:val="uk-UA"/>
        </w:rPr>
        <w:t>ШВЕЙЦАРСЬКОЇ КОНФЕДЕРАЦІЇ</w:t>
      </w:r>
      <w:r w:rsidRPr="00E27926">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DE051B">
        <w:rPr>
          <w:rFonts w:ascii="Arial" w:eastAsia="Times New Roman" w:hAnsi="Arial" w:cs="Arial"/>
          <w:b/>
          <w:sz w:val="24"/>
          <w:szCs w:val="24"/>
          <w:u w:val="single"/>
          <w:lang w:val="uk-UA" w:eastAsia="uk-UA"/>
        </w:rPr>
        <w:t>ЄВРОПЕЙСЬКОГО СОЮЗУ</w:t>
      </w:r>
    </w:p>
    <w:p w:rsidR="00937275" w:rsidRPr="00E27926" w:rsidRDefault="00937275" w:rsidP="00435C13">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140"/>
        <w:gridCol w:w="1134"/>
        <w:gridCol w:w="993"/>
        <w:gridCol w:w="708"/>
        <w:gridCol w:w="1843"/>
        <w:gridCol w:w="1276"/>
        <w:gridCol w:w="992"/>
        <w:gridCol w:w="1559"/>
        <w:gridCol w:w="1276"/>
        <w:gridCol w:w="1559"/>
        <w:gridCol w:w="1134"/>
        <w:gridCol w:w="1560"/>
      </w:tblGrid>
      <w:tr w:rsidR="00435C13" w:rsidRPr="00E27926" w:rsidTr="0031127C">
        <w:trPr>
          <w:tblHeader/>
        </w:trPr>
        <w:tc>
          <w:tcPr>
            <w:tcW w:w="561"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 п/п</w:t>
            </w:r>
          </w:p>
        </w:tc>
        <w:tc>
          <w:tcPr>
            <w:tcW w:w="1140"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435C13" w:rsidRPr="00E27926" w:rsidRDefault="00435C13" w:rsidP="00435C13">
            <w:pPr>
              <w:tabs>
                <w:tab w:val="left" w:pos="12600"/>
              </w:tabs>
              <w:spacing w:line="240" w:lineRule="auto"/>
              <w:jc w:val="center"/>
              <w:rPr>
                <w:rFonts w:ascii="Arial" w:hAnsi="Arial" w:cs="Arial"/>
                <w:b/>
                <w:i/>
                <w:sz w:val="16"/>
                <w:szCs w:val="16"/>
              </w:rPr>
            </w:pPr>
            <w:r w:rsidRPr="00E27926">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35C13" w:rsidRPr="00E27926" w:rsidRDefault="00435C13" w:rsidP="00435C13">
            <w:pPr>
              <w:tabs>
                <w:tab w:val="left" w:pos="12600"/>
              </w:tabs>
              <w:spacing w:line="240" w:lineRule="auto"/>
              <w:jc w:val="center"/>
              <w:rPr>
                <w:rFonts w:ascii="Arial" w:hAnsi="Arial" w:cs="Arial"/>
                <w:b/>
                <w:i/>
                <w:sz w:val="16"/>
                <w:szCs w:val="16"/>
              </w:rPr>
            </w:pPr>
            <w:r w:rsidRPr="00E27926">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435C13" w:rsidRPr="00E27926" w:rsidRDefault="00435C13" w:rsidP="00435C13">
            <w:pPr>
              <w:tabs>
                <w:tab w:val="left" w:pos="12600"/>
              </w:tabs>
              <w:spacing w:line="240" w:lineRule="auto"/>
              <w:jc w:val="center"/>
              <w:rPr>
                <w:rFonts w:ascii="Arial" w:hAnsi="Arial" w:cs="Arial"/>
                <w:b/>
                <w:i/>
                <w:sz w:val="16"/>
                <w:szCs w:val="16"/>
              </w:rPr>
            </w:pPr>
            <w:r w:rsidRPr="00E27926">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35C13" w:rsidRPr="00E27926" w:rsidRDefault="00435C13" w:rsidP="00435C13">
            <w:pPr>
              <w:tabs>
                <w:tab w:val="left" w:pos="12600"/>
              </w:tabs>
              <w:spacing w:after="0" w:line="240" w:lineRule="auto"/>
              <w:jc w:val="center"/>
              <w:rPr>
                <w:rFonts w:ascii="Arial" w:eastAsia="Times New Roman" w:hAnsi="Arial" w:cs="Arial"/>
                <w:b/>
                <w:i/>
                <w:sz w:val="16"/>
                <w:szCs w:val="16"/>
                <w:lang w:val="uk-UA" w:eastAsia="uk-UA"/>
              </w:rPr>
            </w:pPr>
            <w:r w:rsidRPr="00E27926">
              <w:rPr>
                <w:rFonts w:ascii="Arial" w:eastAsia="Times New Roman" w:hAnsi="Arial" w:cs="Arial"/>
                <w:b/>
                <w:i/>
                <w:sz w:val="16"/>
                <w:szCs w:val="16"/>
                <w:lang w:val="uk-UA" w:eastAsia="uk-UA"/>
              </w:rPr>
              <w:t>Номер реєстраційного посвідчення</w:t>
            </w:r>
          </w:p>
        </w:tc>
      </w:tr>
      <w:tr w:rsidR="00435C13" w:rsidRPr="005E45F4" w:rsidTr="0031127C">
        <w:trPr>
          <w:trHeight w:val="433"/>
        </w:trPr>
        <w:tc>
          <w:tcPr>
            <w:tcW w:w="561" w:type="dxa"/>
            <w:tcBorders>
              <w:right w:val="single" w:sz="4" w:space="0" w:color="auto"/>
            </w:tcBorders>
            <w:shd w:val="clear" w:color="auto" w:fill="FFFFFF"/>
          </w:tcPr>
          <w:p w:rsidR="00435C13" w:rsidRPr="005E45F4" w:rsidRDefault="00435C13" w:rsidP="00435C1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35C13" w:rsidRDefault="00435C13" w:rsidP="00435C13">
            <w:pPr>
              <w:pStyle w:val="a3"/>
              <w:tabs>
                <w:tab w:val="left" w:pos="12600"/>
              </w:tabs>
              <w:rPr>
                <w:rFonts w:ascii="Arial" w:hAnsi="Arial" w:cs="Arial"/>
                <w:b/>
                <w:i/>
                <w:color w:val="000000"/>
                <w:sz w:val="16"/>
                <w:szCs w:val="16"/>
                <w:lang w:val="uk-UA"/>
              </w:rPr>
            </w:pPr>
            <w:r w:rsidRPr="00435C13">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134" w:type="dxa"/>
            <w:shd w:val="clear" w:color="auto" w:fill="auto"/>
          </w:tcPr>
          <w:p w:rsidR="00435C13" w:rsidRPr="00435C13" w:rsidRDefault="00435C13" w:rsidP="00192342">
            <w:pPr>
              <w:pStyle w:val="a3"/>
              <w:tabs>
                <w:tab w:val="left" w:pos="12600"/>
              </w:tabs>
              <w:rPr>
                <w:rFonts w:ascii="Arial" w:eastAsia="Calibri" w:hAnsi="Arial" w:cs="Arial"/>
                <w:sz w:val="16"/>
                <w:szCs w:val="16"/>
              </w:rPr>
            </w:pPr>
            <w:r w:rsidRPr="00435C13">
              <w:rPr>
                <w:rFonts w:ascii="Arial" w:eastAsia="Calibri" w:hAnsi="Arial" w:cs="Arial"/>
                <w:sz w:val="16"/>
                <w:szCs w:val="16"/>
              </w:rPr>
              <w:t>Papillomavirus (human types 6, 11, 16, 18, 31, 33, 45, 52, 58)</w:t>
            </w:r>
          </w:p>
        </w:tc>
        <w:tc>
          <w:tcPr>
            <w:tcW w:w="993" w:type="dxa"/>
            <w:shd w:val="clear" w:color="auto" w:fill="FFFFFF"/>
          </w:tcPr>
          <w:p w:rsidR="00435C13" w:rsidRPr="00435C13" w:rsidRDefault="00435C13" w:rsidP="00192342">
            <w:pPr>
              <w:pStyle w:val="a3"/>
              <w:tabs>
                <w:tab w:val="left" w:pos="12600"/>
              </w:tabs>
              <w:rPr>
                <w:rFonts w:ascii="Arial" w:hAnsi="Arial" w:cs="Arial"/>
                <w:color w:val="000000"/>
                <w:sz w:val="16"/>
                <w:szCs w:val="16"/>
              </w:rPr>
            </w:pPr>
            <w:r w:rsidRPr="00435C13">
              <w:rPr>
                <w:rFonts w:ascii="Arial" w:eastAsia="Calibri" w:hAnsi="Arial" w:cs="Arial"/>
                <w:sz w:val="16"/>
                <w:szCs w:val="16"/>
              </w:rP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6</w:t>
            </w:r>
            <w:r w:rsidRPr="00435C13">
              <w:rPr>
                <w:rFonts w:ascii="Arial" w:eastAsia="Calibri" w:hAnsi="Arial" w:cs="Arial"/>
                <w:sz w:val="16"/>
                <w:szCs w:val="16"/>
                <w:vertAlign w:val="superscript"/>
              </w:rPr>
              <w:t>2,3</w:t>
            </w:r>
            <w:r w:rsidRPr="00435C13">
              <w:rPr>
                <w:rFonts w:ascii="Arial" w:eastAsia="Calibri" w:hAnsi="Arial" w:cs="Arial"/>
                <w:sz w:val="16"/>
                <w:szCs w:val="16"/>
              </w:rPr>
              <w:t xml:space="preserve"> ;</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11</w:t>
            </w:r>
            <w:r w:rsidRPr="00435C13">
              <w:rPr>
                <w:rFonts w:ascii="Arial" w:eastAsia="Calibri" w:hAnsi="Arial" w:cs="Arial"/>
                <w:sz w:val="16"/>
                <w:szCs w:val="16"/>
                <w:vertAlign w:val="superscript"/>
              </w:rPr>
              <w:t>2,3</w:t>
            </w:r>
            <w:r w:rsidRPr="00435C13">
              <w:rPr>
                <w:rFonts w:ascii="Arial" w:eastAsia="Calibri" w:hAnsi="Arial" w:cs="Arial"/>
                <w:sz w:val="16"/>
                <w:szCs w:val="16"/>
              </w:rPr>
              <w:t xml:space="preserve"> ;</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16</w:t>
            </w:r>
            <w:r w:rsidRPr="00435C13">
              <w:rPr>
                <w:rFonts w:ascii="Arial" w:eastAsia="Calibri" w:hAnsi="Arial" w:cs="Arial"/>
                <w:sz w:val="16"/>
                <w:szCs w:val="16"/>
                <w:vertAlign w:val="superscript"/>
              </w:rPr>
              <w:t xml:space="preserve">2,3 </w:t>
            </w:r>
            <w:r w:rsidRPr="00264E9E">
              <w:rPr>
                <w:rFonts w:ascii="Arial" w:eastAsia="Calibri" w:hAnsi="Arial" w:cs="Arial"/>
                <w:sz w:val="16"/>
                <w:szCs w:val="16"/>
              </w:rPr>
              <w:t>;</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18</w:t>
            </w:r>
            <w:r w:rsidRPr="00435C13">
              <w:rPr>
                <w:rFonts w:ascii="Arial" w:eastAsia="Calibri" w:hAnsi="Arial" w:cs="Arial"/>
                <w:sz w:val="16"/>
                <w:szCs w:val="16"/>
                <w:vertAlign w:val="superscript"/>
              </w:rPr>
              <w:t xml:space="preserve">2,3 </w:t>
            </w:r>
            <w:r w:rsidRPr="00264E9E">
              <w:rPr>
                <w:rFonts w:ascii="Arial" w:eastAsia="Calibri" w:hAnsi="Arial" w:cs="Arial"/>
                <w:sz w:val="16"/>
                <w:szCs w:val="16"/>
              </w:rPr>
              <w:t>;</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31</w:t>
            </w:r>
            <w:r w:rsidRPr="00435C13">
              <w:rPr>
                <w:rFonts w:ascii="Arial" w:eastAsia="Calibri" w:hAnsi="Arial" w:cs="Arial"/>
                <w:sz w:val="16"/>
                <w:szCs w:val="16"/>
                <w:vertAlign w:val="superscript"/>
              </w:rPr>
              <w:t>2,3</w:t>
            </w:r>
            <w:r w:rsidRPr="00435C13">
              <w:rPr>
                <w:rFonts w:ascii="Arial" w:eastAsia="Calibri" w:hAnsi="Arial" w:cs="Arial"/>
                <w:sz w:val="16"/>
                <w:szCs w:val="16"/>
              </w:rPr>
              <w:t xml:space="preserve"> ;</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33</w:t>
            </w:r>
            <w:r w:rsidRPr="00435C13">
              <w:rPr>
                <w:rFonts w:ascii="Arial" w:eastAsia="Calibri" w:hAnsi="Arial" w:cs="Arial"/>
                <w:sz w:val="16"/>
                <w:szCs w:val="16"/>
                <w:vertAlign w:val="superscript"/>
              </w:rPr>
              <w:t xml:space="preserve">2,3 </w:t>
            </w:r>
            <w:r w:rsidRPr="00264E9E">
              <w:rPr>
                <w:rFonts w:ascii="Arial" w:eastAsia="Calibri" w:hAnsi="Arial" w:cs="Arial"/>
                <w:sz w:val="16"/>
                <w:szCs w:val="16"/>
              </w:rPr>
              <w:t>;</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45</w:t>
            </w:r>
            <w:r w:rsidRPr="00435C13">
              <w:rPr>
                <w:rFonts w:ascii="Arial" w:eastAsia="Calibri" w:hAnsi="Arial" w:cs="Arial"/>
                <w:sz w:val="16"/>
                <w:szCs w:val="16"/>
                <w:vertAlign w:val="superscript"/>
              </w:rPr>
              <w:t xml:space="preserve">2,3 </w:t>
            </w:r>
            <w:r w:rsidRPr="00264E9E">
              <w:rPr>
                <w:rFonts w:ascii="Arial" w:eastAsia="Calibri" w:hAnsi="Arial" w:cs="Arial"/>
                <w:sz w:val="16"/>
                <w:szCs w:val="16"/>
              </w:rPr>
              <w:t>;</w:t>
            </w:r>
            <w:r w:rsidRPr="00435C13">
              <w:rPr>
                <w:rFonts w:ascii="Arial" w:eastAsia="Calibri" w:hAnsi="Arial" w:cs="Arial"/>
                <w:sz w:val="16"/>
                <w:szCs w:val="16"/>
              </w:rPr>
              <w:br/>
            </w:r>
            <w:r w:rsidRPr="00435C13">
              <w:rPr>
                <w:rFonts w:ascii="Arial" w:eastAsia="Calibri" w:hAnsi="Arial" w:cs="Arial"/>
                <w:sz w:val="16"/>
                <w:szCs w:val="16"/>
              </w:rPr>
              <w:lastRenderedPageBreak/>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52</w:t>
            </w:r>
            <w:r w:rsidRPr="00435C13">
              <w:rPr>
                <w:rFonts w:ascii="Arial" w:eastAsia="Calibri" w:hAnsi="Arial" w:cs="Arial"/>
                <w:sz w:val="16"/>
                <w:szCs w:val="16"/>
                <w:vertAlign w:val="superscript"/>
              </w:rPr>
              <w:t>2,3</w:t>
            </w:r>
            <w:r w:rsidRPr="00264E9E">
              <w:rPr>
                <w:rFonts w:ascii="Arial" w:eastAsia="Calibri" w:hAnsi="Arial" w:cs="Arial"/>
                <w:sz w:val="16"/>
                <w:szCs w:val="16"/>
              </w:rPr>
              <w:t xml:space="preserve"> ;</w:t>
            </w:r>
            <w:r w:rsidRPr="00435C13">
              <w:rPr>
                <w:rFonts w:ascii="Arial" w:eastAsia="Calibri" w:hAnsi="Arial" w:cs="Arial"/>
                <w:sz w:val="16"/>
                <w:szCs w:val="16"/>
              </w:rPr>
              <w:br/>
              <w:t>Вірус папіломи людини</w:t>
            </w:r>
            <w:r w:rsidRPr="00435C13">
              <w:rPr>
                <w:rFonts w:ascii="Arial" w:eastAsia="Calibri" w:hAnsi="Arial" w:cs="Arial"/>
                <w:sz w:val="16"/>
                <w:szCs w:val="16"/>
                <w:vertAlign w:val="superscript"/>
              </w:rPr>
              <w:t>1</w:t>
            </w:r>
            <w:r w:rsidRPr="00435C13">
              <w:rPr>
                <w:rFonts w:ascii="Arial" w:eastAsia="Calibri" w:hAnsi="Arial" w:cs="Arial"/>
                <w:sz w:val="16"/>
                <w:szCs w:val="16"/>
              </w:rPr>
              <w:t xml:space="preserve"> L1 білок типу 58</w:t>
            </w:r>
            <w:r w:rsidRPr="00435C13">
              <w:rPr>
                <w:rFonts w:ascii="Arial" w:eastAsia="Calibri" w:hAnsi="Arial" w:cs="Arial"/>
                <w:sz w:val="16"/>
                <w:szCs w:val="16"/>
                <w:vertAlign w:val="superscript"/>
              </w:rPr>
              <w:t>2,3</w:t>
            </w:r>
            <w:r w:rsidRPr="00435C13">
              <w:rPr>
                <w:rFonts w:ascii="Arial" w:eastAsia="Calibri" w:hAnsi="Arial" w:cs="Arial"/>
                <w:sz w:val="16"/>
                <w:szCs w:val="16"/>
              </w:rPr>
              <w:t xml:space="preserve"> </w:t>
            </w:r>
            <w:r w:rsidRPr="00435C13">
              <w:rPr>
                <w:rFonts w:ascii="Arial" w:eastAsia="Calibri" w:hAnsi="Arial" w:cs="Arial"/>
                <w:sz w:val="16"/>
                <w:szCs w:val="16"/>
              </w:rPr>
              <w:br/>
            </w:r>
            <w:r w:rsidRPr="00435C13">
              <w:rPr>
                <w:rFonts w:ascii="Arial" w:eastAsia="Calibri" w:hAnsi="Arial" w:cs="Arial"/>
                <w:sz w:val="16"/>
                <w:szCs w:val="16"/>
              </w:rPr>
              <w:br/>
            </w:r>
            <w:r w:rsidRPr="00435C13">
              <w:rPr>
                <w:rFonts w:ascii="Arial" w:eastAsia="Calibri" w:hAnsi="Arial" w:cs="Arial"/>
                <w:sz w:val="16"/>
                <w:szCs w:val="16"/>
                <w:vertAlign w:val="superscript"/>
              </w:rPr>
              <w:t>1</w:t>
            </w:r>
            <w:r w:rsidRPr="00435C13">
              <w:rPr>
                <w:rFonts w:ascii="Arial" w:eastAsia="Calibri" w:hAnsi="Arial" w:cs="Arial"/>
                <w:sz w:val="16"/>
                <w:szCs w:val="16"/>
              </w:rPr>
              <w:t>Вірус папіломи людини=ВПЛ.</w:t>
            </w:r>
            <w:r w:rsidRPr="00435C13">
              <w:rPr>
                <w:rFonts w:ascii="Arial" w:eastAsia="Calibri" w:hAnsi="Arial" w:cs="Arial"/>
                <w:sz w:val="16"/>
                <w:szCs w:val="16"/>
              </w:rPr>
              <w:br/>
            </w:r>
            <w:r w:rsidRPr="00435C13">
              <w:rPr>
                <w:rFonts w:ascii="Arial" w:eastAsia="Calibri" w:hAnsi="Arial" w:cs="Arial"/>
                <w:sz w:val="16"/>
                <w:szCs w:val="16"/>
                <w:vertAlign w:val="superscript"/>
              </w:rPr>
              <w:t>2</w:t>
            </w:r>
            <w:r w:rsidRPr="00435C13">
              <w:rPr>
                <w:rFonts w:ascii="Arial" w:eastAsia="Calibri" w:hAnsi="Arial" w:cs="Arial"/>
                <w:sz w:val="16"/>
                <w:szCs w:val="16"/>
              </w:rPr>
              <w:t xml:space="preserve">L1 білок у вигляді вірусоподібних часток, що продукуються в клітинах дріжджів (Saccharomyces cerevisiae CANADE 3C-5 (штам 1895)) за технологією рекомбінантної ДНК. </w:t>
            </w:r>
            <w:r w:rsidRPr="00435C13">
              <w:rPr>
                <w:rFonts w:ascii="Arial" w:eastAsia="Calibri" w:hAnsi="Arial" w:cs="Arial"/>
                <w:sz w:val="16"/>
                <w:szCs w:val="16"/>
              </w:rPr>
              <w:br/>
            </w:r>
            <w:r w:rsidRPr="00435C13">
              <w:rPr>
                <w:rFonts w:ascii="Arial" w:eastAsia="Calibri" w:hAnsi="Arial" w:cs="Arial"/>
                <w:sz w:val="16"/>
                <w:szCs w:val="16"/>
                <w:vertAlign w:val="superscript"/>
              </w:rPr>
              <w:t>3</w:t>
            </w:r>
            <w:r w:rsidRPr="00435C13">
              <w:rPr>
                <w:rFonts w:ascii="Arial" w:eastAsia="Calibri" w:hAnsi="Arial" w:cs="Arial"/>
                <w:sz w:val="16"/>
                <w:szCs w:val="16"/>
              </w:rPr>
              <w:t xml:space="preserve">Адсорбований на ад'юванті аморфного </w:t>
            </w:r>
            <w:r w:rsidRPr="00435C13">
              <w:rPr>
                <w:rFonts w:ascii="Arial" w:eastAsia="Calibri" w:hAnsi="Arial" w:cs="Arial"/>
                <w:sz w:val="16"/>
                <w:szCs w:val="16"/>
              </w:rPr>
              <w:lastRenderedPageBreak/>
              <w:t>алюмінію гідроксифосфат сульфату (0,5 мг Al).</w:t>
            </w:r>
          </w:p>
        </w:tc>
        <w:tc>
          <w:tcPr>
            <w:tcW w:w="708"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lastRenderedPageBreak/>
              <w:t xml:space="preserve">J07BM01 </w:t>
            </w:r>
          </w:p>
        </w:tc>
        <w:tc>
          <w:tcPr>
            <w:tcW w:w="1843" w:type="dxa"/>
            <w:shd w:val="clear" w:color="auto" w:fill="FFFFFF"/>
          </w:tcPr>
          <w:p w:rsidR="00435C13" w:rsidRPr="00435C13" w:rsidRDefault="00435C13" w:rsidP="00264E9E">
            <w:pPr>
              <w:pStyle w:val="a3"/>
              <w:tabs>
                <w:tab w:val="left" w:pos="12600"/>
              </w:tabs>
              <w:rPr>
                <w:rFonts w:ascii="Arial" w:hAnsi="Arial" w:cs="Arial"/>
                <w:color w:val="000000"/>
                <w:sz w:val="16"/>
                <w:szCs w:val="16"/>
                <w:lang w:val="ru-RU"/>
              </w:rPr>
            </w:pPr>
            <w:r>
              <w:rPr>
                <w:rFonts w:ascii="Arial" w:hAnsi="Arial" w:cs="Arial"/>
                <w:color w:val="000000"/>
                <w:sz w:val="16"/>
                <w:szCs w:val="16"/>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w:t>
            </w:r>
            <w:r w:rsidRPr="00435C13">
              <w:rPr>
                <w:rFonts w:ascii="Arial" w:hAnsi="Arial" w:cs="Arial"/>
                <w:color w:val="000000"/>
                <w:sz w:val="16"/>
                <w:szCs w:val="16"/>
                <w:lang w:val="ru-RU"/>
              </w:rPr>
              <w:t>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6" w:type="dxa"/>
            <w:shd w:val="clear" w:color="auto" w:fill="FFFFFF"/>
          </w:tcPr>
          <w:p w:rsidR="00435C13" w:rsidRPr="00435C13" w:rsidRDefault="00435C13" w:rsidP="00435C13">
            <w:pPr>
              <w:pStyle w:val="a3"/>
              <w:tabs>
                <w:tab w:val="left" w:pos="12600"/>
              </w:tabs>
              <w:jc w:val="center"/>
              <w:rPr>
                <w:rFonts w:ascii="Arial" w:hAnsi="Arial" w:cs="Arial"/>
                <w:color w:val="000000"/>
                <w:sz w:val="16"/>
                <w:szCs w:val="16"/>
                <w:lang w:val="ru-RU"/>
              </w:rPr>
            </w:pPr>
            <w:r w:rsidRPr="00435C13">
              <w:rPr>
                <w:rFonts w:ascii="Arial" w:hAnsi="Arial" w:cs="Arial"/>
                <w:color w:val="000000"/>
                <w:sz w:val="16"/>
                <w:szCs w:val="16"/>
                <w:lang w:val="ru-RU"/>
              </w:rPr>
              <w:t xml:space="preserve">Мерк Шарп </w:t>
            </w:r>
            <w:r>
              <w:rPr>
                <w:rFonts w:ascii="Arial" w:hAnsi="Arial" w:cs="Arial"/>
                <w:color w:val="000000"/>
                <w:sz w:val="16"/>
                <w:szCs w:val="16"/>
                <w:lang w:val="ru-RU"/>
              </w:rPr>
              <w:t>і Доум ІДЕА ГмбХ</w:t>
            </w:r>
          </w:p>
        </w:tc>
        <w:tc>
          <w:tcPr>
            <w:tcW w:w="992"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559"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Сімтра (лише ендотоксини та стерильність):</w:t>
            </w:r>
            <w:r>
              <w:rPr>
                <w:rFonts w:ascii="Arial" w:hAnsi="Arial" w:cs="Arial"/>
                <w:color w:val="000000"/>
                <w:sz w:val="16"/>
                <w:szCs w:val="16"/>
              </w:rPr>
              <w:br/>
              <w:t xml:space="preserve">Сімтра ЮС ЛЛС, США </w:t>
            </w:r>
            <w:r>
              <w:rPr>
                <w:rFonts w:ascii="Arial" w:hAnsi="Arial" w:cs="Arial"/>
                <w:color w:val="000000"/>
                <w:sz w:val="16"/>
                <w:szCs w:val="16"/>
              </w:rPr>
              <w:br/>
            </w:r>
            <w:r>
              <w:rPr>
                <w:rFonts w:ascii="Arial" w:hAnsi="Arial" w:cs="Arial"/>
                <w:color w:val="000000"/>
                <w:sz w:val="16"/>
                <w:szCs w:val="16"/>
              </w:rPr>
              <w:br/>
              <w:t xml:space="preserve">тестування при випуску для шприців, наповнених на дільниці Карлоу, тестування при ввезенні (для шприців, отриманих з дільниці Вест Пойнт та дільниці </w:t>
            </w:r>
            <w:r>
              <w:rPr>
                <w:rFonts w:ascii="Arial" w:hAnsi="Arial" w:cs="Arial"/>
                <w:color w:val="000000"/>
                <w:sz w:val="16"/>
                <w:szCs w:val="16"/>
              </w:rPr>
              <w:lastRenderedPageBreak/>
              <w:t>Сімтра)</w:t>
            </w:r>
            <w:r w:rsidRPr="00435C13">
              <w:rPr>
                <w:rFonts w:ascii="Arial" w:hAnsi="Arial" w:cs="Arial"/>
                <w:color w:val="000000"/>
                <w:sz w:val="16"/>
                <w:szCs w:val="16"/>
                <w:vertAlign w:val="superscript"/>
              </w:rPr>
              <w:t>а</w:t>
            </w:r>
            <w:r>
              <w:rPr>
                <w:rFonts w:ascii="Arial" w:hAnsi="Arial" w:cs="Arial"/>
                <w:color w:val="000000"/>
                <w:sz w:val="16"/>
                <w:szCs w:val="16"/>
              </w:rPr>
              <w:t>, маркування та вторинне пакування, сертифікація та випуск серії:</w:t>
            </w:r>
            <w:r>
              <w:rPr>
                <w:rFonts w:ascii="Arial" w:hAnsi="Arial" w:cs="Arial"/>
                <w:color w:val="000000"/>
                <w:sz w:val="16"/>
                <w:szCs w:val="16"/>
              </w:rPr>
              <w:br/>
            </w:r>
            <w:r w:rsidRPr="00435C13">
              <w:rPr>
                <w:rFonts w:ascii="Arial" w:hAnsi="Arial" w:cs="Arial"/>
                <w:color w:val="000000"/>
                <w:sz w:val="16"/>
                <w:szCs w:val="16"/>
                <w:vertAlign w:val="superscript"/>
              </w:rPr>
              <w:t>а</w:t>
            </w:r>
            <w:r>
              <w:rPr>
                <w:rFonts w:ascii="Arial" w:hAnsi="Arial" w:cs="Arial"/>
                <w:color w:val="000000"/>
                <w:sz w:val="16"/>
                <w:szCs w:val="16"/>
              </w:rPr>
              <w:t xml:space="preserve"> Тестування при ввезенні включає проведення всіх тестів при випуску серії кінцевого продукту</w:t>
            </w:r>
            <w:r>
              <w:rPr>
                <w:rFonts w:ascii="Arial" w:hAnsi="Arial" w:cs="Arial"/>
                <w:color w:val="000000"/>
                <w:sz w:val="16"/>
                <w:szCs w:val="16"/>
              </w:rPr>
              <w:br/>
              <w:t>Мерк Шарп і Доум Б.В., Нідерланди</w:t>
            </w:r>
            <w:r>
              <w:rPr>
                <w:rFonts w:ascii="Arial" w:hAnsi="Arial" w:cs="Arial"/>
                <w:color w:val="000000"/>
                <w:sz w:val="16"/>
                <w:szCs w:val="16"/>
              </w:rPr>
              <w:br/>
            </w:r>
            <w:r>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Сімтра), тестування стабільності:</w:t>
            </w:r>
            <w:r>
              <w:rPr>
                <w:rFonts w:ascii="Arial" w:hAnsi="Arial" w:cs="Arial"/>
                <w:color w:val="000000"/>
                <w:sz w:val="16"/>
                <w:szCs w:val="16"/>
              </w:rPr>
              <w:br/>
              <w:t xml:space="preserve">Мерк Шарп і Доум ЛЛС, США </w:t>
            </w:r>
            <w:r>
              <w:rPr>
                <w:rFonts w:ascii="Arial" w:hAnsi="Arial" w:cs="Arial"/>
                <w:color w:val="000000"/>
                <w:sz w:val="16"/>
                <w:szCs w:val="16"/>
              </w:rPr>
              <w:br/>
            </w:r>
            <w:r>
              <w:rPr>
                <w:rFonts w:ascii="Arial" w:hAnsi="Arial" w:cs="Arial"/>
                <w:color w:val="000000"/>
                <w:sz w:val="16"/>
                <w:szCs w:val="16"/>
              </w:rPr>
              <w:br/>
              <w:t xml:space="preserve">виробництво: формуляція, наповнення та первинне пакування </w:t>
            </w:r>
            <w:r>
              <w:rPr>
                <w:rFonts w:ascii="Arial" w:hAnsi="Arial" w:cs="Arial"/>
                <w:color w:val="000000"/>
                <w:sz w:val="16"/>
                <w:szCs w:val="16"/>
              </w:rPr>
              <w:lastRenderedPageBreak/>
              <w:t>шприців, тестування при випуску (кінцевогосформульованого балку та шприців, наповнених на дільниці Карлоу), тестування стабільності:</w:t>
            </w:r>
            <w:r>
              <w:rPr>
                <w:rFonts w:ascii="Arial" w:hAnsi="Arial" w:cs="Arial"/>
                <w:color w:val="000000"/>
                <w:sz w:val="16"/>
                <w:szCs w:val="16"/>
              </w:rPr>
              <w:br/>
              <w:t>МСД Інтернешнл ГмбХ/МСД Ірландія (Карлоу), Ірландiя</w:t>
            </w:r>
            <w:r>
              <w:rPr>
                <w:rFonts w:ascii="Arial" w:hAnsi="Arial" w:cs="Arial"/>
                <w:color w:val="000000"/>
                <w:sz w:val="16"/>
                <w:szCs w:val="16"/>
              </w:rPr>
              <w:br/>
            </w:r>
            <w:r>
              <w:rPr>
                <w:rFonts w:ascii="Arial" w:hAnsi="Arial" w:cs="Arial"/>
                <w:color w:val="000000"/>
                <w:sz w:val="16"/>
                <w:szCs w:val="16"/>
              </w:rPr>
              <w:br/>
              <w:t>маркування та вторинне пакування:</w:t>
            </w:r>
            <w:r>
              <w:rPr>
                <w:rFonts w:ascii="Arial" w:hAnsi="Arial" w:cs="Arial"/>
                <w:color w:val="000000"/>
                <w:sz w:val="16"/>
                <w:szCs w:val="16"/>
              </w:rPr>
              <w:br/>
              <w:t xml:space="preserve">Рові Фарма Індастріал Сервісес, С.А., Іспанiя </w:t>
            </w:r>
            <w:r>
              <w:rPr>
                <w:rFonts w:ascii="Arial" w:hAnsi="Arial" w:cs="Arial"/>
                <w:color w:val="000000"/>
                <w:sz w:val="16"/>
                <w:szCs w:val="16"/>
              </w:rPr>
              <w:br/>
            </w:r>
          </w:p>
        </w:tc>
        <w:tc>
          <w:tcPr>
            <w:tcW w:w="1276" w:type="dxa"/>
            <w:shd w:val="clear" w:color="auto" w:fill="FFFFFF"/>
          </w:tcPr>
          <w:p w:rsidR="00435C13" w:rsidRDefault="00435C13" w:rsidP="00264E9E">
            <w:pPr>
              <w:spacing w:line="240" w:lineRule="auto"/>
              <w:jc w:val="center"/>
            </w:pPr>
            <w:r>
              <w:rPr>
                <w:rFonts w:ascii="Arial" w:hAnsi="Arial" w:cs="Arial"/>
                <w:color w:val="000000"/>
                <w:sz w:val="16"/>
                <w:szCs w:val="16"/>
              </w:rPr>
              <w:lastRenderedPageBreak/>
              <w:t>США</w:t>
            </w:r>
            <w:r>
              <w:rPr>
                <w:rFonts w:ascii="Arial" w:hAnsi="Arial" w:cs="Arial"/>
                <w:color w:val="000000"/>
                <w:sz w:val="16"/>
                <w:szCs w:val="16"/>
                <w:lang w:val="uk-UA"/>
              </w:rPr>
              <w:t>/</w:t>
            </w:r>
            <w:r>
              <w:rPr>
                <w:rFonts w:ascii="Arial" w:hAnsi="Arial" w:cs="Arial"/>
                <w:color w:val="000000"/>
                <w:sz w:val="16"/>
                <w:szCs w:val="16"/>
              </w:rPr>
              <w:t>Нідерланди</w:t>
            </w:r>
            <w:r>
              <w:rPr>
                <w:rFonts w:ascii="Arial" w:hAnsi="Arial" w:cs="Arial"/>
                <w:color w:val="000000"/>
                <w:sz w:val="16"/>
                <w:szCs w:val="16"/>
                <w:lang w:val="uk-UA"/>
              </w:rPr>
              <w:t>/</w:t>
            </w:r>
            <w:r>
              <w:rPr>
                <w:rFonts w:ascii="Arial" w:hAnsi="Arial" w:cs="Arial"/>
                <w:color w:val="000000"/>
                <w:sz w:val="16"/>
                <w:szCs w:val="16"/>
              </w:rPr>
              <w:t>Ірландiя</w:t>
            </w:r>
            <w:r>
              <w:rPr>
                <w:rFonts w:ascii="Arial" w:hAnsi="Arial" w:cs="Arial"/>
                <w:color w:val="000000"/>
                <w:sz w:val="16"/>
                <w:szCs w:val="16"/>
                <w:lang w:val="uk-UA"/>
              </w:rPr>
              <w:t>/</w:t>
            </w:r>
            <w:r>
              <w:rPr>
                <w:rFonts w:ascii="Arial" w:hAnsi="Arial" w:cs="Arial"/>
                <w:color w:val="000000"/>
                <w:sz w:val="16"/>
                <w:szCs w:val="16"/>
              </w:rPr>
              <w:t>Іспанiя</w:t>
            </w:r>
          </w:p>
          <w:p w:rsidR="00435C13" w:rsidRPr="00435C13" w:rsidRDefault="00435C13" w:rsidP="00264E9E">
            <w:pPr>
              <w:pStyle w:val="a3"/>
              <w:tabs>
                <w:tab w:val="left" w:pos="12600"/>
              </w:tabs>
              <w:jc w:val="center"/>
              <w:rPr>
                <w:rFonts w:ascii="Arial" w:hAnsi="Arial" w:cs="Arial"/>
                <w:color w:val="000000"/>
                <w:sz w:val="16"/>
                <w:szCs w:val="16"/>
                <w:lang w:val="uk-UA"/>
              </w:rPr>
            </w:pPr>
          </w:p>
        </w:tc>
        <w:tc>
          <w:tcPr>
            <w:tcW w:w="1559"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t>A.5.b, IA To change in the name of the site responsible for manufacturing and release testing (endotoxin and sterility only) from Baxter Pharmaceutical Solutions LLC (927 South Curry Pike, Bloomington, Indiana 47403, USA), to Simtra US LLC, USA/ Тhe address remains unchanged.</w:t>
            </w:r>
          </w:p>
        </w:tc>
        <w:tc>
          <w:tcPr>
            <w:tcW w:w="1134" w:type="dxa"/>
            <w:shd w:val="clear" w:color="auto" w:fill="FFFFFF"/>
          </w:tcPr>
          <w:p w:rsidR="00435C13" w:rsidRDefault="00435C13" w:rsidP="00435C13">
            <w:pPr>
              <w:pStyle w:val="a3"/>
              <w:tabs>
                <w:tab w:val="left" w:pos="12600"/>
              </w:tabs>
              <w:ind w:left="-185"/>
              <w:jc w:val="center"/>
              <w:rPr>
                <w:rFonts w:ascii="Arial" w:hAnsi="Arial" w:cs="Arial"/>
                <w:i/>
                <w:sz w:val="16"/>
                <w:szCs w:val="16"/>
              </w:rPr>
            </w:pPr>
            <w:r>
              <w:rPr>
                <w:rFonts w:ascii="Arial" w:hAnsi="Arial" w:cs="Arial"/>
                <w:i/>
                <w:sz w:val="16"/>
                <w:szCs w:val="16"/>
              </w:rPr>
              <w:t xml:space="preserve">за </w:t>
            </w:r>
          </w:p>
          <w:p w:rsidR="00435C13" w:rsidRDefault="00435C13" w:rsidP="00435C13">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435C13" w:rsidRDefault="00435C13" w:rsidP="00435C13">
            <w:pPr>
              <w:pStyle w:val="a3"/>
              <w:tabs>
                <w:tab w:val="left" w:pos="12600"/>
              </w:tabs>
              <w:jc w:val="center"/>
              <w:rPr>
                <w:rFonts w:ascii="Arial" w:hAnsi="Arial" w:cs="Arial"/>
                <w:sz w:val="16"/>
                <w:szCs w:val="16"/>
              </w:rPr>
            </w:pPr>
            <w:r>
              <w:rPr>
                <w:rFonts w:ascii="Arial" w:hAnsi="Arial" w:cs="Arial"/>
                <w:sz w:val="16"/>
                <w:szCs w:val="16"/>
              </w:rPr>
              <w:t>UA/20128/01/01</w:t>
            </w:r>
          </w:p>
        </w:tc>
      </w:tr>
      <w:tr w:rsidR="00435C13" w:rsidRPr="005E45F4" w:rsidTr="0031127C">
        <w:trPr>
          <w:trHeight w:val="433"/>
        </w:trPr>
        <w:tc>
          <w:tcPr>
            <w:tcW w:w="561" w:type="dxa"/>
            <w:tcBorders>
              <w:right w:val="single" w:sz="4" w:space="0" w:color="auto"/>
            </w:tcBorders>
            <w:shd w:val="clear" w:color="auto" w:fill="FFFFFF"/>
          </w:tcPr>
          <w:p w:rsidR="00435C13" w:rsidRPr="005E45F4" w:rsidRDefault="00435C13" w:rsidP="00435C1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35C13" w:rsidRDefault="00435C13" w:rsidP="00435C13">
            <w:pPr>
              <w:pStyle w:val="a3"/>
              <w:tabs>
                <w:tab w:val="left" w:pos="12600"/>
              </w:tabs>
              <w:rPr>
                <w:rFonts w:ascii="Arial" w:hAnsi="Arial" w:cs="Arial"/>
                <w:b/>
                <w:i/>
                <w:color w:val="000000"/>
                <w:sz w:val="16"/>
                <w:szCs w:val="16"/>
                <w:lang w:val="uk-UA"/>
              </w:rPr>
            </w:pPr>
            <w:r>
              <w:rPr>
                <w:rFonts w:ascii="Arial" w:hAnsi="Arial" w:cs="Arial"/>
                <w:b/>
                <w:sz w:val="16"/>
                <w:szCs w:val="16"/>
              </w:rPr>
              <w:t>ПАКСЛОВІД</w:t>
            </w:r>
          </w:p>
        </w:tc>
        <w:tc>
          <w:tcPr>
            <w:tcW w:w="1134" w:type="dxa"/>
            <w:shd w:val="clear" w:color="auto" w:fill="auto"/>
          </w:tcPr>
          <w:p w:rsidR="00435C13" w:rsidRDefault="00435C13" w:rsidP="00192342">
            <w:pPr>
              <w:pStyle w:val="a3"/>
              <w:tabs>
                <w:tab w:val="left" w:pos="12600"/>
              </w:tabs>
              <w:rPr>
                <w:rFonts w:ascii="Arial" w:hAnsi="Arial" w:cs="Arial"/>
                <w:color w:val="000000"/>
                <w:sz w:val="16"/>
                <w:szCs w:val="16"/>
              </w:rPr>
            </w:pPr>
            <w:r w:rsidRPr="00435C13">
              <w:rPr>
                <w:rFonts w:ascii="Arial" w:hAnsi="Arial" w:cs="Arial"/>
                <w:color w:val="000000"/>
                <w:sz w:val="16"/>
                <w:szCs w:val="16"/>
              </w:rPr>
              <w:t>Nirmatrelvir and ritonavir</w:t>
            </w:r>
          </w:p>
        </w:tc>
        <w:tc>
          <w:tcPr>
            <w:tcW w:w="993" w:type="dxa"/>
            <w:shd w:val="clear" w:color="auto" w:fill="FFFFFF"/>
          </w:tcPr>
          <w:p w:rsidR="00435C13" w:rsidRDefault="00435C13" w:rsidP="00192342">
            <w:pPr>
              <w:pStyle w:val="a3"/>
              <w:tabs>
                <w:tab w:val="left" w:pos="12600"/>
              </w:tabs>
              <w:rPr>
                <w:rFonts w:ascii="Arial" w:hAnsi="Arial" w:cs="Arial"/>
                <w:color w:val="000000"/>
                <w:sz w:val="16"/>
                <w:szCs w:val="16"/>
              </w:rPr>
            </w:pPr>
            <w:r>
              <w:rPr>
                <w:rFonts w:ascii="Arial" w:hAnsi="Arial" w:cs="Arial"/>
                <w:color w:val="000000"/>
                <w:sz w:val="16"/>
                <w:szCs w:val="16"/>
              </w:rPr>
              <w:t xml:space="preserve">нірматрелвір, ритонавір </w:t>
            </w:r>
          </w:p>
        </w:tc>
        <w:tc>
          <w:tcPr>
            <w:tcW w:w="708"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t>J05AE30</w:t>
            </w:r>
          </w:p>
        </w:tc>
        <w:tc>
          <w:tcPr>
            <w:tcW w:w="1843" w:type="dxa"/>
            <w:shd w:val="clear" w:color="auto" w:fill="FFFFFF"/>
          </w:tcPr>
          <w:p w:rsidR="00435C13" w:rsidRDefault="00435C13" w:rsidP="00192342">
            <w:pPr>
              <w:pStyle w:val="a3"/>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 по 6 таблеток, вкритих плівковою оболонкою, по 150 мг та по 5 таблеток, </w:t>
            </w:r>
            <w:r>
              <w:rPr>
                <w:rFonts w:ascii="Arial" w:hAnsi="Arial" w:cs="Arial"/>
                <w:color w:val="000000"/>
                <w:sz w:val="16"/>
                <w:szCs w:val="16"/>
              </w:rPr>
              <w:lastRenderedPageBreak/>
              <w:t>вкритих плівковою оболонкою, по 100 мг у блістері, по 1 блістеру у картонній коробці</w:t>
            </w:r>
          </w:p>
        </w:tc>
        <w:tc>
          <w:tcPr>
            <w:tcW w:w="1276"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lastRenderedPageBreak/>
              <w:t>Пфайзер Ейч.Сі.Пі. Корпорейшн</w:t>
            </w:r>
            <w:r>
              <w:rPr>
                <w:rFonts w:ascii="Arial" w:hAnsi="Arial" w:cs="Arial"/>
                <w:color w:val="000000"/>
                <w:sz w:val="16"/>
                <w:szCs w:val="16"/>
              </w:rPr>
              <w:br/>
            </w:r>
          </w:p>
        </w:tc>
        <w:tc>
          <w:tcPr>
            <w:tcW w:w="992" w:type="dxa"/>
            <w:shd w:val="clear" w:color="auto" w:fill="FFFFFF"/>
          </w:tcPr>
          <w:p w:rsidR="00435C13" w:rsidRPr="00435C13" w:rsidRDefault="00435C13" w:rsidP="00435C13">
            <w:pPr>
              <w:pStyle w:val="a3"/>
              <w:tabs>
                <w:tab w:val="left" w:pos="12600"/>
              </w:tabs>
              <w:jc w:val="center"/>
              <w:rPr>
                <w:rFonts w:ascii="Arial" w:hAnsi="Arial" w:cs="Arial"/>
                <w:color w:val="000000"/>
                <w:sz w:val="16"/>
                <w:szCs w:val="16"/>
                <w:lang w:val="ru-RU"/>
              </w:rPr>
            </w:pPr>
            <w:r w:rsidRPr="00435C13">
              <w:rPr>
                <w:rFonts w:ascii="Arial" w:hAnsi="Arial" w:cs="Arial"/>
                <w:color w:val="000000"/>
                <w:sz w:val="16"/>
                <w:szCs w:val="16"/>
                <w:lang w:val="ru-RU"/>
              </w:rPr>
              <w:t>США</w:t>
            </w:r>
          </w:p>
        </w:tc>
        <w:tc>
          <w:tcPr>
            <w:tcW w:w="1559" w:type="dxa"/>
            <w:shd w:val="clear" w:color="auto" w:fill="FFFFFF"/>
          </w:tcPr>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i/>
                <w:sz w:val="16"/>
                <w:szCs w:val="16"/>
                <w:lang w:val="ru-RU"/>
              </w:rPr>
              <w:t>таблетки нірматрелвір:</w:t>
            </w:r>
            <w:r w:rsidRPr="00552858">
              <w:rPr>
                <w:rFonts w:ascii="Arial" w:hAnsi="Arial" w:cs="Arial"/>
                <w:sz w:val="16"/>
                <w:szCs w:val="16"/>
                <w:lang w:val="ru-RU"/>
              </w:rPr>
              <w:br/>
              <w:t>виробництво, первинне пакування, вторинне пакування, реліз/тестування контролю якості серії, маркування, випуск серії, стабільність:</w:t>
            </w:r>
            <w:r w:rsidRPr="00552858">
              <w:rPr>
                <w:rFonts w:ascii="Arial" w:hAnsi="Arial" w:cs="Arial"/>
                <w:sz w:val="16"/>
                <w:szCs w:val="16"/>
                <w:lang w:val="ru-RU"/>
              </w:rPr>
              <w:br/>
              <w:t>Пфайзер Менюфекчуринг Дойчленд ГмбХ, Німеччина;</w:t>
            </w:r>
            <w:r w:rsidRPr="00552858">
              <w:rPr>
                <w:rFonts w:ascii="Arial" w:hAnsi="Arial" w:cs="Arial"/>
                <w:sz w:val="16"/>
                <w:szCs w:val="16"/>
                <w:lang w:val="ru-RU"/>
              </w:rPr>
              <w:br/>
              <w:t xml:space="preserve">виробництво, первинне </w:t>
            </w:r>
            <w:r w:rsidRPr="00552858">
              <w:rPr>
                <w:rFonts w:ascii="Arial" w:hAnsi="Arial" w:cs="Arial"/>
                <w:sz w:val="16"/>
                <w:szCs w:val="16"/>
                <w:lang w:val="ru-RU"/>
              </w:rPr>
              <w:lastRenderedPageBreak/>
              <w:t>пакування, вторинне пакування, реліз/тестування контролю якості серії, маркування, випуск серії, стабільність:</w:t>
            </w:r>
            <w:r w:rsidRPr="00552858">
              <w:rPr>
                <w:rFonts w:ascii="Arial" w:hAnsi="Arial" w:cs="Arial"/>
                <w:sz w:val="16"/>
                <w:szCs w:val="16"/>
                <w:lang w:val="ru-RU"/>
              </w:rPr>
              <w:br/>
              <w:t>Пфайзер Ірландія Фармасьютікалз, Ірландія;</w:t>
            </w:r>
            <w:r w:rsidRPr="00552858">
              <w:rPr>
                <w:rFonts w:ascii="Arial" w:hAnsi="Arial" w:cs="Arial"/>
                <w:sz w:val="16"/>
                <w:szCs w:val="16"/>
                <w:lang w:val="ru-RU"/>
              </w:rPr>
              <w:br/>
              <w:t>виробництво, первинне пакування, вторинне пакування, випуск/тестування контролю якості серії, маркування, випуск серії, стабільність:</w:t>
            </w:r>
            <w:r w:rsidRPr="00552858">
              <w:rPr>
                <w:rFonts w:ascii="Arial" w:hAnsi="Arial" w:cs="Arial"/>
                <w:sz w:val="16"/>
                <w:szCs w:val="16"/>
                <w:lang w:val="ru-RU"/>
              </w:rPr>
              <w:br/>
              <w:t>Пфайзер Італія С.р.л., Італія;</w:t>
            </w:r>
            <w:r w:rsidRPr="00552858">
              <w:rPr>
                <w:rFonts w:ascii="Arial" w:hAnsi="Arial" w:cs="Arial"/>
                <w:sz w:val="16"/>
                <w:szCs w:val="16"/>
                <w:lang w:val="ru-RU"/>
              </w:rPr>
              <w:br/>
              <w:t>тестування стабільності:</w:t>
            </w:r>
            <w:r w:rsidRPr="00552858">
              <w:rPr>
                <w:rFonts w:ascii="Arial" w:hAnsi="Arial" w:cs="Arial"/>
                <w:sz w:val="16"/>
                <w:szCs w:val="16"/>
                <w:lang w:val="ru-RU"/>
              </w:rPr>
              <w:br/>
              <w:t>Пфайзер Інк., США;</w:t>
            </w:r>
            <w:r w:rsidRPr="00552858">
              <w:rPr>
                <w:rFonts w:ascii="Arial" w:hAnsi="Arial" w:cs="Arial"/>
                <w:sz w:val="16"/>
                <w:szCs w:val="16"/>
                <w:lang w:val="ru-RU"/>
              </w:rPr>
              <w:br/>
            </w:r>
            <w:r w:rsidRPr="00552858">
              <w:rPr>
                <w:rFonts w:ascii="Arial" w:hAnsi="Arial" w:cs="Arial"/>
                <w:i/>
                <w:sz w:val="16"/>
                <w:szCs w:val="16"/>
                <w:lang w:val="ru-RU"/>
              </w:rPr>
              <w:t>таблетки ритонавір:</w:t>
            </w:r>
            <w:r w:rsidRPr="00552858">
              <w:rPr>
                <w:rFonts w:ascii="Arial" w:hAnsi="Arial" w:cs="Arial"/>
                <w:sz w:val="16"/>
                <w:szCs w:val="16"/>
                <w:lang w:val="ru-RU"/>
              </w:rPr>
              <w:br/>
              <w:t xml:space="preserve">виробництво </w:t>
            </w:r>
            <w:r w:rsidRPr="00552858">
              <w:rPr>
                <w:rFonts w:ascii="Arial" w:hAnsi="Arial" w:cs="Arial"/>
                <w:sz w:val="16"/>
                <w:szCs w:val="16"/>
              </w:rPr>
              <w:t>in</w:t>
            </w:r>
            <w:r w:rsidRPr="00552858">
              <w:rPr>
                <w:rFonts w:ascii="Arial" w:hAnsi="Arial" w:cs="Arial"/>
                <w:sz w:val="16"/>
                <w:szCs w:val="16"/>
                <w:lang w:val="ru-RU"/>
              </w:rPr>
              <w:t xml:space="preserve"> </w:t>
            </w:r>
            <w:r w:rsidRPr="00552858">
              <w:rPr>
                <w:rFonts w:ascii="Arial" w:hAnsi="Arial" w:cs="Arial"/>
                <w:sz w:val="16"/>
                <w:szCs w:val="16"/>
              </w:rPr>
              <w:t>bulk</w:t>
            </w:r>
            <w:r w:rsidRPr="00552858">
              <w:rPr>
                <w:rFonts w:ascii="Arial" w:hAnsi="Arial" w:cs="Arial"/>
                <w:sz w:val="16"/>
                <w:szCs w:val="16"/>
                <w:lang w:val="ru-RU"/>
              </w:rPr>
              <w:t xml:space="preserve">, тестування і випуск </w:t>
            </w:r>
            <w:r w:rsidRPr="00552858">
              <w:rPr>
                <w:rFonts w:ascii="Arial" w:hAnsi="Arial" w:cs="Arial"/>
                <w:sz w:val="16"/>
                <w:szCs w:val="16"/>
              </w:rPr>
              <w:t>in</w:t>
            </w:r>
            <w:r w:rsidRPr="00552858">
              <w:rPr>
                <w:rFonts w:ascii="Arial" w:hAnsi="Arial" w:cs="Arial"/>
                <w:sz w:val="16"/>
                <w:szCs w:val="16"/>
                <w:lang w:val="ru-RU"/>
              </w:rPr>
              <w:t xml:space="preserve"> </w:t>
            </w:r>
            <w:r w:rsidRPr="00552858">
              <w:rPr>
                <w:rFonts w:ascii="Arial" w:hAnsi="Arial" w:cs="Arial"/>
                <w:sz w:val="16"/>
                <w:szCs w:val="16"/>
              </w:rPr>
              <w:t>bulk</w:t>
            </w:r>
            <w:r w:rsidRPr="00552858">
              <w:rPr>
                <w:rFonts w:ascii="Arial" w:hAnsi="Arial" w:cs="Arial"/>
                <w:sz w:val="16"/>
                <w:szCs w:val="16"/>
                <w:lang w:val="ru-RU"/>
              </w:rPr>
              <w:t>:</w:t>
            </w:r>
            <w:r w:rsidRPr="00552858">
              <w:rPr>
                <w:rFonts w:ascii="Arial" w:hAnsi="Arial" w:cs="Arial"/>
                <w:sz w:val="16"/>
                <w:szCs w:val="16"/>
                <w:lang w:val="ru-RU"/>
              </w:rPr>
              <w:br/>
              <w:t>Хетеро Лабс Лімітед, Індія;</w:t>
            </w:r>
            <w:r w:rsidRPr="00552858">
              <w:rPr>
                <w:rFonts w:ascii="Arial" w:hAnsi="Arial" w:cs="Arial"/>
                <w:sz w:val="16"/>
                <w:szCs w:val="16"/>
                <w:lang w:val="ru-RU"/>
              </w:rPr>
              <w:br/>
              <w:t>премікс ритонавіру:</w:t>
            </w:r>
            <w:r w:rsidRPr="00552858">
              <w:rPr>
                <w:rFonts w:ascii="Arial" w:hAnsi="Arial" w:cs="Arial"/>
                <w:sz w:val="16"/>
                <w:szCs w:val="16"/>
                <w:lang w:val="ru-RU"/>
              </w:rPr>
              <w:br/>
              <w:t>Хетеро Драгс Лімітед, Індія;</w:t>
            </w:r>
            <w:r w:rsidRPr="00552858">
              <w:rPr>
                <w:rFonts w:ascii="Arial" w:hAnsi="Arial" w:cs="Arial"/>
                <w:sz w:val="16"/>
                <w:szCs w:val="16"/>
                <w:lang w:val="ru-RU"/>
              </w:rPr>
              <w:br/>
              <w:t>первинне пакування, вторинне пакування, маркування, випуск/тестування контролю якості, випуск серії, стабільність:</w:t>
            </w:r>
            <w:r w:rsidRPr="00552858">
              <w:rPr>
                <w:rFonts w:ascii="Arial" w:hAnsi="Arial" w:cs="Arial"/>
                <w:sz w:val="16"/>
                <w:szCs w:val="16"/>
                <w:lang w:val="ru-RU"/>
              </w:rPr>
              <w:br/>
              <w:t>Пфайзер Менюфекчуринг Дойчленд ГмбХ, Німеччина;</w:t>
            </w:r>
            <w:r w:rsidRPr="00552858">
              <w:rPr>
                <w:rFonts w:ascii="Arial" w:hAnsi="Arial" w:cs="Arial"/>
                <w:sz w:val="16"/>
                <w:szCs w:val="16"/>
                <w:lang w:val="ru-RU"/>
              </w:rPr>
              <w:br/>
              <w:t>первинне пакування, вторинне пакування, маркування, випуск/тестування контролю якості, випуск серії, стабільність:</w:t>
            </w:r>
            <w:r w:rsidRPr="00552858">
              <w:rPr>
                <w:rFonts w:ascii="Arial" w:hAnsi="Arial" w:cs="Arial"/>
                <w:sz w:val="16"/>
                <w:szCs w:val="16"/>
                <w:lang w:val="ru-RU"/>
              </w:rPr>
              <w:br/>
              <w:t>Пфайзер Італія С.р.л., Італія;</w:t>
            </w:r>
            <w:r w:rsidRPr="00552858">
              <w:rPr>
                <w:rFonts w:ascii="Arial" w:hAnsi="Arial" w:cs="Arial"/>
                <w:sz w:val="16"/>
                <w:szCs w:val="16"/>
                <w:lang w:val="ru-RU"/>
              </w:rPr>
              <w:br/>
              <w:t>первинне пакування, вторинне пакування, маркування, випуск серії:</w:t>
            </w:r>
            <w:r w:rsidRPr="00552858">
              <w:rPr>
                <w:rFonts w:ascii="Arial" w:hAnsi="Arial" w:cs="Arial"/>
                <w:sz w:val="16"/>
                <w:szCs w:val="16"/>
                <w:lang w:val="ru-RU"/>
              </w:rPr>
              <w:br/>
              <w:t>Пфайзер Ірландія Фармасьютікалз, Ірландія;</w:t>
            </w:r>
            <w:r w:rsidRPr="00552858">
              <w:rPr>
                <w:rFonts w:ascii="Arial" w:hAnsi="Arial" w:cs="Arial"/>
                <w:sz w:val="16"/>
                <w:szCs w:val="16"/>
                <w:lang w:val="ru-RU"/>
              </w:rPr>
              <w:br/>
              <w:t xml:space="preserve">тестування і випуск </w:t>
            </w:r>
            <w:r w:rsidRPr="00552858">
              <w:rPr>
                <w:rFonts w:ascii="Arial" w:hAnsi="Arial" w:cs="Arial"/>
                <w:sz w:val="16"/>
                <w:szCs w:val="16"/>
              </w:rPr>
              <w:t>in</w:t>
            </w:r>
            <w:r w:rsidRPr="00552858">
              <w:rPr>
                <w:rFonts w:ascii="Arial" w:hAnsi="Arial" w:cs="Arial"/>
                <w:sz w:val="16"/>
                <w:szCs w:val="16"/>
                <w:lang w:val="ru-RU"/>
              </w:rPr>
              <w:t xml:space="preserve"> </w:t>
            </w:r>
            <w:r w:rsidRPr="00552858">
              <w:rPr>
                <w:rFonts w:ascii="Arial" w:hAnsi="Arial" w:cs="Arial"/>
                <w:sz w:val="16"/>
                <w:szCs w:val="16"/>
              </w:rPr>
              <w:t>bulk</w:t>
            </w:r>
            <w:r w:rsidRPr="00552858">
              <w:rPr>
                <w:rFonts w:ascii="Arial" w:hAnsi="Arial" w:cs="Arial"/>
                <w:sz w:val="16"/>
                <w:szCs w:val="16"/>
                <w:lang w:val="ru-RU"/>
              </w:rPr>
              <w:t>:</w:t>
            </w:r>
            <w:r w:rsidRPr="00552858">
              <w:rPr>
                <w:rFonts w:ascii="Arial" w:hAnsi="Arial" w:cs="Arial"/>
                <w:sz w:val="16"/>
                <w:szCs w:val="16"/>
                <w:lang w:val="ru-RU"/>
              </w:rPr>
              <w:br/>
              <w:t>Фармадокс Хелскеар Лтд., Мальта;</w:t>
            </w:r>
            <w:r w:rsidRPr="00552858">
              <w:rPr>
                <w:rFonts w:ascii="Arial" w:hAnsi="Arial" w:cs="Arial"/>
                <w:sz w:val="16"/>
                <w:szCs w:val="16"/>
                <w:lang w:val="ru-RU"/>
              </w:rPr>
              <w:br/>
              <w:t>тестування і стабільність:</w:t>
            </w:r>
            <w:r w:rsidRPr="00552858">
              <w:rPr>
                <w:rFonts w:ascii="Arial" w:hAnsi="Arial" w:cs="Arial"/>
                <w:sz w:val="16"/>
                <w:szCs w:val="16"/>
                <w:lang w:val="ru-RU"/>
              </w:rPr>
              <w:br/>
              <w:t>Пфайзер Інк., США</w:t>
            </w:r>
          </w:p>
        </w:tc>
        <w:tc>
          <w:tcPr>
            <w:tcW w:w="1276" w:type="dxa"/>
            <w:shd w:val="clear" w:color="auto" w:fill="FFFFFF"/>
          </w:tcPr>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sz w:val="16"/>
                <w:szCs w:val="16"/>
                <w:lang w:val="ru-RU"/>
              </w:rPr>
              <w:lastRenderedPageBreak/>
              <w:t>Німеччина/</w:t>
            </w:r>
          </w:p>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sz w:val="16"/>
                <w:szCs w:val="16"/>
                <w:lang w:val="ru-RU"/>
              </w:rPr>
              <w:t>Ірландія/</w:t>
            </w:r>
          </w:p>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sz w:val="16"/>
                <w:szCs w:val="16"/>
                <w:lang w:val="ru-RU"/>
              </w:rPr>
              <w:t>Італія/</w:t>
            </w:r>
          </w:p>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sz w:val="16"/>
                <w:szCs w:val="16"/>
                <w:lang w:val="ru-RU"/>
              </w:rPr>
              <w:t>США/</w:t>
            </w:r>
          </w:p>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sz w:val="16"/>
                <w:szCs w:val="16"/>
                <w:lang w:val="ru-RU"/>
              </w:rPr>
              <w:t>Індія/</w:t>
            </w:r>
          </w:p>
          <w:p w:rsidR="00435C13" w:rsidRPr="00552858" w:rsidRDefault="00435C13" w:rsidP="00435C13">
            <w:pPr>
              <w:pStyle w:val="a3"/>
              <w:tabs>
                <w:tab w:val="left" w:pos="12600"/>
              </w:tabs>
              <w:jc w:val="center"/>
              <w:rPr>
                <w:rFonts w:ascii="Arial" w:hAnsi="Arial" w:cs="Arial"/>
                <w:sz w:val="16"/>
                <w:szCs w:val="16"/>
                <w:lang w:val="ru-RU"/>
              </w:rPr>
            </w:pPr>
            <w:r w:rsidRPr="00552858">
              <w:rPr>
                <w:rFonts w:ascii="Arial" w:hAnsi="Arial" w:cs="Arial"/>
                <w:sz w:val="16"/>
                <w:szCs w:val="16"/>
                <w:lang w:val="ru-RU"/>
              </w:rPr>
              <w:t>Мальта</w:t>
            </w:r>
          </w:p>
        </w:tc>
        <w:tc>
          <w:tcPr>
            <w:tcW w:w="1559" w:type="dxa"/>
            <w:shd w:val="clear" w:color="auto" w:fill="FFFFFF"/>
          </w:tcPr>
          <w:p w:rsidR="00435C13" w:rsidRDefault="00435C13" w:rsidP="00435C13">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1) Type IB, B.II.e.5.a.2 - Change in pack size of the finished product - Change in the number of units (e.g. tablets, ampoules, etc.) in a pack - Change outside the range of the currently approved pack sizes - To introduce a new pack size for a 5-day regimen blister card of 11 tablets, specific to severe renal </w:t>
            </w:r>
            <w:r>
              <w:rPr>
                <w:rFonts w:ascii="Arial" w:hAnsi="Arial" w:cs="Arial"/>
                <w:color w:val="000000"/>
                <w:sz w:val="16"/>
                <w:szCs w:val="16"/>
              </w:rPr>
              <w:lastRenderedPageBreak/>
              <w:t xml:space="preserve">impairment. Оновлення розділу «Упаковка» інструкції для медичного застосування лікарського засобу, методів контролю якості та оновлення тексту маркування у зв’язку із додаванням нової упаковки № 11 для пацієнтів із нирковою недостатністю. </w:t>
            </w:r>
            <w:r w:rsidRPr="00435C13">
              <w:rPr>
                <w:rFonts w:ascii="Arial" w:hAnsi="Arial" w:cs="Arial"/>
                <w:color w:val="000000"/>
                <w:sz w:val="16"/>
                <w:szCs w:val="16"/>
                <w:lang w:val="ru-RU"/>
              </w:rPr>
              <w:t>Незначні редакційні правки у тексті інструкції до розділу, до якого вносяться зміни, а саме зміна слова «упаковка» на «коробка» та додавання 1 коми з метою узгодження тексту в методах контролю якості та реєстраційному посвідченні.</w:t>
            </w:r>
            <w:r w:rsidRPr="00435C13">
              <w:rPr>
                <w:rFonts w:ascii="Arial" w:hAnsi="Arial" w:cs="Arial"/>
                <w:color w:val="000000"/>
                <w:sz w:val="16"/>
                <w:szCs w:val="16"/>
                <w:lang w:val="ru-RU"/>
              </w:rPr>
              <w:br/>
            </w:r>
            <w:r>
              <w:rPr>
                <w:rFonts w:ascii="Arial" w:hAnsi="Arial" w:cs="Arial"/>
                <w:color w:val="000000"/>
                <w:sz w:val="16"/>
                <w:szCs w:val="16"/>
              </w:rPr>
              <w:t>Введення змін протягом 6 місяців після затвердження.</w:t>
            </w:r>
            <w:r>
              <w:rPr>
                <w:rFonts w:ascii="Arial" w:hAnsi="Arial" w:cs="Arial"/>
                <w:color w:val="000000"/>
                <w:sz w:val="16"/>
                <w:szCs w:val="16"/>
              </w:rPr>
              <w:br/>
              <w:t>2) Type II, C.I.4 - Change(s) in the SPC, Labelling or PL due to new quality, preclinical, clinical or pharmacovigilance - Update of sections 4.2, 4.4, 4.8 and 5.2 of the SmPC in order to provide a new dosingrecommendation in patients with severe renal impairment based on final results from study C4671028; this is a Phase 1, Open-Label, Non-Randomized Study to Investigate the Safety and PK FollowingMultiple Oral Doses of PF-07321332 (Nirmatrelvir)/Ritonavir in Adult Participants With COVID-19 andSevere Renal Impairment Either on Hemodialysis or Not on Hemodialysis. The Package Leaflet andLabelling are updated accordingly. The updated RMP version 3.1 has been approved. Оновлення розділів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«Побічні реакції» інструкції для медичного застосування лікарського засобу з метою оновлення інформації, щодо безпеки застосування Паксловіду у пацієнтів із різними ступенями ниркової недостатності, зокрема помірним та тяжким на основі результатів клінічного дослідження C4671028.</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В межах зміни також було подано та оновлено План управління ризиками до версії 3.1, включаючи окрім вищезазначеного інформацію щодо вагітних жінок (клінічне дослідження C4671037) та інформацію про пацієнтів із тяжкою печінковою недостатністю (клінічне дослідження C4671047). </w:t>
            </w:r>
            <w:r>
              <w:rPr>
                <w:rFonts w:ascii="Arial" w:hAnsi="Arial" w:cs="Arial"/>
                <w:color w:val="000000"/>
                <w:sz w:val="16"/>
                <w:szCs w:val="16"/>
              </w:rPr>
              <w:br/>
              <w:t>Основні зміни, що було внесено до ПУР, 3.1:</w:t>
            </w:r>
            <w:r>
              <w:rPr>
                <w:rFonts w:ascii="Arial" w:hAnsi="Arial" w:cs="Arial"/>
                <w:color w:val="000000"/>
                <w:sz w:val="16"/>
                <w:szCs w:val="16"/>
              </w:rPr>
              <w:br/>
              <w:t>Частина І. Загальна інформація- Додано детальну інформацію про нові блістери ( новий тип упаковки), спеціально розроблені для пацієнтів з тяжкою нирковою недостатністю.</w:t>
            </w:r>
            <w:r>
              <w:rPr>
                <w:rFonts w:ascii="Arial" w:hAnsi="Arial" w:cs="Arial"/>
                <w:color w:val="000000"/>
                <w:sz w:val="16"/>
                <w:szCs w:val="16"/>
              </w:rPr>
              <w:br/>
              <w:t>ЧАСТИНА ІІ. Специфікація з безпеки</w:t>
            </w:r>
            <w:r>
              <w:rPr>
                <w:rFonts w:ascii="Arial" w:hAnsi="Arial" w:cs="Arial"/>
                <w:color w:val="000000"/>
                <w:sz w:val="16"/>
                <w:szCs w:val="16"/>
              </w:rPr>
              <w:br/>
              <w:t>Модуль СI. Епідеміологія показань для застосування та цільова(і) популяція(ї) - Оновлено епідеміологічні дані (включаючи захворюваність, поширеність та існуючі варіанти лікування) .</w:t>
            </w:r>
            <w:r>
              <w:rPr>
                <w:rFonts w:ascii="Arial" w:hAnsi="Arial" w:cs="Arial"/>
                <w:color w:val="000000"/>
                <w:sz w:val="16"/>
                <w:szCs w:val="16"/>
              </w:rPr>
              <w:br/>
              <w:t>Модуль СII. Доклінічна частина специфікації з безпеки - Оновлено доклінічну частину, включаючи найновіші доклінічні вірусологічні дані.</w:t>
            </w:r>
            <w:r>
              <w:rPr>
                <w:rFonts w:ascii="Arial" w:hAnsi="Arial" w:cs="Arial"/>
                <w:color w:val="000000"/>
                <w:sz w:val="16"/>
                <w:szCs w:val="16"/>
              </w:rPr>
              <w:br/>
              <w:t xml:space="preserve">Модуль СIII. </w:t>
            </w:r>
            <w:r w:rsidRPr="00435C13">
              <w:rPr>
                <w:rFonts w:ascii="Arial" w:hAnsi="Arial" w:cs="Arial"/>
                <w:color w:val="000000"/>
                <w:sz w:val="16"/>
                <w:szCs w:val="16"/>
                <w:lang w:val="ru-RU"/>
              </w:rPr>
              <w:t>Експозиція пацієнтів, залучених до клінічних випробувань - Без значних змін</w:t>
            </w:r>
            <w:r w:rsidRPr="00435C13">
              <w:rPr>
                <w:rFonts w:ascii="Arial" w:hAnsi="Arial" w:cs="Arial"/>
                <w:color w:val="000000"/>
                <w:sz w:val="16"/>
                <w:szCs w:val="16"/>
                <w:lang w:val="ru-RU"/>
              </w:rPr>
              <w:br/>
              <w:t>Модуль С</w:t>
            </w:r>
            <w:r>
              <w:rPr>
                <w:rFonts w:ascii="Arial" w:hAnsi="Arial" w:cs="Arial"/>
                <w:color w:val="000000"/>
                <w:sz w:val="16"/>
                <w:szCs w:val="16"/>
              </w:rPr>
              <w:t>IV</w:t>
            </w:r>
            <w:r w:rsidRPr="00435C13">
              <w:rPr>
                <w:rFonts w:ascii="Arial" w:hAnsi="Arial" w:cs="Arial"/>
                <w:color w:val="000000"/>
                <w:sz w:val="16"/>
                <w:szCs w:val="16"/>
                <w:lang w:val="ru-RU"/>
              </w:rPr>
              <w:t>. Популяції, які не вивчались під час клінічних випробувань - Оновлення внесені до Розділу С</w:t>
            </w:r>
            <w:r>
              <w:rPr>
                <w:rFonts w:ascii="Arial" w:hAnsi="Arial" w:cs="Arial"/>
                <w:color w:val="000000"/>
                <w:sz w:val="16"/>
                <w:szCs w:val="16"/>
              </w:rPr>
              <w:t>IV</w:t>
            </w:r>
            <w:r w:rsidRPr="00435C13">
              <w:rPr>
                <w:rFonts w:ascii="Arial" w:hAnsi="Arial" w:cs="Arial"/>
                <w:color w:val="000000"/>
                <w:sz w:val="16"/>
                <w:szCs w:val="16"/>
                <w:lang w:val="ru-RU"/>
              </w:rPr>
              <w:t>.1 та Розділу С</w:t>
            </w:r>
            <w:r>
              <w:rPr>
                <w:rFonts w:ascii="Arial" w:hAnsi="Arial" w:cs="Arial"/>
                <w:color w:val="000000"/>
                <w:sz w:val="16"/>
                <w:szCs w:val="16"/>
              </w:rPr>
              <w:t>IV</w:t>
            </w:r>
            <w:r w:rsidRPr="00435C13">
              <w:rPr>
                <w:rFonts w:ascii="Arial" w:hAnsi="Arial" w:cs="Arial"/>
                <w:color w:val="000000"/>
                <w:sz w:val="16"/>
                <w:szCs w:val="16"/>
                <w:lang w:val="ru-RU"/>
              </w:rPr>
              <w:t>.3 після вилучення пункту «Безпека для пацієнтів з порушенням функції нирок» зі списку проблем з безпеки та оновленої Короткої характеристики лікарського засобу (</w:t>
            </w:r>
            <w:r>
              <w:rPr>
                <w:rFonts w:ascii="Arial" w:hAnsi="Arial" w:cs="Arial"/>
                <w:color w:val="000000"/>
                <w:sz w:val="16"/>
                <w:szCs w:val="16"/>
              </w:rPr>
              <w:t>SmPC</w:t>
            </w:r>
            <w:r w:rsidRPr="00435C13">
              <w:rPr>
                <w:rFonts w:ascii="Arial" w:hAnsi="Arial" w:cs="Arial"/>
                <w:color w:val="000000"/>
                <w:sz w:val="16"/>
                <w:szCs w:val="16"/>
                <w:lang w:val="ru-RU"/>
              </w:rPr>
              <w:t>) з рекомендаціями щодо дозування для пацієнтів з тяжким порушенням функції нирок.</w:t>
            </w:r>
            <w:r w:rsidRPr="00435C13">
              <w:rPr>
                <w:rFonts w:ascii="Arial" w:hAnsi="Arial" w:cs="Arial"/>
                <w:color w:val="000000"/>
                <w:sz w:val="16"/>
                <w:szCs w:val="16"/>
                <w:lang w:val="ru-RU"/>
              </w:rPr>
              <w:br/>
              <w:t>Модуль С</w:t>
            </w:r>
            <w:r>
              <w:rPr>
                <w:rFonts w:ascii="Arial" w:hAnsi="Arial" w:cs="Arial"/>
                <w:color w:val="000000"/>
                <w:sz w:val="16"/>
                <w:szCs w:val="16"/>
              </w:rPr>
              <w:t>V</w:t>
            </w:r>
            <w:r w:rsidRPr="00435C13">
              <w:rPr>
                <w:rFonts w:ascii="Arial" w:hAnsi="Arial" w:cs="Arial"/>
                <w:color w:val="000000"/>
                <w:sz w:val="16"/>
                <w:szCs w:val="16"/>
                <w:lang w:val="ru-RU"/>
              </w:rPr>
              <w:t>. Післяреєстраційний досвід - Включені післяреєстраційні дані із датою закриття бази даних - 30 грудня 2023 року.</w:t>
            </w:r>
            <w:r w:rsidRPr="00435C13">
              <w:rPr>
                <w:rFonts w:ascii="Arial" w:hAnsi="Arial" w:cs="Arial"/>
                <w:color w:val="000000"/>
                <w:sz w:val="16"/>
                <w:szCs w:val="16"/>
                <w:lang w:val="ru-RU"/>
              </w:rPr>
              <w:br/>
              <w:t>Модуль С</w:t>
            </w:r>
            <w:r>
              <w:rPr>
                <w:rFonts w:ascii="Arial" w:hAnsi="Arial" w:cs="Arial"/>
                <w:color w:val="000000"/>
                <w:sz w:val="16"/>
                <w:szCs w:val="16"/>
              </w:rPr>
              <w:t>VI</w:t>
            </w:r>
            <w:r w:rsidRPr="00435C13">
              <w:rPr>
                <w:rFonts w:ascii="Arial" w:hAnsi="Arial" w:cs="Arial"/>
                <w:color w:val="000000"/>
                <w:sz w:val="16"/>
                <w:szCs w:val="16"/>
                <w:lang w:val="ru-RU"/>
              </w:rPr>
              <w:t>. Додаткові вимоги України, ЄС до специфікації з безпеки - Без значних змін</w:t>
            </w:r>
            <w:r w:rsidRPr="00435C13">
              <w:rPr>
                <w:rFonts w:ascii="Arial" w:hAnsi="Arial" w:cs="Arial"/>
                <w:color w:val="000000"/>
                <w:sz w:val="16"/>
                <w:szCs w:val="16"/>
                <w:lang w:val="ru-RU"/>
              </w:rPr>
              <w:br/>
              <w:t>Модуль С</w:t>
            </w:r>
            <w:r>
              <w:rPr>
                <w:rFonts w:ascii="Arial" w:hAnsi="Arial" w:cs="Arial"/>
                <w:color w:val="000000"/>
                <w:sz w:val="16"/>
                <w:szCs w:val="16"/>
              </w:rPr>
              <w:t>VII</w:t>
            </w:r>
            <w:r w:rsidRPr="00435C13">
              <w:rPr>
                <w:rFonts w:ascii="Arial" w:hAnsi="Arial" w:cs="Arial"/>
                <w:color w:val="000000"/>
                <w:sz w:val="16"/>
                <w:szCs w:val="16"/>
                <w:lang w:val="ru-RU"/>
              </w:rPr>
              <w:t>. Ідентифіковані та потенційні ризики - Видалення пункту «Безпека для пацієнтів з нирковою недостатністю» зі списку проблем безпеки щодо відсутньої інформації.</w:t>
            </w:r>
            <w:r w:rsidRPr="00435C13">
              <w:rPr>
                <w:rFonts w:ascii="Arial" w:hAnsi="Arial" w:cs="Arial"/>
                <w:color w:val="000000"/>
                <w:sz w:val="16"/>
                <w:szCs w:val="16"/>
                <w:lang w:val="ru-RU"/>
              </w:rPr>
              <w:br/>
              <w:t>Модуль С</w:t>
            </w:r>
            <w:r>
              <w:rPr>
                <w:rFonts w:ascii="Arial" w:hAnsi="Arial" w:cs="Arial"/>
                <w:color w:val="000000"/>
                <w:sz w:val="16"/>
                <w:szCs w:val="16"/>
              </w:rPr>
              <w:t>VIII</w:t>
            </w:r>
            <w:r w:rsidRPr="00435C13">
              <w:rPr>
                <w:rFonts w:ascii="Arial" w:hAnsi="Arial" w:cs="Arial"/>
                <w:color w:val="000000"/>
                <w:sz w:val="16"/>
                <w:szCs w:val="16"/>
                <w:lang w:val="ru-RU"/>
              </w:rPr>
              <w:t>. Резюме проблем з безпеки - Видалення пункту «Безпека для пацієнтів з нирковою недостатністю» зі списку проблем безпеки щодо відсутньої інформації.</w:t>
            </w:r>
            <w:r w:rsidRPr="00435C13">
              <w:rPr>
                <w:rFonts w:ascii="Arial" w:hAnsi="Arial" w:cs="Arial"/>
                <w:color w:val="000000"/>
                <w:sz w:val="16"/>
                <w:szCs w:val="16"/>
                <w:lang w:val="ru-RU"/>
              </w:rPr>
              <w:br/>
              <w:t xml:space="preserve">ЧАСТИНА </w:t>
            </w:r>
            <w:r>
              <w:rPr>
                <w:rFonts w:ascii="Arial" w:hAnsi="Arial" w:cs="Arial"/>
                <w:color w:val="000000"/>
                <w:sz w:val="16"/>
                <w:szCs w:val="16"/>
              </w:rPr>
              <w:t>III</w:t>
            </w:r>
            <w:r w:rsidRPr="00435C13">
              <w:rPr>
                <w:rFonts w:ascii="Arial" w:hAnsi="Arial" w:cs="Arial"/>
                <w:color w:val="000000"/>
                <w:sz w:val="16"/>
                <w:szCs w:val="16"/>
                <w:lang w:val="ru-RU"/>
              </w:rPr>
              <w:t>. План з фармаконагляду (у тому числі післяреєстраційні дослідження з безпеки) - Оновлено дослідження в рамках Плану фармаконагляду (включаючи деталі дослідження та ключові етапи). Видалено дослідження «Післяреєстраційні дослідження з безпеки (</w:t>
            </w:r>
            <w:r>
              <w:rPr>
                <w:rFonts w:ascii="Arial" w:hAnsi="Arial" w:cs="Arial"/>
                <w:color w:val="000000"/>
                <w:sz w:val="16"/>
                <w:szCs w:val="16"/>
              </w:rPr>
              <w:t>PASS</w:t>
            </w:r>
            <w:r w:rsidRPr="00435C13">
              <w:rPr>
                <w:rFonts w:ascii="Arial" w:hAnsi="Arial" w:cs="Arial"/>
                <w:color w:val="000000"/>
                <w:sz w:val="16"/>
                <w:szCs w:val="16"/>
                <w:lang w:val="ru-RU"/>
              </w:rPr>
              <w:t>-</w:t>
            </w:r>
            <w:r>
              <w:rPr>
                <w:rFonts w:ascii="Arial" w:hAnsi="Arial" w:cs="Arial"/>
                <w:color w:val="000000"/>
                <w:sz w:val="16"/>
                <w:szCs w:val="16"/>
              </w:rPr>
              <w:t>post</w:t>
            </w:r>
            <w:r w:rsidRPr="00435C13">
              <w:rPr>
                <w:rFonts w:ascii="Arial" w:hAnsi="Arial" w:cs="Arial"/>
                <w:color w:val="000000"/>
                <w:sz w:val="16"/>
                <w:szCs w:val="16"/>
                <w:lang w:val="ru-RU"/>
              </w:rPr>
              <w:t>-</w:t>
            </w:r>
            <w:r>
              <w:rPr>
                <w:rFonts w:ascii="Arial" w:hAnsi="Arial" w:cs="Arial"/>
                <w:color w:val="000000"/>
                <w:sz w:val="16"/>
                <w:szCs w:val="16"/>
              </w:rPr>
              <w:t>approval</w:t>
            </w:r>
            <w:r w:rsidRPr="00435C13">
              <w:rPr>
                <w:rFonts w:ascii="Arial" w:hAnsi="Arial" w:cs="Arial"/>
                <w:color w:val="000000"/>
                <w:sz w:val="16"/>
                <w:szCs w:val="16"/>
                <w:lang w:val="ru-RU"/>
              </w:rPr>
              <w:t xml:space="preserve"> </w:t>
            </w:r>
            <w:r>
              <w:rPr>
                <w:rFonts w:ascii="Arial" w:hAnsi="Arial" w:cs="Arial"/>
                <w:color w:val="000000"/>
                <w:sz w:val="16"/>
                <w:szCs w:val="16"/>
              </w:rPr>
              <w:t>safety</w:t>
            </w:r>
            <w:r w:rsidRPr="00435C13">
              <w:rPr>
                <w:rFonts w:ascii="Arial" w:hAnsi="Arial" w:cs="Arial"/>
                <w:color w:val="000000"/>
                <w:sz w:val="16"/>
                <w:szCs w:val="16"/>
                <w:lang w:val="ru-RU"/>
              </w:rPr>
              <w:t xml:space="preserve"> </w:t>
            </w:r>
            <w:r>
              <w:rPr>
                <w:rFonts w:ascii="Arial" w:hAnsi="Arial" w:cs="Arial"/>
                <w:color w:val="000000"/>
                <w:sz w:val="16"/>
                <w:szCs w:val="16"/>
              </w:rPr>
              <w:t>studies</w:t>
            </w:r>
            <w:r w:rsidRPr="00435C13">
              <w:rPr>
                <w:rFonts w:ascii="Arial" w:hAnsi="Arial" w:cs="Arial"/>
                <w:color w:val="000000"/>
                <w:sz w:val="16"/>
                <w:szCs w:val="16"/>
                <w:lang w:val="ru-RU"/>
              </w:rPr>
              <w:t>) при помірній та тяжкій нирковій недостатності».</w:t>
            </w:r>
            <w:r w:rsidRPr="00435C13">
              <w:rPr>
                <w:rFonts w:ascii="Arial" w:hAnsi="Arial" w:cs="Arial"/>
                <w:color w:val="000000"/>
                <w:sz w:val="16"/>
                <w:szCs w:val="16"/>
                <w:lang w:val="ru-RU"/>
              </w:rPr>
              <w:br/>
              <w:t>Оновлено текст анкет спостереження за специфічними побічними реакціями (без суттєвих змін до наявних анкет).</w:t>
            </w:r>
            <w:r w:rsidRPr="00435C13">
              <w:rPr>
                <w:rFonts w:ascii="Arial" w:hAnsi="Arial" w:cs="Arial"/>
                <w:color w:val="000000"/>
                <w:sz w:val="16"/>
                <w:szCs w:val="16"/>
                <w:lang w:val="ru-RU"/>
              </w:rPr>
              <w:br/>
              <w:t xml:space="preserve">ЧАСТИНА </w:t>
            </w:r>
            <w:r>
              <w:rPr>
                <w:rFonts w:ascii="Arial" w:hAnsi="Arial" w:cs="Arial"/>
                <w:color w:val="000000"/>
                <w:sz w:val="16"/>
                <w:szCs w:val="16"/>
              </w:rPr>
              <w:t>IV</w:t>
            </w:r>
            <w:r w:rsidRPr="00435C13">
              <w:rPr>
                <w:rFonts w:ascii="Arial" w:hAnsi="Arial" w:cs="Arial"/>
                <w:color w:val="000000"/>
                <w:sz w:val="16"/>
                <w:szCs w:val="16"/>
                <w:lang w:val="ru-RU"/>
              </w:rPr>
              <w:t>. Плани щодо післяреєстраційних досліджень ефективності - Без змін</w:t>
            </w:r>
            <w:r w:rsidRPr="00435C13">
              <w:rPr>
                <w:rFonts w:ascii="Arial" w:hAnsi="Arial" w:cs="Arial"/>
                <w:color w:val="000000"/>
                <w:sz w:val="16"/>
                <w:szCs w:val="16"/>
                <w:lang w:val="ru-RU"/>
              </w:rPr>
              <w:br/>
              <w:t xml:space="preserve">ЧАСТИНА </w:t>
            </w:r>
            <w:r>
              <w:rPr>
                <w:rFonts w:ascii="Arial" w:hAnsi="Arial" w:cs="Arial"/>
                <w:color w:val="000000"/>
                <w:sz w:val="16"/>
                <w:szCs w:val="16"/>
              </w:rPr>
              <w:t>V</w:t>
            </w:r>
            <w:r w:rsidRPr="00435C13">
              <w:rPr>
                <w:rFonts w:ascii="Arial" w:hAnsi="Arial" w:cs="Arial"/>
                <w:color w:val="000000"/>
                <w:sz w:val="16"/>
                <w:szCs w:val="16"/>
                <w:lang w:val="ru-RU"/>
              </w:rPr>
              <w:t xml:space="preserve">. Заходи з мінімізації ризиків (включно з оцінкою ефективності діяльності з мінімізації ризиків) - Переглянуто інформацію на основі оновленого переліку проблем безпеки (з видаленням відсутньої інформації «Безпека для пацієнтів з нирковою недостатністю») та на основі оновлень у ЧАСТИНІ </w:t>
            </w:r>
            <w:r>
              <w:rPr>
                <w:rFonts w:ascii="Arial" w:hAnsi="Arial" w:cs="Arial"/>
                <w:color w:val="000000"/>
                <w:sz w:val="16"/>
                <w:szCs w:val="16"/>
              </w:rPr>
              <w:t>III</w:t>
            </w:r>
            <w:r w:rsidRPr="00435C13">
              <w:rPr>
                <w:rFonts w:ascii="Arial" w:hAnsi="Arial" w:cs="Arial"/>
                <w:color w:val="000000"/>
                <w:sz w:val="16"/>
                <w:szCs w:val="16"/>
                <w:lang w:val="ru-RU"/>
              </w:rPr>
              <w:t>.</w:t>
            </w:r>
            <w:r w:rsidRPr="00435C13">
              <w:rPr>
                <w:rFonts w:ascii="Arial" w:hAnsi="Arial" w:cs="Arial"/>
                <w:color w:val="000000"/>
                <w:sz w:val="16"/>
                <w:szCs w:val="16"/>
                <w:lang w:val="ru-RU"/>
              </w:rPr>
              <w:br/>
              <w:t xml:space="preserve">ЧАСТИНА </w:t>
            </w:r>
            <w:r>
              <w:rPr>
                <w:rFonts w:ascii="Arial" w:hAnsi="Arial" w:cs="Arial"/>
                <w:color w:val="000000"/>
                <w:sz w:val="16"/>
                <w:szCs w:val="16"/>
              </w:rPr>
              <w:t>VI</w:t>
            </w:r>
            <w:r w:rsidRPr="00435C13">
              <w:rPr>
                <w:rFonts w:ascii="Arial" w:hAnsi="Arial" w:cs="Arial"/>
                <w:color w:val="000000"/>
                <w:sz w:val="16"/>
                <w:szCs w:val="16"/>
                <w:lang w:val="ru-RU"/>
              </w:rPr>
              <w:t xml:space="preserve">. Резюме плану управління ризиками - Переглянуто інформацію на основі оновленого переліку проблем безпеки (з </w:t>
            </w:r>
            <w:r>
              <w:rPr>
                <w:rFonts w:ascii="Arial" w:hAnsi="Arial" w:cs="Arial"/>
                <w:color w:val="000000"/>
                <w:sz w:val="16"/>
                <w:szCs w:val="16"/>
              </w:rPr>
              <w:t>Docusign</w:t>
            </w:r>
            <w:r w:rsidRPr="00435C13">
              <w:rPr>
                <w:rFonts w:ascii="Arial" w:hAnsi="Arial" w:cs="Arial"/>
                <w:color w:val="000000"/>
                <w:sz w:val="16"/>
                <w:szCs w:val="16"/>
                <w:lang w:val="ru-RU"/>
              </w:rPr>
              <w:t xml:space="preserve"> </w:t>
            </w:r>
            <w:r>
              <w:rPr>
                <w:rFonts w:ascii="Arial" w:hAnsi="Arial" w:cs="Arial"/>
                <w:color w:val="000000"/>
                <w:sz w:val="16"/>
                <w:szCs w:val="16"/>
              </w:rPr>
              <w:t>Envelope</w:t>
            </w:r>
            <w:r w:rsidRPr="00435C13">
              <w:rPr>
                <w:rFonts w:ascii="Arial" w:hAnsi="Arial" w:cs="Arial"/>
                <w:color w:val="000000"/>
                <w:sz w:val="16"/>
                <w:szCs w:val="16"/>
                <w:lang w:val="ru-RU"/>
              </w:rPr>
              <w:t xml:space="preserve"> </w:t>
            </w:r>
            <w:r>
              <w:rPr>
                <w:rFonts w:ascii="Arial" w:hAnsi="Arial" w:cs="Arial"/>
                <w:color w:val="000000"/>
                <w:sz w:val="16"/>
                <w:szCs w:val="16"/>
              </w:rPr>
              <w:t>ID</w:t>
            </w:r>
            <w:r w:rsidRPr="00435C13">
              <w:rPr>
                <w:rFonts w:ascii="Arial" w:hAnsi="Arial" w:cs="Arial"/>
                <w:color w:val="000000"/>
                <w:sz w:val="16"/>
                <w:szCs w:val="16"/>
                <w:lang w:val="ru-RU"/>
              </w:rPr>
              <w:t>: 6639</w:t>
            </w:r>
            <w:r>
              <w:rPr>
                <w:rFonts w:ascii="Arial" w:hAnsi="Arial" w:cs="Arial"/>
                <w:color w:val="000000"/>
                <w:sz w:val="16"/>
                <w:szCs w:val="16"/>
              </w:rPr>
              <w:t>F</w:t>
            </w:r>
            <w:r w:rsidRPr="00435C13">
              <w:rPr>
                <w:rFonts w:ascii="Arial" w:hAnsi="Arial" w:cs="Arial"/>
                <w:color w:val="000000"/>
                <w:sz w:val="16"/>
                <w:szCs w:val="16"/>
                <w:lang w:val="ru-RU"/>
              </w:rPr>
              <w:t>769-</w:t>
            </w:r>
            <w:r>
              <w:rPr>
                <w:rFonts w:ascii="Arial" w:hAnsi="Arial" w:cs="Arial"/>
                <w:color w:val="000000"/>
                <w:sz w:val="16"/>
                <w:szCs w:val="16"/>
              </w:rPr>
              <w:t>A</w:t>
            </w:r>
            <w:r w:rsidRPr="00435C13">
              <w:rPr>
                <w:rFonts w:ascii="Arial" w:hAnsi="Arial" w:cs="Arial"/>
                <w:color w:val="000000"/>
                <w:sz w:val="16"/>
                <w:szCs w:val="16"/>
                <w:lang w:val="ru-RU"/>
              </w:rPr>
              <w:t>4</w:t>
            </w:r>
            <w:r>
              <w:rPr>
                <w:rFonts w:ascii="Arial" w:hAnsi="Arial" w:cs="Arial"/>
                <w:color w:val="000000"/>
                <w:sz w:val="16"/>
                <w:szCs w:val="16"/>
              </w:rPr>
              <w:t>DD</w:t>
            </w:r>
            <w:r w:rsidRPr="00435C13">
              <w:rPr>
                <w:rFonts w:ascii="Arial" w:hAnsi="Arial" w:cs="Arial"/>
                <w:color w:val="000000"/>
                <w:sz w:val="16"/>
                <w:szCs w:val="16"/>
                <w:lang w:val="ru-RU"/>
              </w:rPr>
              <w:t>-4</w:t>
            </w:r>
            <w:r>
              <w:rPr>
                <w:rFonts w:ascii="Arial" w:hAnsi="Arial" w:cs="Arial"/>
                <w:color w:val="000000"/>
                <w:sz w:val="16"/>
                <w:szCs w:val="16"/>
              </w:rPr>
              <w:t>F</w:t>
            </w:r>
            <w:r w:rsidRPr="00435C13">
              <w:rPr>
                <w:rFonts w:ascii="Arial" w:hAnsi="Arial" w:cs="Arial"/>
                <w:color w:val="000000"/>
                <w:sz w:val="16"/>
                <w:szCs w:val="16"/>
                <w:lang w:val="ru-RU"/>
              </w:rPr>
              <w:t>6</w:t>
            </w:r>
            <w:r>
              <w:rPr>
                <w:rFonts w:ascii="Arial" w:hAnsi="Arial" w:cs="Arial"/>
                <w:color w:val="000000"/>
                <w:sz w:val="16"/>
                <w:szCs w:val="16"/>
              </w:rPr>
              <w:t>E</w:t>
            </w:r>
            <w:r w:rsidRPr="00435C13">
              <w:rPr>
                <w:rFonts w:ascii="Arial" w:hAnsi="Arial" w:cs="Arial"/>
                <w:color w:val="000000"/>
                <w:sz w:val="16"/>
                <w:szCs w:val="16"/>
                <w:lang w:val="ru-RU"/>
              </w:rPr>
              <w:t>-</w:t>
            </w:r>
            <w:r>
              <w:rPr>
                <w:rFonts w:ascii="Arial" w:hAnsi="Arial" w:cs="Arial"/>
                <w:color w:val="000000"/>
                <w:sz w:val="16"/>
                <w:szCs w:val="16"/>
              </w:rPr>
              <w:t>BAF</w:t>
            </w:r>
            <w:r w:rsidRPr="00435C13">
              <w:rPr>
                <w:rFonts w:ascii="Arial" w:hAnsi="Arial" w:cs="Arial"/>
                <w:color w:val="000000"/>
                <w:sz w:val="16"/>
                <w:szCs w:val="16"/>
                <w:lang w:val="ru-RU"/>
              </w:rPr>
              <w:t>2-49</w:t>
            </w:r>
            <w:r>
              <w:rPr>
                <w:rFonts w:ascii="Arial" w:hAnsi="Arial" w:cs="Arial"/>
                <w:color w:val="000000"/>
                <w:sz w:val="16"/>
                <w:szCs w:val="16"/>
              </w:rPr>
              <w:t>E</w:t>
            </w:r>
            <w:r w:rsidRPr="00435C13">
              <w:rPr>
                <w:rFonts w:ascii="Arial" w:hAnsi="Arial" w:cs="Arial"/>
                <w:color w:val="000000"/>
                <w:sz w:val="16"/>
                <w:szCs w:val="16"/>
                <w:lang w:val="ru-RU"/>
              </w:rPr>
              <w:t>221895</w:t>
            </w:r>
            <w:r>
              <w:rPr>
                <w:rFonts w:ascii="Arial" w:hAnsi="Arial" w:cs="Arial"/>
                <w:color w:val="000000"/>
                <w:sz w:val="16"/>
                <w:szCs w:val="16"/>
              </w:rPr>
              <w:t>B</w:t>
            </w:r>
            <w:r w:rsidRPr="00435C13">
              <w:rPr>
                <w:rFonts w:ascii="Arial" w:hAnsi="Arial" w:cs="Arial"/>
                <w:color w:val="000000"/>
                <w:sz w:val="16"/>
                <w:szCs w:val="16"/>
                <w:lang w:val="ru-RU"/>
              </w:rPr>
              <w:t xml:space="preserve">52 (з видаленням відсутньої інформації «Безпека для пацієнтів з нирковою недостатністю») та на основі оновлень у ЧАСТИНІ </w:t>
            </w:r>
            <w:r>
              <w:rPr>
                <w:rFonts w:ascii="Arial" w:hAnsi="Arial" w:cs="Arial"/>
                <w:color w:val="000000"/>
                <w:sz w:val="16"/>
                <w:szCs w:val="16"/>
              </w:rPr>
              <w:t>III</w:t>
            </w:r>
            <w:r w:rsidRPr="00435C13">
              <w:rPr>
                <w:rFonts w:ascii="Arial" w:hAnsi="Arial" w:cs="Arial"/>
                <w:color w:val="000000"/>
                <w:sz w:val="16"/>
                <w:szCs w:val="16"/>
                <w:lang w:val="ru-RU"/>
              </w:rPr>
              <w:t>.</w:t>
            </w:r>
            <w:r w:rsidRPr="00435C13">
              <w:rPr>
                <w:rFonts w:ascii="Arial" w:hAnsi="Arial" w:cs="Arial"/>
                <w:color w:val="000000"/>
                <w:sz w:val="16"/>
                <w:szCs w:val="16"/>
                <w:lang w:val="ru-RU"/>
              </w:rPr>
              <w:br/>
              <w:t xml:space="preserve">ЧАСТИНА </w:t>
            </w:r>
            <w:r>
              <w:rPr>
                <w:rFonts w:ascii="Arial" w:hAnsi="Arial" w:cs="Arial"/>
                <w:color w:val="000000"/>
                <w:sz w:val="16"/>
                <w:szCs w:val="16"/>
              </w:rPr>
              <w:t>VII</w:t>
            </w:r>
            <w:r w:rsidRPr="00435C13">
              <w:rPr>
                <w:rFonts w:ascii="Arial" w:hAnsi="Arial" w:cs="Arial"/>
                <w:color w:val="000000"/>
                <w:sz w:val="16"/>
                <w:szCs w:val="16"/>
                <w:lang w:val="ru-RU"/>
              </w:rPr>
              <w:t xml:space="preserve">. Додатки - Додаток 2: Зміни, внесені на основі оновлень у ЧАСТИНІ </w:t>
            </w:r>
            <w:r>
              <w:rPr>
                <w:rFonts w:ascii="Arial" w:hAnsi="Arial" w:cs="Arial"/>
                <w:color w:val="000000"/>
                <w:sz w:val="16"/>
                <w:szCs w:val="16"/>
              </w:rPr>
              <w:t>III</w:t>
            </w:r>
            <w:r w:rsidRPr="00435C13">
              <w:rPr>
                <w:rFonts w:ascii="Arial" w:hAnsi="Arial" w:cs="Arial"/>
                <w:color w:val="000000"/>
                <w:sz w:val="16"/>
                <w:szCs w:val="16"/>
                <w:lang w:val="ru-RU"/>
              </w:rPr>
              <w:t xml:space="preserve"> цього ПУР.</w:t>
            </w:r>
            <w:r w:rsidRPr="00435C13">
              <w:rPr>
                <w:rFonts w:ascii="Arial" w:hAnsi="Arial" w:cs="Arial"/>
                <w:color w:val="000000"/>
                <w:sz w:val="16"/>
                <w:szCs w:val="16"/>
                <w:lang w:val="ru-RU"/>
              </w:rPr>
              <w:br/>
              <w:t>Додаток 3: Додавання посилань на затверджені протоколи для досліджень у Плані фармаконагляду.</w:t>
            </w:r>
            <w:r w:rsidRPr="00435C13">
              <w:rPr>
                <w:rFonts w:ascii="Arial" w:hAnsi="Arial" w:cs="Arial"/>
                <w:color w:val="000000"/>
                <w:sz w:val="16"/>
                <w:szCs w:val="16"/>
                <w:lang w:val="ru-RU"/>
              </w:rPr>
              <w:br/>
              <w:t>Додаток 4: Оновлена форма зі списком конкретних питань для випадків впливу під час вагітності для випадків, що не входять до дослідження.</w:t>
            </w:r>
            <w:r w:rsidRPr="00435C13">
              <w:rPr>
                <w:rFonts w:ascii="Arial" w:hAnsi="Arial" w:cs="Arial"/>
                <w:color w:val="000000"/>
                <w:sz w:val="16"/>
                <w:szCs w:val="16"/>
                <w:lang w:val="ru-RU"/>
              </w:rPr>
              <w:br/>
              <w:t>Додаток 8: Включено короткий виклад змін, що відображають вищезазначені оновлення.</w:t>
            </w:r>
            <w:r w:rsidRPr="00435C13">
              <w:rPr>
                <w:rFonts w:ascii="Arial" w:hAnsi="Arial" w:cs="Arial"/>
                <w:color w:val="000000"/>
                <w:sz w:val="16"/>
                <w:szCs w:val="16"/>
                <w:lang w:val="ru-RU"/>
              </w:rPr>
              <w:br/>
              <w:t>Змін до інших додатків не внесено.</w:t>
            </w:r>
            <w:r w:rsidRPr="00435C13">
              <w:rPr>
                <w:rFonts w:ascii="Arial" w:hAnsi="Arial" w:cs="Arial"/>
                <w:color w:val="000000"/>
                <w:sz w:val="16"/>
                <w:szCs w:val="16"/>
                <w:lang w:val="ru-RU"/>
              </w:rPr>
              <w:br/>
            </w:r>
            <w:r>
              <w:rPr>
                <w:rFonts w:ascii="Arial" w:hAnsi="Arial" w:cs="Arial"/>
                <w:color w:val="000000"/>
                <w:sz w:val="16"/>
                <w:szCs w:val="16"/>
              </w:rPr>
              <w:t>3) Type II, C.I.4 - Change(s) in the SPC, Labelling or PL due to new quality, preclinical, clinical or pharmacovigilance - Update of section 5.1 of the SmPC in order to update information on antiviral activity, based on nonclinical pharmacology study reports. Оновлення розділу «Фармакологічні властивості» інструкції для медичного застосування лікарського засобу з метою оновлення інформації щодо антивірусної активності Паксловіду проти суб-варіантів Омікрон та заміни амінокислот на основі останніх доклінічних даних. Введення змін протягом 6 місяців після затвердження</w:t>
            </w:r>
            <w:r>
              <w:rPr>
                <w:rFonts w:ascii="Arial" w:hAnsi="Arial" w:cs="Arial"/>
                <w:color w:val="000000"/>
                <w:sz w:val="16"/>
                <w:szCs w:val="16"/>
              </w:rPr>
              <w:br/>
              <w:t>4) Type II, C.I.4 - Change(s) in the SPC, Labelling or PL due to new quality, preclinical, clinical or pharmacovigilance - Update of section 5.1 of the SmPC in order to update information on antiviral activity, based on nonclinical pharmacology study reports. оновлення розділу «Фармакологічні властивості» інструкції для медичного застосування лікарського засобу з метою оновлення інформації щодо кількісних даних антивірусної активності Паксловіду щодо субваріантів Omicron на основі відповідного дослідження Введення змін протягом 6 місяців після затвердження.</w:t>
            </w:r>
            <w:r>
              <w:rPr>
                <w:rFonts w:ascii="Arial" w:hAnsi="Arial" w:cs="Arial"/>
                <w:color w:val="000000"/>
                <w:sz w:val="16"/>
                <w:szCs w:val="16"/>
              </w:rPr>
              <w:br/>
              <w:t xml:space="preserve">5)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6)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7)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8)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9)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10)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11)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12)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13)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14)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15) Type II, C.I.4 - Change(s) in the SPC, Labelling or PL due to new quality, preclinical, clinical or pharmacovigilance – Update of section 4.5 of the SmPC in order to add drug-drug interaction information with albendazole based on the post-marketing data and literature and to update information on drug-drug interactions with methadone and ethinyl estradiol based on the literature; the Package Leaflet is updated accordingly. Оновлення розділу «Взаємодія з іншими лікарськими засобами та інші види взаємодій» інструкції для медичного застосування лікарського засобу, щоб додати інформацію про взаємодію між лікарськими засобами щодо одночасного застосування Паксловіду з альбендазолом, та оновити інформацію щодо взаємодії із етинілестрадіолом та метадоном на основі даних отриманих із Французького Тезауруса міжлікарських взаємодій (French Drug Interaction Thesaurus).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16) Type II, C.I.4 - Change(s) in the SPC, Labelling or PL due to new quality, preclinical, clinical or pharmacovigilance – Update of section 4.5 of the SmPC in order to update information on drug-drug interactions with calcium channel antagonists based on the cumulative safety data and literature. оновлення розділу «Взаємодія з іншими лікарськими засобами та інші види взаємодій» інструкції для медичного застосування лікарського засобу з метою включення додаткової інформації щодо можливої корекції дози антагоністів кальцієвих каналів та надання рекомендації для пацієнтів звертатися до інструкції із застосування конкретних антагоністів кальцієвих каналів за умови їх одночасного застосування із Паксловідом. </w:t>
            </w:r>
            <w:r>
              <w:rPr>
                <w:rFonts w:ascii="Arial" w:hAnsi="Arial" w:cs="Arial"/>
                <w:color w:val="000000"/>
                <w:sz w:val="16"/>
                <w:szCs w:val="16"/>
              </w:rPr>
              <w:br/>
              <w:t>Введення змін протягом 6 місяців після затвердження.</w:t>
            </w:r>
          </w:p>
        </w:tc>
        <w:tc>
          <w:tcPr>
            <w:tcW w:w="1134" w:type="dxa"/>
            <w:shd w:val="clear" w:color="auto" w:fill="FFFFFF"/>
          </w:tcPr>
          <w:p w:rsidR="00435C13" w:rsidRDefault="00435C13" w:rsidP="00435C13">
            <w:pPr>
              <w:pStyle w:val="a3"/>
              <w:tabs>
                <w:tab w:val="left" w:pos="12600"/>
              </w:tabs>
              <w:ind w:left="-185"/>
              <w:jc w:val="center"/>
              <w:rPr>
                <w:rFonts w:ascii="Arial" w:hAnsi="Arial" w:cs="Arial"/>
                <w:i/>
                <w:sz w:val="16"/>
                <w:szCs w:val="16"/>
              </w:rPr>
            </w:pPr>
            <w:r>
              <w:rPr>
                <w:rFonts w:ascii="Arial" w:hAnsi="Arial" w:cs="Arial"/>
                <w:i/>
                <w:sz w:val="16"/>
                <w:szCs w:val="16"/>
              </w:rPr>
              <w:lastRenderedPageBreak/>
              <w:t xml:space="preserve">за </w:t>
            </w:r>
          </w:p>
          <w:p w:rsidR="00435C13" w:rsidRDefault="00435C13" w:rsidP="00435C13">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435C13" w:rsidRDefault="00435C13" w:rsidP="00435C13">
            <w:pPr>
              <w:pStyle w:val="a3"/>
              <w:tabs>
                <w:tab w:val="left" w:pos="12600"/>
              </w:tabs>
              <w:jc w:val="center"/>
              <w:rPr>
                <w:rFonts w:ascii="Arial" w:hAnsi="Arial" w:cs="Arial"/>
                <w:sz w:val="16"/>
                <w:szCs w:val="16"/>
              </w:rPr>
            </w:pPr>
            <w:r>
              <w:rPr>
                <w:rFonts w:ascii="Arial" w:hAnsi="Arial" w:cs="Arial"/>
                <w:sz w:val="16"/>
                <w:szCs w:val="16"/>
              </w:rPr>
              <w:t>UA/20163/01/01</w:t>
            </w:r>
          </w:p>
        </w:tc>
      </w:tr>
    </w:tbl>
    <w:p w:rsidR="00D642BA" w:rsidRPr="00982A09" w:rsidRDefault="00D642BA" w:rsidP="00435C13">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A3E" w:rsidRDefault="00E03A3E" w:rsidP="00BF1D88">
      <w:pPr>
        <w:spacing w:after="0" w:line="240" w:lineRule="auto"/>
      </w:pPr>
      <w:r>
        <w:separator/>
      </w:r>
    </w:p>
  </w:endnote>
  <w:endnote w:type="continuationSeparator" w:id="0">
    <w:p w:rsidR="00E03A3E" w:rsidRDefault="00E03A3E"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1C43AC" w:rsidRPr="001C43AC">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A3E" w:rsidRDefault="00E03A3E" w:rsidP="00BF1D88">
      <w:pPr>
        <w:spacing w:after="0" w:line="240" w:lineRule="auto"/>
      </w:pPr>
      <w:r>
        <w:separator/>
      </w:r>
    </w:p>
  </w:footnote>
  <w:footnote w:type="continuationSeparator" w:id="0">
    <w:p w:rsidR="00E03A3E" w:rsidRDefault="00E03A3E"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8677E"/>
    <w:rsid w:val="0009034E"/>
    <w:rsid w:val="00091049"/>
    <w:rsid w:val="000912BD"/>
    <w:rsid w:val="000930FA"/>
    <w:rsid w:val="00093169"/>
    <w:rsid w:val="0009439C"/>
    <w:rsid w:val="00097BCB"/>
    <w:rsid w:val="000A3EA2"/>
    <w:rsid w:val="000A51E8"/>
    <w:rsid w:val="000A5C84"/>
    <w:rsid w:val="000A7725"/>
    <w:rsid w:val="000B205F"/>
    <w:rsid w:val="000B21AC"/>
    <w:rsid w:val="000B3BF1"/>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43AC"/>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2788"/>
    <w:rsid w:val="002063B3"/>
    <w:rsid w:val="0020741D"/>
    <w:rsid w:val="0021041D"/>
    <w:rsid w:val="002118D8"/>
    <w:rsid w:val="00212A1B"/>
    <w:rsid w:val="00213253"/>
    <w:rsid w:val="00213E2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D69"/>
    <w:rsid w:val="00457E5F"/>
    <w:rsid w:val="00463AAE"/>
    <w:rsid w:val="00464421"/>
    <w:rsid w:val="00465392"/>
    <w:rsid w:val="0046559B"/>
    <w:rsid w:val="0047501E"/>
    <w:rsid w:val="0047597A"/>
    <w:rsid w:val="00476246"/>
    <w:rsid w:val="004762D2"/>
    <w:rsid w:val="00476B3A"/>
    <w:rsid w:val="0047734E"/>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C2B"/>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618"/>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4C59"/>
    <w:rsid w:val="00945485"/>
    <w:rsid w:val="00947E63"/>
    <w:rsid w:val="00956DDD"/>
    <w:rsid w:val="00960260"/>
    <w:rsid w:val="00960756"/>
    <w:rsid w:val="00960AD4"/>
    <w:rsid w:val="0096147E"/>
    <w:rsid w:val="009662A5"/>
    <w:rsid w:val="00970F54"/>
    <w:rsid w:val="009742C4"/>
    <w:rsid w:val="00975C1F"/>
    <w:rsid w:val="00976D89"/>
    <w:rsid w:val="009777D9"/>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1F21"/>
    <w:rsid w:val="00BE2252"/>
    <w:rsid w:val="00BE29E1"/>
    <w:rsid w:val="00BE3365"/>
    <w:rsid w:val="00BE3859"/>
    <w:rsid w:val="00BE4CF6"/>
    <w:rsid w:val="00BE67C7"/>
    <w:rsid w:val="00BE7EA4"/>
    <w:rsid w:val="00BF01D8"/>
    <w:rsid w:val="00BF03C1"/>
    <w:rsid w:val="00BF1161"/>
    <w:rsid w:val="00BF11B5"/>
    <w:rsid w:val="00BF1D88"/>
    <w:rsid w:val="00BF284C"/>
    <w:rsid w:val="00BF327A"/>
    <w:rsid w:val="00BF4033"/>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DB6"/>
    <w:rsid w:val="00C97063"/>
    <w:rsid w:val="00CA0256"/>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5260"/>
    <w:rsid w:val="00DC7DE3"/>
    <w:rsid w:val="00DD05E2"/>
    <w:rsid w:val="00DD27CE"/>
    <w:rsid w:val="00DD30C0"/>
    <w:rsid w:val="00DD4E73"/>
    <w:rsid w:val="00DD5708"/>
    <w:rsid w:val="00DE051B"/>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3A3E"/>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47FEE46-8D9E-4E94-A1B0-8887644F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8F13-8570-4E33-8D59-C9E8C0E5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2992</Words>
  <Characters>17057</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2026-03-31T06:25:00Z</dcterms:created>
  <dcterms:modified xsi:type="dcterms:W3CDTF">2026-03-31T06:25:00Z</dcterms:modified>
</cp:coreProperties>
</file>